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F41A4" w14:textId="27910614" w:rsidR="00DE6520" w:rsidRPr="005116FA" w:rsidRDefault="00FA405A" w:rsidP="00FA405A">
      <w:pPr>
        <w:jc w:val="left"/>
        <w:rPr>
          <w:rFonts w:asciiTheme="minorEastAsia" w:hAnsiTheme="minorEastAsia"/>
          <w:b/>
          <w:sz w:val="24"/>
        </w:rPr>
      </w:pPr>
      <w:r w:rsidRPr="005116FA">
        <w:rPr>
          <w:rFonts w:asciiTheme="minorEastAsia" w:hAnsiTheme="minorEastAsia" w:hint="eastAsia"/>
          <w:b/>
          <w:sz w:val="24"/>
        </w:rPr>
        <w:t>证券代码：</w:t>
      </w:r>
      <w:r w:rsidR="00437461" w:rsidRPr="005116FA">
        <w:rPr>
          <w:rFonts w:asciiTheme="minorEastAsia" w:hAnsiTheme="minorEastAsia" w:hint="eastAsia"/>
          <w:b/>
          <w:sz w:val="24"/>
        </w:rPr>
        <w:t xml:space="preserve">603757            </w:t>
      </w:r>
      <w:r w:rsidRPr="005116FA">
        <w:rPr>
          <w:rFonts w:asciiTheme="minorEastAsia" w:hAnsiTheme="minorEastAsia" w:hint="eastAsia"/>
          <w:b/>
          <w:sz w:val="24"/>
        </w:rPr>
        <w:t xml:space="preserve">                    证券简称：大元泵业</w:t>
      </w:r>
    </w:p>
    <w:p w14:paraId="145B49CB" w14:textId="77777777" w:rsidR="00FA405A" w:rsidRDefault="00FA405A" w:rsidP="00FA405A">
      <w:pPr>
        <w:jc w:val="left"/>
      </w:pPr>
    </w:p>
    <w:p w14:paraId="0D2AB41C" w14:textId="77777777" w:rsidR="00FA405A" w:rsidRPr="00FA405A" w:rsidRDefault="00FA405A" w:rsidP="00072832">
      <w:pPr>
        <w:pStyle w:val="a5"/>
        <w:spacing w:before="0" w:after="0"/>
        <w:rPr>
          <w:rFonts w:asciiTheme="minorEastAsia" w:eastAsiaTheme="minorEastAsia" w:hAnsiTheme="minorEastAsia"/>
          <w:sz w:val="28"/>
        </w:rPr>
      </w:pPr>
      <w:r w:rsidRPr="00FA405A">
        <w:rPr>
          <w:rFonts w:asciiTheme="minorEastAsia" w:eastAsiaTheme="minorEastAsia" w:hAnsiTheme="minorEastAsia" w:hint="eastAsia"/>
          <w:sz w:val="28"/>
        </w:rPr>
        <w:t>浙江大元泵业股份有限公司</w:t>
      </w:r>
    </w:p>
    <w:p w14:paraId="3A4C54F6" w14:textId="03F678F5" w:rsidR="00FA405A" w:rsidRDefault="00FA405A" w:rsidP="00072832">
      <w:pPr>
        <w:pStyle w:val="a5"/>
        <w:spacing w:before="0" w:after="0"/>
        <w:rPr>
          <w:rFonts w:asciiTheme="minorEastAsia" w:eastAsiaTheme="minorEastAsia" w:hAnsiTheme="minorEastAsia"/>
          <w:sz w:val="28"/>
        </w:rPr>
      </w:pPr>
      <w:r w:rsidRPr="00FA405A">
        <w:rPr>
          <w:rFonts w:asciiTheme="minorEastAsia" w:eastAsiaTheme="minorEastAsia" w:hAnsiTheme="minorEastAsia" w:hint="eastAsia"/>
          <w:sz w:val="28"/>
        </w:rPr>
        <w:t>202</w:t>
      </w:r>
      <w:r w:rsidR="00B93FB0">
        <w:rPr>
          <w:rFonts w:asciiTheme="minorEastAsia" w:eastAsiaTheme="minorEastAsia" w:hAnsiTheme="minorEastAsia" w:hint="eastAsia"/>
          <w:sz w:val="28"/>
        </w:rPr>
        <w:t>3</w:t>
      </w:r>
      <w:r w:rsidRPr="00FA405A">
        <w:rPr>
          <w:rFonts w:asciiTheme="minorEastAsia" w:eastAsiaTheme="minorEastAsia" w:hAnsiTheme="minorEastAsia" w:hint="eastAsia"/>
          <w:sz w:val="28"/>
        </w:rPr>
        <w:t>年投资者关系活动记录表</w:t>
      </w:r>
    </w:p>
    <w:p w14:paraId="1D644373" w14:textId="77777777" w:rsidR="00FA405A" w:rsidRDefault="00FA405A" w:rsidP="00FA405A"/>
    <w:p w14:paraId="2A7C63B4" w14:textId="2A7CD5EA" w:rsidR="00FA405A" w:rsidRPr="00D243E1" w:rsidRDefault="00FA405A" w:rsidP="00FA405A">
      <w:pPr>
        <w:jc w:val="right"/>
        <w:rPr>
          <w:rFonts w:asciiTheme="minorEastAsia" w:hAnsiTheme="minorEastAsia"/>
          <w:sz w:val="24"/>
        </w:rPr>
      </w:pPr>
      <w:r w:rsidRPr="00D243E1">
        <w:rPr>
          <w:rFonts w:asciiTheme="minorEastAsia" w:hAnsiTheme="minorEastAsia" w:hint="eastAsia"/>
          <w:sz w:val="24"/>
        </w:rPr>
        <w:t>编号：202</w:t>
      </w:r>
      <w:r w:rsidR="00B93FB0">
        <w:rPr>
          <w:rFonts w:asciiTheme="minorEastAsia" w:hAnsiTheme="minorEastAsia" w:hint="eastAsia"/>
          <w:sz w:val="24"/>
        </w:rPr>
        <w:t>3</w:t>
      </w:r>
      <w:r w:rsidRPr="00D243E1">
        <w:rPr>
          <w:rFonts w:asciiTheme="minorEastAsia" w:hAnsiTheme="minorEastAsia" w:hint="eastAsia"/>
          <w:sz w:val="24"/>
        </w:rPr>
        <w:t>-</w:t>
      </w:r>
      <w:r w:rsidR="009466AF" w:rsidRPr="00D243E1">
        <w:rPr>
          <w:rFonts w:asciiTheme="minorEastAsia" w:hAnsiTheme="minorEastAsia" w:hint="eastAsia"/>
          <w:sz w:val="24"/>
        </w:rPr>
        <w:t>00</w:t>
      </w:r>
      <w:r w:rsidR="004E40E7">
        <w:rPr>
          <w:rFonts w:asciiTheme="minorEastAsia" w:hAnsiTheme="minorEastAsia" w:hint="eastAsia"/>
          <w:sz w:val="24"/>
        </w:rPr>
        <w:t>9</w:t>
      </w:r>
    </w:p>
    <w:tbl>
      <w:tblPr>
        <w:tblStyle w:val="a6"/>
        <w:tblW w:w="9478" w:type="dxa"/>
        <w:jc w:val="center"/>
        <w:tblLook w:val="04A0" w:firstRow="1" w:lastRow="0" w:firstColumn="1" w:lastColumn="0" w:noHBand="0" w:noVBand="1"/>
      </w:tblPr>
      <w:tblGrid>
        <w:gridCol w:w="1809"/>
        <w:gridCol w:w="7669"/>
      </w:tblGrid>
      <w:tr w:rsidR="00FA405A" w:rsidRPr="00FA405A" w14:paraId="5DE8FD5D" w14:textId="77777777" w:rsidTr="00C902DC">
        <w:trPr>
          <w:trHeight w:val="1509"/>
          <w:jc w:val="center"/>
        </w:trPr>
        <w:tc>
          <w:tcPr>
            <w:tcW w:w="1809" w:type="dxa"/>
            <w:vAlign w:val="center"/>
          </w:tcPr>
          <w:p w14:paraId="0109AA77" w14:textId="77777777" w:rsidR="00FA405A" w:rsidRPr="00FA405A" w:rsidRDefault="00FA405A" w:rsidP="00FA40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投资者关系活动类别</w:t>
            </w:r>
          </w:p>
        </w:tc>
        <w:tc>
          <w:tcPr>
            <w:tcW w:w="7669" w:type="dxa"/>
            <w:vAlign w:val="center"/>
          </w:tcPr>
          <w:p w14:paraId="6ADD41F0" w14:textId="532BA7BA" w:rsidR="00FA405A" w:rsidRPr="00FA405A" w:rsidRDefault="00C8141A" w:rsidP="00FA405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141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A405A" w:rsidRPr="00FA405A">
              <w:rPr>
                <w:rFonts w:asciiTheme="minorEastAsia" w:hAnsiTheme="minorEastAsia" w:hint="eastAsia"/>
                <w:sz w:val="24"/>
                <w:szCs w:val="24"/>
              </w:rPr>
              <w:t>特定对象调研</w:t>
            </w:r>
            <w:r w:rsidR="00FA405A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416F04" w:rsidRPr="00416F0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分析</w:t>
            </w:r>
            <w:proofErr w:type="gramStart"/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师会议</w:t>
            </w:r>
            <w:proofErr w:type="gramEnd"/>
            <w:r w:rsidR="00FA405A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FA405A"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媒体采访</w:t>
            </w:r>
          </w:p>
          <w:p w14:paraId="4537828F" w14:textId="23D528B5" w:rsidR="00FA405A" w:rsidRPr="00FA405A" w:rsidRDefault="00FA405A" w:rsidP="00FA405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A405A">
              <w:rPr>
                <w:rFonts w:asciiTheme="minorEastAsia" w:hAnsiTheme="minorEastAsia"/>
                <w:sz w:val="24"/>
                <w:szCs w:val="24"/>
              </w:rPr>
              <w:t>业绩说明会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A405A">
              <w:rPr>
                <w:rFonts w:asciiTheme="minorEastAsia" w:hAnsiTheme="minorEastAsia"/>
                <w:sz w:val="24"/>
                <w:szCs w:val="24"/>
              </w:rPr>
              <w:t>新闻发布会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DA698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25279" w:rsidRPr="0092527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A405A">
              <w:rPr>
                <w:rFonts w:asciiTheme="minorEastAsia" w:hAnsiTheme="minorEastAsia"/>
                <w:sz w:val="24"/>
                <w:szCs w:val="24"/>
              </w:rPr>
              <w:t>路演活动</w:t>
            </w:r>
          </w:p>
          <w:p w14:paraId="7D987C64" w14:textId="525664B5" w:rsidR="00FA405A" w:rsidRPr="00FA405A" w:rsidRDefault="00EC7FAE" w:rsidP="002F65F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6F04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现场交流</w:t>
            </w:r>
            <w:r w:rsidR="00FA405A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="00416F04" w:rsidRPr="00416F04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="00243A0A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  <w:r w:rsidR="002F65F4">
              <w:rPr>
                <w:rFonts w:asciiTheme="minorEastAsia" w:hAnsiTheme="minorEastAsia" w:hint="eastAsia"/>
                <w:sz w:val="24"/>
                <w:szCs w:val="24"/>
              </w:rPr>
              <w:t>会议</w:t>
            </w:r>
            <w:r w:rsidR="00DC4E5D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243A0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F65F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243A0A"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43A0A" w:rsidRPr="00FA405A"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</w:tr>
      <w:tr w:rsidR="00FA405A" w:rsidRPr="00FA405A" w14:paraId="139ECBD4" w14:textId="77777777" w:rsidTr="00C902DC">
        <w:trPr>
          <w:jc w:val="center"/>
        </w:trPr>
        <w:tc>
          <w:tcPr>
            <w:tcW w:w="1809" w:type="dxa"/>
            <w:vAlign w:val="center"/>
          </w:tcPr>
          <w:p w14:paraId="4E4CCE7F" w14:textId="77777777" w:rsidR="00FA405A" w:rsidRPr="00FA405A" w:rsidRDefault="00FA405A" w:rsidP="00FA40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参与单位</w:t>
            </w:r>
          </w:p>
        </w:tc>
        <w:tc>
          <w:tcPr>
            <w:tcW w:w="7669" w:type="dxa"/>
            <w:vAlign w:val="center"/>
          </w:tcPr>
          <w:p w14:paraId="739AC5AF" w14:textId="23A28384" w:rsidR="00FA405A" w:rsidRPr="0078286D" w:rsidRDefault="004E40E7" w:rsidP="001C7AA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平安资管</w:t>
            </w:r>
            <w:r w:rsidR="00416F04" w:rsidRPr="00416F0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新华基金</w:t>
            </w:r>
            <w:r w:rsidR="00416F04" w:rsidRPr="00416F0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中庚基金</w:t>
            </w:r>
            <w:proofErr w:type="gramEnd"/>
            <w:r w:rsidR="00416F04" w:rsidRPr="00416F0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E40E7">
              <w:rPr>
                <w:rFonts w:asciiTheme="minorEastAsia" w:hAnsiTheme="minorEastAsia" w:hint="eastAsia"/>
                <w:sz w:val="24"/>
                <w:szCs w:val="24"/>
              </w:rPr>
              <w:t>华泰柏瑞</w:t>
            </w:r>
            <w:r w:rsidR="00416F04" w:rsidRPr="00416F0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proofErr w:type="gramStart"/>
            <w:r w:rsidRPr="004E40E7">
              <w:rPr>
                <w:rFonts w:asciiTheme="minorEastAsia" w:hAnsiTheme="minorEastAsia" w:hint="eastAsia"/>
                <w:sz w:val="24"/>
                <w:szCs w:val="24"/>
              </w:rPr>
              <w:t>煜</w:t>
            </w:r>
            <w:proofErr w:type="gramEnd"/>
            <w:r w:rsidRPr="004E40E7">
              <w:rPr>
                <w:rFonts w:asciiTheme="minorEastAsia" w:hAnsiTheme="minorEastAsia" w:hint="eastAsia"/>
                <w:sz w:val="24"/>
                <w:szCs w:val="24"/>
              </w:rPr>
              <w:t>德投资</w:t>
            </w:r>
            <w:r w:rsidR="0067062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E40E7">
              <w:rPr>
                <w:rFonts w:asciiTheme="minorEastAsia" w:hAnsiTheme="minorEastAsia" w:hint="eastAsia"/>
                <w:sz w:val="24"/>
                <w:szCs w:val="24"/>
              </w:rPr>
              <w:t>源禾</w:t>
            </w:r>
            <w:proofErr w:type="gramStart"/>
            <w:r w:rsidRPr="004E40E7">
              <w:rPr>
                <w:rFonts w:asciiTheme="minorEastAsia" w:hAnsiTheme="minorEastAsia" w:hint="eastAsia"/>
                <w:sz w:val="24"/>
                <w:szCs w:val="24"/>
              </w:rPr>
              <w:t>晟</w:t>
            </w:r>
            <w:proofErr w:type="gramEnd"/>
            <w:r w:rsidRPr="004E40E7">
              <w:rPr>
                <w:rFonts w:asciiTheme="minorEastAsia" w:hAnsiTheme="minorEastAsia" w:hint="eastAsia"/>
                <w:sz w:val="24"/>
                <w:szCs w:val="24"/>
              </w:rPr>
              <w:t>投资</w:t>
            </w:r>
            <w:r w:rsidR="00005886">
              <w:rPr>
                <w:rFonts w:asciiTheme="minorEastAsia" w:hAnsiTheme="minorEastAsia" w:hint="eastAsia"/>
                <w:sz w:val="24"/>
                <w:szCs w:val="24"/>
              </w:rPr>
              <w:t>、国华新</w:t>
            </w:r>
            <w:proofErr w:type="gramStart"/>
            <w:r w:rsidR="00005886">
              <w:rPr>
                <w:rFonts w:asciiTheme="minorEastAsia" w:hAnsiTheme="minorEastAsia" w:hint="eastAsia"/>
                <w:sz w:val="24"/>
                <w:szCs w:val="24"/>
              </w:rPr>
              <w:t>益资管</w:t>
            </w:r>
            <w:proofErr w:type="gramEnd"/>
            <w:r w:rsidR="00005886">
              <w:rPr>
                <w:rFonts w:asciiTheme="minorEastAsia" w:hAnsiTheme="minorEastAsia" w:hint="eastAsia"/>
                <w:sz w:val="24"/>
                <w:szCs w:val="24"/>
              </w:rPr>
              <w:t>、国泰君</w:t>
            </w:r>
            <w:proofErr w:type="gramStart"/>
            <w:r w:rsidR="00005886">
              <w:rPr>
                <w:rFonts w:asciiTheme="minorEastAsia" w:hAnsiTheme="minorEastAsia" w:hint="eastAsia"/>
                <w:sz w:val="24"/>
                <w:szCs w:val="24"/>
              </w:rPr>
              <w:t>安资管</w:t>
            </w:r>
            <w:proofErr w:type="gramEnd"/>
            <w:r w:rsidR="00005886">
              <w:rPr>
                <w:rFonts w:asciiTheme="minorEastAsia" w:hAnsiTheme="minorEastAsia" w:hint="eastAsia"/>
                <w:sz w:val="24"/>
                <w:szCs w:val="24"/>
              </w:rPr>
              <w:t>、千合资本、国信证券</w:t>
            </w:r>
            <w:r w:rsidR="008F1342">
              <w:rPr>
                <w:rFonts w:asciiTheme="minorEastAsia" w:hAnsiTheme="minorEastAsia" w:hint="eastAsia"/>
                <w:sz w:val="24"/>
                <w:szCs w:val="24"/>
              </w:rPr>
              <w:t>、中泰证券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FA405A" w:rsidRPr="00FA405A" w14:paraId="592A7637" w14:textId="77777777" w:rsidTr="00C902DC">
        <w:trPr>
          <w:trHeight w:val="411"/>
          <w:jc w:val="center"/>
        </w:trPr>
        <w:tc>
          <w:tcPr>
            <w:tcW w:w="1809" w:type="dxa"/>
            <w:vAlign w:val="center"/>
          </w:tcPr>
          <w:p w14:paraId="4DFE443B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7669" w:type="dxa"/>
            <w:vAlign w:val="center"/>
          </w:tcPr>
          <w:p w14:paraId="2E8C5876" w14:textId="64F0A08E" w:rsidR="00FA405A" w:rsidRPr="00FA405A" w:rsidRDefault="0078286D" w:rsidP="0000588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286D">
              <w:rPr>
                <w:rFonts w:asciiTheme="minorEastAsia" w:hAnsiTheme="minorEastAsia" w:hint="eastAsia"/>
                <w:sz w:val="24"/>
                <w:szCs w:val="24"/>
              </w:rPr>
              <w:t>2023年</w:t>
            </w:r>
            <w:r w:rsidR="00416F04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78286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C7FAE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78286D">
              <w:rPr>
                <w:rFonts w:asciiTheme="minorEastAsia" w:hAnsiTheme="minorEastAsia" w:hint="eastAsia"/>
                <w:sz w:val="24"/>
                <w:szCs w:val="24"/>
              </w:rPr>
              <w:t>日-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2023年</w:t>
            </w:r>
            <w:r w:rsidR="00416F04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78286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16F0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005886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78286D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A405A" w:rsidRPr="00FA405A" w14:paraId="0C024AC0" w14:textId="77777777" w:rsidTr="00C902DC">
        <w:trPr>
          <w:trHeight w:val="416"/>
          <w:jc w:val="center"/>
        </w:trPr>
        <w:tc>
          <w:tcPr>
            <w:tcW w:w="1809" w:type="dxa"/>
            <w:vAlign w:val="center"/>
          </w:tcPr>
          <w:p w14:paraId="4D060388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7669" w:type="dxa"/>
            <w:vAlign w:val="center"/>
          </w:tcPr>
          <w:p w14:paraId="7AC2534A" w14:textId="4875254E" w:rsidR="00FA405A" w:rsidRPr="00FA405A" w:rsidRDefault="00416F0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温岭</w:t>
            </w:r>
          </w:p>
        </w:tc>
      </w:tr>
      <w:tr w:rsidR="00FA405A" w:rsidRPr="00FA405A" w14:paraId="343C944C" w14:textId="77777777" w:rsidTr="00C902DC">
        <w:trPr>
          <w:trHeight w:val="409"/>
          <w:jc w:val="center"/>
        </w:trPr>
        <w:tc>
          <w:tcPr>
            <w:tcW w:w="1809" w:type="dxa"/>
            <w:vAlign w:val="center"/>
          </w:tcPr>
          <w:p w14:paraId="4EFA6DCF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公司接待人员</w:t>
            </w:r>
          </w:p>
        </w:tc>
        <w:tc>
          <w:tcPr>
            <w:tcW w:w="7669" w:type="dxa"/>
            <w:vAlign w:val="center"/>
          </w:tcPr>
          <w:p w14:paraId="785371AB" w14:textId="2561F6DA" w:rsidR="00FA405A" w:rsidRPr="00FA405A" w:rsidRDefault="00FA405A" w:rsidP="007828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黄霖翔</w:t>
            </w:r>
            <w:r w:rsidR="004E40E7">
              <w:rPr>
                <w:rFonts w:asciiTheme="minorEastAsia" w:hAnsiTheme="minorEastAsia" w:hint="eastAsia"/>
                <w:sz w:val="24"/>
                <w:szCs w:val="24"/>
              </w:rPr>
              <w:t>、张俊伟</w:t>
            </w:r>
          </w:p>
        </w:tc>
      </w:tr>
      <w:tr w:rsidR="00FA405A" w:rsidRPr="00D47D1E" w14:paraId="1DA12223" w14:textId="77777777" w:rsidTr="00C902DC">
        <w:trPr>
          <w:jc w:val="center"/>
        </w:trPr>
        <w:tc>
          <w:tcPr>
            <w:tcW w:w="1809" w:type="dxa"/>
            <w:vAlign w:val="center"/>
          </w:tcPr>
          <w:p w14:paraId="13120619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投资者交流主要内容和介绍</w:t>
            </w:r>
          </w:p>
        </w:tc>
        <w:tc>
          <w:tcPr>
            <w:tcW w:w="7669" w:type="dxa"/>
            <w:vAlign w:val="center"/>
          </w:tcPr>
          <w:p w14:paraId="6465A281" w14:textId="784FDB6B" w:rsidR="00416F04" w:rsidRPr="00416F04" w:rsidRDefault="004E40E7" w:rsidP="004E40E7">
            <w:pPr>
              <w:spacing w:line="360" w:lineRule="auto"/>
              <w:ind w:firstLineChars="202" w:firstLine="485"/>
              <w:rPr>
                <w:rFonts w:ascii="宋体" w:eastAsia="宋体" w:hAnsi="宋体"/>
                <w:sz w:val="24"/>
                <w:szCs w:val="24"/>
              </w:rPr>
            </w:pPr>
            <w:r w:rsidRPr="004E40E7">
              <w:rPr>
                <w:rFonts w:ascii="宋体" w:eastAsia="宋体" w:hAnsi="宋体" w:hint="eastAsia"/>
                <w:sz w:val="24"/>
                <w:szCs w:val="24"/>
              </w:rPr>
              <w:t>除前期沟通</w:t>
            </w:r>
            <w:r w:rsidR="001E1A37">
              <w:rPr>
                <w:rFonts w:ascii="宋体" w:eastAsia="宋体" w:hAnsi="宋体" w:hint="eastAsia"/>
                <w:sz w:val="24"/>
                <w:szCs w:val="24"/>
              </w:rPr>
              <w:t>过的</w:t>
            </w:r>
            <w:bookmarkStart w:id="0" w:name="_GoBack"/>
            <w:bookmarkEnd w:id="0"/>
            <w:r w:rsidRPr="004E40E7">
              <w:rPr>
                <w:rFonts w:ascii="宋体" w:eastAsia="宋体" w:hAnsi="宋体" w:hint="eastAsia"/>
                <w:sz w:val="24"/>
                <w:szCs w:val="24"/>
              </w:rPr>
              <w:t>事项外，公司就以下问题与投资者进行了交流：</w:t>
            </w:r>
          </w:p>
          <w:p w14:paraId="3DB51CA5" w14:textId="42E98F83" w:rsidR="004E40E7" w:rsidRPr="004E40E7" w:rsidRDefault="004E40E7" w:rsidP="004E40E7">
            <w:pPr>
              <w:spacing w:line="360" w:lineRule="auto"/>
              <w:ind w:left="426"/>
              <w:rPr>
                <w:rFonts w:ascii="宋体" w:eastAsia="宋体" w:hAnsi="宋体"/>
                <w:b/>
                <w:sz w:val="24"/>
                <w:szCs w:val="24"/>
              </w:rPr>
            </w:pPr>
            <w:r w:rsidRPr="004E40E7">
              <w:rPr>
                <w:rFonts w:ascii="宋体" w:eastAsia="宋体" w:hAnsi="宋体" w:hint="eastAsia"/>
                <w:b/>
                <w:sz w:val="24"/>
                <w:szCs w:val="24"/>
              </w:rPr>
              <w:t>1、请问公司的毛利率未来的发展趋势？</w:t>
            </w:r>
          </w:p>
          <w:p w14:paraId="6818A7F3" w14:textId="0E3235D5" w:rsidR="004E40E7" w:rsidRPr="004E40E7" w:rsidRDefault="00B93F6C" w:rsidP="004E40E7">
            <w:pPr>
              <w:spacing w:line="360" w:lineRule="auto"/>
              <w:ind w:firstLineChars="202" w:firstLine="48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4E40E7" w:rsidRPr="004E40E7">
              <w:rPr>
                <w:rFonts w:ascii="宋体" w:eastAsia="宋体" w:hAnsi="宋体" w:hint="eastAsia"/>
                <w:sz w:val="24"/>
                <w:szCs w:val="24"/>
              </w:rPr>
              <w:t>近年来，公司的毛利率水平得到持续改善，主要是受益于产品结构的调整优化。短期来看，公司传统业务的占比、原材料价格的波动以及汇</w:t>
            </w:r>
            <w:r w:rsidR="00B96D3C">
              <w:rPr>
                <w:rFonts w:ascii="宋体" w:eastAsia="宋体" w:hAnsi="宋体" w:hint="eastAsia"/>
                <w:sz w:val="24"/>
                <w:szCs w:val="24"/>
              </w:rPr>
              <w:t>率的波动将对公司的毛利率水平构成一定影响。长期来看，如果公司的</w:t>
            </w:r>
            <w:r w:rsidR="004E40E7" w:rsidRPr="004E40E7">
              <w:rPr>
                <w:rFonts w:ascii="宋体" w:eastAsia="宋体" w:hAnsi="宋体" w:hint="eastAsia"/>
                <w:sz w:val="24"/>
                <w:szCs w:val="24"/>
              </w:rPr>
              <w:t>发展策略得到充分落实验证，高价值量的核心产品占总体业务的比重将不断提升，制造水平随着规模化和自动化的深入发展不断改善，将带动毛利率的平稳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提升</w:t>
            </w:r>
            <w:r w:rsidR="004E40E7" w:rsidRPr="004E40E7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14F01675" w14:textId="6A3C726F" w:rsidR="004E40E7" w:rsidRPr="004E40E7" w:rsidRDefault="004E40E7" w:rsidP="004E40E7">
            <w:pPr>
              <w:spacing w:line="360" w:lineRule="auto"/>
              <w:ind w:left="426"/>
              <w:rPr>
                <w:rFonts w:ascii="宋体" w:eastAsia="宋体" w:hAnsi="宋体"/>
                <w:b/>
                <w:sz w:val="24"/>
                <w:szCs w:val="24"/>
              </w:rPr>
            </w:pPr>
            <w:r w:rsidRPr="004E40E7">
              <w:rPr>
                <w:rFonts w:ascii="宋体" w:eastAsia="宋体" w:hAnsi="宋体" w:hint="eastAsia"/>
                <w:b/>
                <w:sz w:val="24"/>
                <w:szCs w:val="24"/>
              </w:rPr>
              <w:t>2、公司认为热泵配套产品发展的主要动力是什么？</w:t>
            </w:r>
          </w:p>
          <w:p w14:paraId="599A3FAC" w14:textId="3F1710E3" w:rsidR="004E40E7" w:rsidRPr="004E40E7" w:rsidRDefault="00B93F6C" w:rsidP="004E40E7">
            <w:pPr>
              <w:spacing w:line="360" w:lineRule="auto"/>
              <w:ind w:firstLineChars="202" w:firstLine="48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4E40E7" w:rsidRPr="004E40E7">
              <w:rPr>
                <w:rFonts w:ascii="宋体" w:eastAsia="宋体" w:hAnsi="宋体" w:hint="eastAsia"/>
                <w:sz w:val="24"/>
                <w:szCs w:val="24"/>
              </w:rPr>
              <w:t>首先，热泵产业的发展与欧洲的能源战略息息相关，行业上行将赋予供应</w:t>
            </w:r>
            <w:proofErr w:type="gramStart"/>
            <w:r w:rsidR="004E40E7" w:rsidRPr="004E40E7">
              <w:rPr>
                <w:rFonts w:ascii="宋体" w:eastAsia="宋体" w:hAnsi="宋体" w:hint="eastAsia"/>
                <w:sz w:val="24"/>
                <w:szCs w:val="24"/>
              </w:rPr>
              <w:t>链企业</w:t>
            </w:r>
            <w:proofErr w:type="gramEnd"/>
            <w:r w:rsidR="004E40E7" w:rsidRPr="004E40E7">
              <w:rPr>
                <w:rFonts w:ascii="宋体" w:eastAsia="宋体" w:hAnsi="宋体" w:hint="eastAsia"/>
                <w:sz w:val="24"/>
                <w:szCs w:val="24"/>
              </w:rPr>
              <w:t>增长动力。其次，作为公司新兴的业务场景，公司该产品的市占率仍然处于较低水平，依托于技术产品的性价比优势，公司有望继续提升该产品的市场渗透率，给业务发展带来持续的动力。</w:t>
            </w:r>
          </w:p>
          <w:p w14:paraId="0D899A08" w14:textId="77777777" w:rsidR="004E40E7" w:rsidRPr="004E40E7" w:rsidRDefault="004E40E7" w:rsidP="004E40E7">
            <w:pPr>
              <w:spacing w:line="360" w:lineRule="auto"/>
              <w:ind w:firstLineChars="202" w:firstLine="487"/>
              <w:rPr>
                <w:rFonts w:ascii="宋体" w:eastAsia="宋体" w:hAnsi="宋体"/>
                <w:b/>
                <w:sz w:val="24"/>
                <w:szCs w:val="24"/>
              </w:rPr>
            </w:pPr>
            <w:r w:rsidRPr="004E40E7">
              <w:rPr>
                <w:rFonts w:ascii="宋体" w:eastAsia="宋体" w:hAnsi="宋体" w:hint="eastAsia"/>
                <w:b/>
                <w:sz w:val="24"/>
                <w:szCs w:val="24"/>
              </w:rPr>
              <w:t>3、国内宏观经济环境的变化对公司业务存在怎样的影响？</w:t>
            </w:r>
          </w:p>
          <w:p w14:paraId="72E6D1A3" w14:textId="77777777" w:rsidR="004E40E7" w:rsidRPr="004E40E7" w:rsidRDefault="004E40E7" w:rsidP="004E40E7">
            <w:pPr>
              <w:spacing w:line="360" w:lineRule="auto"/>
              <w:ind w:firstLineChars="202" w:firstLine="485"/>
              <w:rPr>
                <w:rFonts w:ascii="宋体" w:eastAsia="宋体" w:hAnsi="宋体"/>
                <w:sz w:val="24"/>
                <w:szCs w:val="24"/>
              </w:rPr>
            </w:pPr>
            <w:r w:rsidRPr="004E40E7">
              <w:rPr>
                <w:rFonts w:ascii="宋体" w:eastAsia="宋体" w:hAnsi="宋体" w:hint="eastAsia"/>
                <w:sz w:val="24"/>
                <w:szCs w:val="24"/>
              </w:rPr>
              <w:t>答：公司内销业务下游主要涵盖农业、房地产、建筑工程项目等民用、工商业配套领域，相关业务营收约占公司整体营收的50%以上，因</w:t>
            </w:r>
            <w:r w:rsidRPr="004E40E7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此公司业务具备一定顺周期特性，能够受益于城市化更新及改造进程。</w:t>
            </w:r>
          </w:p>
          <w:p w14:paraId="1C0544EA" w14:textId="77777777" w:rsidR="004E40E7" w:rsidRPr="004E40E7" w:rsidRDefault="004E40E7" w:rsidP="004E40E7">
            <w:pPr>
              <w:spacing w:line="360" w:lineRule="auto"/>
              <w:ind w:firstLineChars="202" w:firstLine="487"/>
              <w:rPr>
                <w:rFonts w:ascii="宋体" w:eastAsia="宋体" w:hAnsi="宋体"/>
                <w:b/>
                <w:sz w:val="24"/>
                <w:szCs w:val="24"/>
              </w:rPr>
            </w:pPr>
            <w:r w:rsidRPr="004E40E7">
              <w:rPr>
                <w:rFonts w:ascii="宋体" w:eastAsia="宋体" w:hAnsi="宋体" w:hint="eastAsia"/>
                <w:b/>
                <w:sz w:val="24"/>
                <w:szCs w:val="24"/>
              </w:rPr>
              <w:t>4、公司对未来发展的信心主要体现在哪些方面？</w:t>
            </w:r>
          </w:p>
          <w:p w14:paraId="113191AA" w14:textId="77777777" w:rsidR="004E40E7" w:rsidRPr="004E40E7" w:rsidRDefault="004E40E7" w:rsidP="004E40E7">
            <w:pPr>
              <w:spacing w:line="360" w:lineRule="auto"/>
              <w:ind w:firstLineChars="202" w:firstLine="485"/>
              <w:rPr>
                <w:rFonts w:ascii="宋体" w:eastAsia="宋体" w:hAnsi="宋体"/>
                <w:sz w:val="24"/>
                <w:szCs w:val="24"/>
              </w:rPr>
            </w:pPr>
            <w:r w:rsidRPr="004E40E7">
              <w:rPr>
                <w:rFonts w:ascii="宋体" w:eastAsia="宋体" w:hAnsi="宋体" w:hint="eastAsia"/>
                <w:sz w:val="24"/>
                <w:szCs w:val="24"/>
              </w:rPr>
              <w:t>答：企业发展受行业供给格局及外部市场需求两个主要因素的影响，目前公司核心屏蔽泵相关业务先发优势较为明显，未来几年市场格局较为清晰，能够受益于渗透率提升及下游新领域、新场景需求的发展。</w:t>
            </w:r>
          </w:p>
          <w:p w14:paraId="35ADD344" w14:textId="77777777" w:rsidR="004E40E7" w:rsidRPr="004E40E7" w:rsidRDefault="004E40E7" w:rsidP="004E40E7">
            <w:pPr>
              <w:spacing w:line="360" w:lineRule="auto"/>
              <w:ind w:firstLineChars="202" w:firstLine="487"/>
              <w:rPr>
                <w:rFonts w:ascii="宋体" w:eastAsia="宋体" w:hAnsi="宋体"/>
                <w:b/>
                <w:sz w:val="24"/>
                <w:szCs w:val="24"/>
              </w:rPr>
            </w:pPr>
            <w:r w:rsidRPr="004E40E7">
              <w:rPr>
                <w:rFonts w:ascii="宋体" w:eastAsia="宋体" w:hAnsi="宋体" w:hint="eastAsia"/>
                <w:b/>
                <w:sz w:val="24"/>
                <w:szCs w:val="24"/>
              </w:rPr>
              <w:t>5、公司新产能建设情况如何？</w:t>
            </w:r>
          </w:p>
          <w:p w14:paraId="688EAD7E" w14:textId="77777777" w:rsidR="004E40E7" w:rsidRPr="004E40E7" w:rsidRDefault="004E40E7" w:rsidP="004E40E7">
            <w:pPr>
              <w:spacing w:line="360" w:lineRule="auto"/>
              <w:ind w:firstLineChars="202" w:firstLine="485"/>
              <w:rPr>
                <w:rFonts w:ascii="宋体" w:eastAsia="宋体" w:hAnsi="宋体"/>
                <w:sz w:val="24"/>
                <w:szCs w:val="24"/>
              </w:rPr>
            </w:pPr>
            <w:r w:rsidRPr="004E40E7">
              <w:rPr>
                <w:rFonts w:ascii="宋体" w:eastAsia="宋体" w:hAnsi="宋体" w:hint="eastAsia"/>
                <w:sz w:val="24"/>
                <w:szCs w:val="24"/>
              </w:rPr>
              <w:t>答：公司作为上游配套型企业，受下游需求的影响，在主力产品市场格局较为清晰背景下，基于对国内外市场环境的信心，公司将加快推动温岭、合肥新工厂及产能建设，聚焦现有产品升级的同时持续推动新品类、新市场、新客户的开发。</w:t>
            </w:r>
          </w:p>
          <w:p w14:paraId="44A2BA27" w14:textId="31D286EF" w:rsidR="004E40E7" w:rsidRPr="004E40E7" w:rsidRDefault="004E40E7" w:rsidP="004E40E7">
            <w:pPr>
              <w:spacing w:line="360" w:lineRule="auto"/>
              <w:ind w:firstLineChars="202" w:firstLine="487"/>
              <w:rPr>
                <w:rFonts w:ascii="宋体" w:eastAsia="宋体" w:hAnsi="宋体"/>
                <w:b/>
                <w:sz w:val="24"/>
                <w:szCs w:val="24"/>
              </w:rPr>
            </w:pPr>
            <w:r w:rsidRPr="004E40E7">
              <w:rPr>
                <w:rFonts w:ascii="宋体" w:eastAsia="宋体" w:hAnsi="宋体" w:hint="eastAsia"/>
                <w:b/>
                <w:sz w:val="24"/>
                <w:szCs w:val="24"/>
              </w:rPr>
              <w:t>6、公司大股东</w:t>
            </w:r>
            <w:r w:rsidR="00B21816">
              <w:rPr>
                <w:rFonts w:ascii="宋体" w:eastAsia="宋体" w:hAnsi="宋体" w:hint="eastAsia"/>
                <w:b/>
                <w:sz w:val="24"/>
                <w:szCs w:val="24"/>
              </w:rPr>
              <w:t>的</w:t>
            </w:r>
            <w:r w:rsidRPr="004E40E7">
              <w:rPr>
                <w:rFonts w:ascii="宋体" w:eastAsia="宋体" w:hAnsi="宋体" w:hint="eastAsia"/>
                <w:b/>
                <w:sz w:val="24"/>
                <w:szCs w:val="24"/>
              </w:rPr>
              <w:t>持股比例</w:t>
            </w:r>
            <w:r w:rsidR="00AD3D2C">
              <w:rPr>
                <w:rFonts w:ascii="宋体" w:eastAsia="宋体" w:hAnsi="宋体" w:hint="eastAsia"/>
                <w:b/>
                <w:sz w:val="24"/>
                <w:szCs w:val="24"/>
              </w:rPr>
              <w:t>较</w:t>
            </w:r>
            <w:r w:rsidRPr="004E40E7">
              <w:rPr>
                <w:rFonts w:ascii="宋体" w:eastAsia="宋体" w:hAnsi="宋体" w:hint="eastAsia"/>
                <w:b/>
                <w:sz w:val="24"/>
                <w:szCs w:val="24"/>
              </w:rPr>
              <w:t>高</w:t>
            </w:r>
            <w:r w:rsidR="00AD3D2C">
              <w:rPr>
                <w:rFonts w:ascii="宋体" w:eastAsia="宋体" w:hAnsi="宋体" w:hint="eastAsia"/>
                <w:b/>
                <w:sz w:val="24"/>
                <w:szCs w:val="24"/>
              </w:rPr>
              <w:t>，</w:t>
            </w:r>
            <w:r w:rsidRPr="004E40E7">
              <w:rPr>
                <w:rFonts w:ascii="宋体" w:eastAsia="宋体" w:hAnsi="宋体" w:hint="eastAsia"/>
                <w:b/>
                <w:sz w:val="24"/>
                <w:szCs w:val="24"/>
              </w:rPr>
              <w:t>是否有减持计划？</w:t>
            </w:r>
          </w:p>
          <w:p w14:paraId="31CC3BEA" w14:textId="18174DD6" w:rsidR="004E40E7" w:rsidRPr="004E40E7" w:rsidRDefault="004E40E7" w:rsidP="004E40E7">
            <w:pPr>
              <w:spacing w:line="360" w:lineRule="auto"/>
              <w:ind w:firstLineChars="202" w:firstLine="485"/>
              <w:rPr>
                <w:rFonts w:ascii="宋体" w:eastAsia="宋体" w:hAnsi="宋体"/>
                <w:sz w:val="24"/>
                <w:szCs w:val="24"/>
              </w:rPr>
            </w:pPr>
            <w:r w:rsidRPr="004E40E7">
              <w:rPr>
                <w:rFonts w:ascii="宋体" w:eastAsia="宋体" w:hAnsi="宋体" w:hint="eastAsia"/>
                <w:sz w:val="24"/>
                <w:szCs w:val="24"/>
              </w:rPr>
              <w:t>答：上市以来公司</w:t>
            </w:r>
            <w:proofErr w:type="gramStart"/>
            <w:r w:rsidRPr="004E40E7">
              <w:rPr>
                <w:rFonts w:ascii="宋体" w:eastAsia="宋体" w:hAnsi="宋体" w:hint="eastAsia"/>
                <w:sz w:val="24"/>
                <w:szCs w:val="24"/>
              </w:rPr>
              <w:t>实控人未减</w:t>
            </w:r>
            <w:proofErr w:type="gramEnd"/>
            <w:r w:rsidRPr="004E40E7">
              <w:rPr>
                <w:rFonts w:ascii="宋体" w:eastAsia="宋体" w:hAnsi="宋体" w:hint="eastAsia"/>
                <w:sz w:val="24"/>
                <w:szCs w:val="24"/>
              </w:rPr>
              <w:t>持过，均认可企业长期发展与持续分红对股东的回报，后续相关事项</w:t>
            </w:r>
            <w:r w:rsidR="00332FD1">
              <w:rPr>
                <w:rFonts w:ascii="宋体" w:eastAsia="宋体" w:hAnsi="宋体" w:hint="eastAsia"/>
                <w:sz w:val="24"/>
                <w:szCs w:val="24"/>
              </w:rPr>
              <w:t>请</w:t>
            </w:r>
            <w:r w:rsidRPr="004E40E7">
              <w:rPr>
                <w:rFonts w:ascii="宋体" w:eastAsia="宋体" w:hAnsi="宋体" w:hint="eastAsia"/>
                <w:sz w:val="24"/>
                <w:szCs w:val="24"/>
              </w:rPr>
              <w:t>以公司公告为准。</w:t>
            </w:r>
          </w:p>
          <w:p w14:paraId="0323605F" w14:textId="77777777" w:rsidR="004E40E7" w:rsidRPr="004E40E7" w:rsidRDefault="004E40E7" w:rsidP="004E40E7">
            <w:pPr>
              <w:spacing w:line="360" w:lineRule="auto"/>
              <w:ind w:firstLineChars="202" w:firstLine="487"/>
              <w:rPr>
                <w:rFonts w:ascii="宋体" w:eastAsia="宋体" w:hAnsi="宋体"/>
                <w:b/>
                <w:sz w:val="24"/>
                <w:szCs w:val="24"/>
              </w:rPr>
            </w:pPr>
            <w:r w:rsidRPr="004E40E7">
              <w:rPr>
                <w:rFonts w:ascii="宋体" w:eastAsia="宋体" w:hAnsi="宋体" w:hint="eastAsia"/>
                <w:b/>
                <w:sz w:val="24"/>
                <w:szCs w:val="24"/>
              </w:rPr>
              <w:t>7、公司董事会结构已经开始年轻化，关于公司治理这块未来公司是什么安排？</w:t>
            </w:r>
          </w:p>
          <w:p w14:paraId="10440C86" w14:textId="259D3283" w:rsidR="009F792B" w:rsidRPr="004E40E7" w:rsidRDefault="004E40E7" w:rsidP="004E40E7">
            <w:pPr>
              <w:spacing w:line="360" w:lineRule="auto"/>
              <w:ind w:firstLineChars="202" w:firstLine="485"/>
            </w:pPr>
            <w:r w:rsidRPr="004E40E7">
              <w:rPr>
                <w:rFonts w:ascii="宋体" w:eastAsia="宋体" w:hAnsi="宋体" w:hint="eastAsia"/>
                <w:sz w:val="24"/>
                <w:szCs w:val="24"/>
              </w:rPr>
              <w:t>答：新老交替是企业发展的必然过程，目前新老搭配的结构一方面能确保公司重大战略的持续性、重大决策的稳定性；另一方面也能进一步激发和保持微观层面业务的活力及灵活性。未来公司将继续推动治理的年轻化，积极引入、加强职业经理人业务队伍建设，保证公司后续治理的稳定、规范。</w:t>
            </w:r>
          </w:p>
        </w:tc>
      </w:tr>
      <w:tr w:rsidR="002F413D" w:rsidRPr="00FA405A" w14:paraId="4C783464" w14:textId="77777777" w:rsidTr="00C902DC">
        <w:trPr>
          <w:jc w:val="center"/>
        </w:trPr>
        <w:tc>
          <w:tcPr>
            <w:tcW w:w="1809" w:type="dxa"/>
            <w:vAlign w:val="center"/>
          </w:tcPr>
          <w:p w14:paraId="49A747B2" w14:textId="24E82913" w:rsidR="00437461" w:rsidRDefault="002F413D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附件清单</w:t>
            </w:r>
          </w:p>
          <w:p w14:paraId="31764D3C" w14:textId="77777777" w:rsidR="002F413D" w:rsidRDefault="002F413D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（如有）</w:t>
            </w:r>
          </w:p>
        </w:tc>
        <w:tc>
          <w:tcPr>
            <w:tcW w:w="7669" w:type="dxa"/>
            <w:vAlign w:val="center"/>
          </w:tcPr>
          <w:p w14:paraId="227DBAE9" w14:textId="77777777" w:rsidR="002F413D" w:rsidRPr="00FA405A" w:rsidRDefault="002F413D" w:rsidP="00FA405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405A" w:rsidRPr="00FA405A" w14:paraId="13A93FC4" w14:textId="77777777" w:rsidTr="00C902DC">
        <w:trPr>
          <w:trHeight w:val="558"/>
          <w:jc w:val="center"/>
        </w:trPr>
        <w:tc>
          <w:tcPr>
            <w:tcW w:w="1809" w:type="dxa"/>
            <w:vAlign w:val="center"/>
          </w:tcPr>
          <w:p w14:paraId="3A7EBF90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整理日期</w:t>
            </w:r>
          </w:p>
        </w:tc>
        <w:tc>
          <w:tcPr>
            <w:tcW w:w="7669" w:type="dxa"/>
            <w:vAlign w:val="center"/>
          </w:tcPr>
          <w:p w14:paraId="2B87CBFC" w14:textId="476FEF8B" w:rsidR="00FA405A" w:rsidRPr="00FA405A" w:rsidRDefault="00545AAE" w:rsidP="004E40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4B55E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FA405A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4B55E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4E40E7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FA405A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 w14:paraId="5F00050A" w14:textId="77777777" w:rsidR="00FA405A" w:rsidRPr="00FA405A" w:rsidRDefault="00FA405A" w:rsidP="00FA405A">
      <w:pPr>
        <w:jc w:val="left"/>
      </w:pPr>
    </w:p>
    <w:sectPr w:rsidR="00FA405A" w:rsidRPr="00FA4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A46A8" w14:textId="77777777" w:rsidR="00CC141D" w:rsidRDefault="00CC141D" w:rsidP="00FA405A">
      <w:r>
        <w:separator/>
      </w:r>
    </w:p>
  </w:endnote>
  <w:endnote w:type="continuationSeparator" w:id="0">
    <w:p w14:paraId="08EAF90F" w14:textId="77777777" w:rsidR="00CC141D" w:rsidRDefault="00CC141D" w:rsidP="00FA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56EB4" w14:textId="77777777" w:rsidR="00CC141D" w:rsidRDefault="00CC141D" w:rsidP="00FA405A">
      <w:r>
        <w:separator/>
      </w:r>
    </w:p>
  </w:footnote>
  <w:footnote w:type="continuationSeparator" w:id="0">
    <w:p w14:paraId="72A77F6F" w14:textId="77777777" w:rsidR="00CC141D" w:rsidRDefault="00CC141D" w:rsidP="00FA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89E"/>
    <w:multiLevelType w:val="hybridMultilevel"/>
    <w:tmpl w:val="DAF46218"/>
    <w:lvl w:ilvl="0" w:tplc="BDE46832">
      <w:start w:val="1"/>
      <w:numFmt w:val="japaneseCounting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0B72AF"/>
    <w:multiLevelType w:val="hybridMultilevel"/>
    <w:tmpl w:val="A54E2CBC"/>
    <w:lvl w:ilvl="0" w:tplc="2982E7A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37737ADC"/>
    <w:multiLevelType w:val="hybridMultilevel"/>
    <w:tmpl w:val="9C5620EA"/>
    <w:lvl w:ilvl="0" w:tplc="EC66B77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B9"/>
    <w:rsid w:val="00001ABF"/>
    <w:rsid w:val="00002896"/>
    <w:rsid w:val="000053D3"/>
    <w:rsid w:val="0000556D"/>
    <w:rsid w:val="00005886"/>
    <w:rsid w:val="000165B9"/>
    <w:rsid w:val="0001744C"/>
    <w:rsid w:val="00017B19"/>
    <w:rsid w:val="0003539D"/>
    <w:rsid w:val="00044244"/>
    <w:rsid w:val="00044572"/>
    <w:rsid w:val="00056278"/>
    <w:rsid w:val="00057792"/>
    <w:rsid w:val="000603F5"/>
    <w:rsid w:val="00061F6F"/>
    <w:rsid w:val="00063C23"/>
    <w:rsid w:val="0006586D"/>
    <w:rsid w:val="00065EF0"/>
    <w:rsid w:val="000715E4"/>
    <w:rsid w:val="00072832"/>
    <w:rsid w:val="00073DCF"/>
    <w:rsid w:val="000743CD"/>
    <w:rsid w:val="00084069"/>
    <w:rsid w:val="00085132"/>
    <w:rsid w:val="00091A8B"/>
    <w:rsid w:val="000932B5"/>
    <w:rsid w:val="000A27D6"/>
    <w:rsid w:val="000B3C7A"/>
    <w:rsid w:val="000B3FE9"/>
    <w:rsid w:val="000B47E5"/>
    <w:rsid w:val="000B65F0"/>
    <w:rsid w:val="000C12FE"/>
    <w:rsid w:val="000C2343"/>
    <w:rsid w:val="000C28B1"/>
    <w:rsid w:val="000D1817"/>
    <w:rsid w:val="000D2B57"/>
    <w:rsid w:val="000D3651"/>
    <w:rsid w:val="000D4606"/>
    <w:rsid w:val="000D6091"/>
    <w:rsid w:val="000E036F"/>
    <w:rsid w:val="000E54E9"/>
    <w:rsid w:val="000E5502"/>
    <w:rsid w:val="000E669B"/>
    <w:rsid w:val="000E7203"/>
    <w:rsid w:val="000E7965"/>
    <w:rsid w:val="000F0D2A"/>
    <w:rsid w:val="000F3BE9"/>
    <w:rsid w:val="000F61AC"/>
    <w:rsid w:val="00102078"/>
    <w:rsid w:val="00105013"/>
    <w:rsid w:val="00111162"/>
    <w:rsid w:val="0011189C"/>
    <w:rsid w:val="00112581"/>
    <w:rsid w:val="001138C0"/>
    <w:rsid w:val="00122F22"/>
    <w:rsid w:val="00123417"/>
    <w:rsid w:val="00130ADA"/>
    <w:rsid w:val="00132E71"/>
    <w:rsid w:val="00135890"/>
    <w:rsid w:val="00142DF6"/>
    <w:rsid w:val="001468F3"/>
    <w:rsid w:val="0015091F"/>
    <w:rsid w:val="00157687"/>
    <w:rsid w:val="00160C27"/>
    <w:rsid w:val="00161328"/>
    <w:rsid w:val="00161943"/>
    <w:rsid w:val="001718D2"/>
    <w:rsid w:val="0017227A"/>
    <w:rsid w:val="00173FAF"/>
    <w:rsid w:val="00174896"/>
    <w:rsid w:val="00174CA0"/>
    <w:rsid w:val="00177024"/>
    <w:rsid w:val="0017772E"/>
    <w:rsid w:val="001928A7"/>
    <w:rsid w:val="00192FE6"/>
    <w:rsid w:val="001934F8"/>
    <w:rsid w:val="001A0CAF"/>
    <w:rsid w:val="001A4AED"/>
    <w:rsid w:val="001B1321"/>
    <w:rsid w:val="001B2153"/>
    <w:rsid w:val="001B317C"/>
    <w:rsid w:val="001C2129"/>
    <w:rsid w:val="001C5B09"/>
    <w:rsid w:val="001C7AAB"/>
    <w:rsid w:val="001D1D5F"/>
    <w:rsid w:val="001D62F4"/>
    <w:rsid w:val="001D761E"/>
    <w:rsid w:val="001E1337"/>
    <w:rsid w:val="001E1A37"/>
    <w:rsid w:val="001E1A62"/>
    <w:rsid w:val="001E3394"/>
    <w:rsid w:val="001E34EB"/>
    <w:rsid w:val="001E7E2F"/>
    <w:rsid w:val="001F1880"/>
    <w:rsid w:val="001F6506"/>
    <w:rsid w:val="00202452"/>
    <w:rsid w:val="002078E9"/>
    <w:rsid w:val="00210F23"/>
    <w:rsid w:val="00212C56"/>
    <w:rsid w:val="002205AB"/>
    <w:rsid w:val="002232B5"/>
    <w:rsid w:val="00233297"/>
    <w:rsid w:val="00235234"/>
    <w:rsid w:val="00237395"/>
    <w:rsid w:val="00237A1F"/>
    <w:rsid w:val="00243A0A"/>
    <w:rsid w:val="002520A8"/>
    <w:rsid w:val="00262DB2"/>
    <w:rsid w:val="00265411"/>
    <w:rsid w:val="00265A31"/>
    <w:rsid w:val="00267134"/>
    <w:rsid w:val="00267563"/>
    <w:rsid w:val="00267C63"/>
    <w:rsid w:val="00275692"/>
    <w:rsid w:val="00283FF7"/>
    <w:rsid w:val="00285181"/>
    <w:rsid w:val="00291B38"/>
    <w:rsid w:val="002A17AC"/>
    <w:rsid w:val="002A53B7"/>
    <w:rsid w:val="002A78EB"/>
    <w:rsid w:val="002B25A7"/>
    <w:rsid w:val="002B6839"/>
    <w:rsid w:val="002B6B42"/>
    <w:rsid w:val="002C4AF5"/>
    <w:rsid w:val="002D21C8"/>
    <w:rsid w:val="002D22A4"/>
    <w:rsid w:val="002D50D1"/>
    <w:rsid w:val="002E173B"/>
    <w:rsid w:val="002E5034"/>
    <w:rsid w:val="002E6495"/>
    <w:rsid w:val="002E68AF"/>
    <w:rsid w:val="002F2A72"/>
    <w:rsid w:val="002F413D"/>
    <w:rsid w:val="002F65F4"/>
    <w:rsid w:val="003055C8"/>
    <w:rsid w:val="00307E6F"/>
    <w:rsid w:val="0031572E"/>
    <w:rsid w:val="003206A9"/>
    <w:rsid w:val="003271B8"/>
    <w:rsid w:val="003310F1"/>
    <w:rsid w:val="00332FD1"/>
    <w:rsid w:val="003331B8"/>
    <w:rsid w:val="00344794"/>
    <w:rsid w:val="003451E5"/>
    <w:rsid w:val="00353718"/>
    <w:rsid w:val="00355BA8"/>
    <w:rsid w:val="003615A0"/>
    <w:rsid w:val="00365F0F"/>
    <w:rsid w:val="003666F7"/>
    <w:rsid w:val="0037008B"/>
    <w:rsid w:val="003718A9"/>
    <w:rsid w:val="00373B82"/>
    <w:rsid w:val="00380DF6"/>
    <w:rsid w:val="00382F34"/>
    <w:rsid w:val="00383ACF"/>
    <w:rsid w:val="003A45C5"/>
    <w:rsid w:val="003A6C88"/>
    <w:rsid w:val="003B0D02"/>
    <w:rsid w:val="003B6EC8"/>
    <w:rsid w:val="003C6F4A"/>
    <w:rsid w:val="003C7CB5"/>
    <w:rsid w:val="003D3BF5"/>
    <w:rsid w:val="003D3EE6"/>
    <w:rsid w:val="003D4D7D"/>
    <w:rsid w:val="003E0F09"/>
    <w:rsid w:val="003E2221"/>
    <w:rsid w:val="003E2FBD"/>
    <w:rsid w:val="003E6AA1"/>
    <w:rsid w:val="003F525D"/>
    <w:rsid w:val="003F5B01"/>
    <w:rsid w:val="00406E10"/>
    <w:rsid w:val="00413172"/>
    <w:rsid w:val="004133E6"/>
    <w:rsid w:val="00416F04"/>
    <w:rsid w:val="00417A96"/>
    <w:rsid w:val="00417C47"/>
    <w:rsid w:val="00420F2F"/>
    <w:rsid w:val="00426197"/>
    <w:rsid w:val="00430063"/>
    <w:rsid w:val="00431395"/>
    <w:rsid w:val="0043201A"/>
    <w:rsid w:val="00437461"/>
    <w:rsid w:val="00440CF0"/>
    <w:rsid w:val="00443EED"/>
    <w:rsid w:val="00445826"/>
    <w:rsid w:val="00447341"/>
    <w:rsid w:val="00450289"/>
    <w:rsid w:val="0045201D"/>
    <w:rsid w:val="00454371"/>
    <w:rsid w:val="00462685"/>
    <w:rsid w:val="00464283"/>
    <w:rsid w:val="00465128"/>
    <w:rsid w:val="00467DCD"/>
    <w:rsid w:val="0047360A"/>
    <w:rsid w:val="00474F99"/>
    <w:rsid w:val="004810E1"/>
    <w:rsid w:val="00483364"/>
    <w:rsid w:val="004914BA"/>
    <w:rsid w:val="0049302F"/>
    <w:rsid w:val="00493EF8"/>
    <w:rsid w:val="0049484A"/>
    <w:rsid w:val="00495482"/>
    <w:rsid w:val="00496969"/>
    <w:rsid w:val="004A09E3"/>
    <w:rsid w:val="004A15B8"/>
    <w:rsid w:val="004A16EB"/>
    <w:rsid w:val="004A468F"/>
    <w:rsid w:val="004A6E83"/>
    <w:rsid w:val="004A7AFD"/>
    <w:rsid w:val="004B19B1"/>
    <w:rsid w:val="004B4559"/>
    <w:rsid w:val="004B55EF"/>
    <w:rsid w:val="004B669A"/>
    <w:rsid w:val="004C4A89"/>
    <w:rsid w:val="004C62BF"/>
    <w:rsid w:val="004C6489"/>
    <w:rsid w:val="004C77A1"/>
    <w:rsid w:val="004D09EA"/>
    <w:rsid w:val="004D1E0F"/>
    <w:rsid w:val="004D3E7B"/>
    <w:rsid w:val="004D4584"/>
    <w:rsid w:val="004D4F77"/>
    <w:rsid w:val="004E40E7"/>
    <w:rsid w:val="004E7659"/>
    <w:rsid w:val="004F741E"/>
    <w:rsid w:val="005116FA"/>
    <w:rsid w:val="00512034"/>
    <w:rsid w:val="0051211B"/>
    <w:rsid w:val="0051777E"/>
    <w:rsid w:val="00517C6C"/>
    <w:rsid w:val="00517F8B"/>
    <w:rsid w:val="00522104"/>
    <w:rsid w:val="005325A2"/>
    <w:rsid w:val="00533A2C"/>
    <w:rsid w:val="00534502"/>
    <w:rsid w:val="00542AD8"/>
    <w:rsid w:val="00545AAE"/>
    <w:rsid w:val="00551356"/>
    <w:rsid w:val="00552EB7"/>
    <w:rsid w:val="0055738F"/>
    <w:rsid w:val="0056010A"/>
    <w:rsid w:val="0056340B"/>
    <w:rsid w:val="00565F1C"/>
    <w:rsid w:val="0057002A"/>
    <w:rsid w:val="00570C27"/>
    <w:rsid w:val="00570FED"/>
    <w:rsid w:val="0057208D"/>
    <w:rsid w:val="00572706"/>
    <w:rsid w:val="005751A6"/>
    <w:rsid w:val="005865A3"/>
    <w:rsid w:val="005878E8"/>
    <w:rsid w:val="005931E6"/>
    <w:rsid w:val="005963A2"/>
    <w:rsid w:val="00597E1E"/>
    <w:rsid w:val="005A3148"/>
    <w:rsid w:val="005A4530"/>
    <w:rsid w:val="005A479B"/>
    <w:rsid w:val="005B2457"/>
    <w:rsid w:val="005B35F9"/>
    <w:rsid w:val="005C762C"/>
    <w:rsid w:val="005D0498"/>
    <w:rsid w:val="005D6C35"/>
    <w:rsid w:val="005E3251"/>
    <w:rsid w:val="005F0BC9"/>
    <w:rsid w:val="005F5B18"/>
    <w:rsid w:val="005F6683"/>
    <w:rsid w:val="006114B0"/>
    <w:rsid w:val="006164F1"/>
    <w:rsid w:val="00617C42"/>
    <w:rsid w:val="00624645"/>
    <w:rsid w:val="00625D9D"/>
    <w:rsid w:val="00626B60"/>
    <w:rsid w:val="0062798A"/>
    <w:rsid w:val="006307D1"/>
    <w:rsid w:val="006345FF"/>
    <w:rsid w:val="006359B4"/>
    <w:rsid w:val="00645B1B"/>
    <w:rsid w:val="006473BF"/>
    <w:rsid w:val="00650059"/>
    <w:rsid w:val="00652D77"/>
    <w:rsid w:val="00652F6B"/>
    <w:rsid w:val="00655028"/>
    <w:rsid w:val="00656CF7"/>
    <w:rsid w:val="00660C58"/>
    <w:rsid w:val="0066218E"/>
    <w:rsid w:val="0066793F"/>
    <w:rsid w:val="006701D7"/>
    <w:rsid w:val="00670623"/>
    <w:rsid w:val="00671BF6"/>
    <w:rsid w:val="006806D4"/>
    <w:rsid w:val="006900BE"/>
    <w:rsid w:val="00695B20"/>
    <w:rsid w:val="006962F6"/>
    <w:rsid w:val="006A07C9"/>
    <w:rsid w:val="006A7E0F"/>
    <w:rsid w:val="006B42AC"/>
    <w:rsid w:val="006C088F"/>
    <w:rsid w:val="006C0B6C"/>
    <w:rsid w:val="006C1AF7"/>
    <w:rsid w:val="006C4037"/>
    <w:rsid w:val="006C4492"/>
    <w:rsid w:val="006E6B09"/>
    <w:rsid w:val="006E7C59"/>
    <w:rsid w:val="006F297F"/>
    <w:rsid w:val="006F3A73"/>
    <w:rsid w:val="00702B81"/>
    <w:rsid w:val="00704EA6"/>
    <w:rsid w:val="00710A57"/>
    <w:rsid w:val="00715328"/>
    <w:rsid w:val="0072224E"/>
    <w:rsid w:val="00724AFE"/>
    <w:rsid w:val="00727F93"/>
    <w:rsid w:val="007302AB"/>
    <w:rsid w:val="00731661"/>
    <w:rsid w:val="0073195C"/>
    <w:rsid w:val="00731A15"/>
    <w:rsid w:val="007404BC"/>
    <w:rsid w:val="00744C67"/>
    <w:rsid w:val="00745E53"/>
    <w:rsid w:val="00757B9C"/>
    <w:rsid w:val="00773687"/>
    <w:rsid w:val="00775167"/>
    <w:rsid w:val="0078286D"/>
    <w:rsid w:val="00783388"/>
    <w:rsid w:val="007875C0"/>
    <w:rsid w:val="00797EFE"/>
    <w:rsid w:val="007A1A0D"/>
    <w:rsid w:val="007A4EC9"/>
    <w:rsid w:val="007A765E"/>
    <w:rsid w:val="007B3B8B"/>
    <w:rsid w:val="007B7765"/>
    <w:rsid w:val="007B7BFB"/>
    <w:rsid w:val="007C6EA6"/>
    <w:rsid w:val="007D4F6C"/>
    <w:rsid w:val="007E0316"/>
    <w:rsid w:val="007E3430"/>
    <w:rsid w:val="007F438D"/>
    <w:rsid w:val="00805857"/>
    <w:rsid w:val="008078EC"/>
    <w:rsid w:val="00811160"/>
    <w:rsid w:val="0082247F"/>
    <w:rsid w:val="00824122"/>
    <w:rsid w:val="00824E35"/>
    <w:rsid w:val="00824E54"/>
    <w:rsid w:val="00825B0C"/>
    <w:rsid w:val="0082673C"/>
    <w:rsid w:val="00831937"/>
    <w:rsid w:val="00832A57"/>
    <w:rsid w:val="00837291"/>
    <w:rsid w:val="00840FF0"/>
    <w:rsid w:val="0084106E"/>
    <w:rsid w:val="00844FC6"/>
    <w:rsid w:val="0084743A"/>
    <w:rsid w:val="00850B78"/>
    <w:rsid w:val="008547EE"/>
    <w:rsid w:val="00855181"/>
    <w:rsid w:val="00863E59"/>
    <w:rsid w:val="008665B8"/>
    <w:rsid w:val="00866830"/>
    <w:rsid w:val="00866CB9"/>
    <w:rsid w:val="00874436"/>
    <w:rsid w:val="00880521"/>
    <w:rsid w:val="00882723"/>
    <w:rsid w:val="0089258C"/>
    <w:rsid w:val="008925C6"/>
    <w:rsid w:val="00894933"/>
    <w:rsid w:val="0089497D"/>
    <w:rsid w:val="00897E3A"/>
    <w:rsid w:val="008A73D4"/>
    <w:rsid w:val="008B1419"/>
    <w:rsid w:val="008B2168"/>
    <w:rsid w:val="008B288C"/>
    <w:rsid w:val="008B371B"/>
    <w:rsid w:val="008C0E5F"/>
    <w:rsid w:val="008C170D"/>
    <w:rsid w:val="008C479E"/>
    <w:rsid w:val="008D08B1"/>
    <w:rsid w:val="008D2DF6"/>
    <w:rsid w:val="008D7092"/>
    <w:rsid w:val="008D78A2"/>
    <w:rsid w:val="008E4FFD"/>
    <w:rsid w:val="008F1342"/>
    <w:rsid w:val="008F6C3E"/>
    <w:rsid w:val="00901F31"/>
    <w:rsid w:val="009027E6"/>
    <w:rsid w:val="00903E5A"/>
    <w:rsid w:val="00904E1A"/>
    <w:rsid w:val="009105FA"/>
    <w:rsid w:val="009111F8"/>
    <w:rsid w:val="0091354A"/>
    <w:rsid w:val="00915B5A"/>
    <w:rsid w:val="00921199"/>
    <w:rsid w:val="00925279"/>
    <w:rsid w:val="0092701D"/>
    <w:rsid w:val="00930D17"/>
    <w:rsid w:val="00931CDA"/>
    <w:rsid w:val="009325CB"/>
    <w:rsid w:val="00940EEE"/>
    <w:rsid w:val="0094479B"/>
    <w:rsid w:val="009466AF"/>
    <w:rsid w:val="009542D2"/>
    <w:rsid w:val="00957CCD"/>
    <w:rsid w:val="0096039A"/>
    <w:rsid w:val="009621F7"/>
    <w:rsid w:val="00964E3D"/>
    <w:rsid w:val="00970B71"/>
    <w:rsid w:val="009802BA"/>
    <w:rsid w:val="00980B26"/>
    <w:rsid w:val="00980CFB"/>
    <w:rsid w:val="00983D5C"/>
    <w:rsid w:val="00986DF4"/>
    <w:rsid w:val="00993779"/>
    <w:rsid w:val="009950EA"/>
    <w:rsid w:val="009972B9"/>
    <w:rsid w:val="00997FAC"/>
    <w:rsid w:val="009A70F8"/>
    <w:rsid w:val="009B13B9"/>
    <w:rsid w:val="009B6E0F"/>
    <w:rsid w:val="009B7028"/>
    <w:rsid w:val="009B781A"/>
    <w:rsid w:val="009B786D"/>
    <w:rsid w:val="009C03B9"/>
    <w:rsid w:val="009C0813"/>
    <w:rsid w:val="009C1F14"/>
    <w:rsid w:val="009C270D"/>
    <w:rsid w:val="009C7F48"/>
    <w:rsid w:val="009D670C"/>
    <w:rsid w:val="009E0D68"/>
    <w:rsid w:val="009E4A0F"/>
    <w:rsid w:val="009F07B1"/>
    <w:rsid w:val="009F1620"/>
    <w:rsid w:val="009F3B5F"/>
    <w:rsid w:val="009F4F40"/>
    <w:rsid w:val="009F792B"/>
    <w:rsid w:val="009F7D26"/>
    <w:rsid w:val="00A03892"/>
    <w:rsid w:val="00A10DE5"/>
    <w:rsid w:val="00A141FF"/>
    <w:rsid w:val="00A155A6"/>
    <w:rsid w:val="00A20151"/>
    <w:rsid w:val="00A25D78"/>
    <w:rsid w:val="00A272B7"/>
    <w:rsid w:val="00A27678"/>
    <w:rsid w:val="00A3396A"/>
    <w:rsid w:val="00A435A3"/>
    <w:rsid w:val="00A4454E"/>
    <w:rsid w:val="00A46150"/>
    <w:rsid w:val="00A6099D"/>
    <w:rsid w:val="00A60F3F"/>
    <w:rsid w:val="00A63F91"/>
    <w:rsid w:val="00A64F2D"/>
    <w:rsid w:val="00A6589A"/>
    <w:rsid w:val="00A65936"/>
    <w:rsid w:val="00A67CFF"/>
    <w:rsid w:val="00A730DB"/>
    <w:rsid w:val="00A742B6"/>
    <w:rsid w:val="00A91BE4"/>
    <w:rsid w:val="00A923E1"/>
    <w:rsid w:val="00A9394D"/>
    <w:rsid w:val="00A94596"/>
    <w:rsid w:val="00AA04F3"/>
    <w:rsid w:val="00AA16F9"/>
    <w:rsid w:val="00AA2063"/>
    <w:rsid w:val="00AA2184"/>
    <w:rsid w:val="00AA79AF"/>
    <w:rsid w:val="00AB0F9B"/>
    <w:rsid w:val="00AB3D8E"/>
    <w:rsid w:val="00AB4D5A"/>
    <w:rsid w:val="00AB6168"/>
    <w:rsid w:val="00AC0574"/>
    <w:rsid w:val="00AC1412"/>
    <w:rsid w:val="00AC3127"/>
    <w:rsid w:val="00AC3C77"/>
    <w:rsid w:val="00AD3D2C"/>
    <w:rsid w:val="00AD41A3"/>
    <w:rsid w:val="00AE1FE4"/>
    <w:rsid w:val="00AF354A"/>
    <w:rsid w:val="00AF53BE"/>
    <w:rsid w:val="00B0103F"/>
    <w:rsid w:val="00B02959"/>
    <w:rsid w:val="00B02B70"/>
    <w:rsid w:val="00B12629"/>
    <w:rsid w:val="00B13A7D"/>
    <w:rsid w:val="00B152E8"/>
    <w:rsid w:val="00B17F44"/>
    <w:rsid w:val="00B21816"/>
    <w:rsid w:val="00B22127"/>
    <w:rsid w:val="00B23892"/>
    <w:rsid w:val="00B24EF0"/>
    <w:rsid w:val="00B2601E"/>
    <w:rsid w:val="00B32FA4"/>
    <w:rsid w:val="00B3378A"/>
    <w:rsid w:val="00B358C3"/>
    <w:rsid w:val="00B422C5"/>
    <w:rsid w:val="00B427CE"/>
    <w:rsid w:val="00B4360C"/>
    <w:rsid w:val="00B504CD"/>
    <w:rsid w:val="00B50FDC"/>
    <w:rsid w:val="00B55D04"/>
    <w:rsid w:val="00B63538"/>
    <w:rsid w:val="00B7119F"/>
    <w:rsid w:val="00B71FEB"/>
    <w:rsid w:val="00B7204C"/>
    <w:rsid w:val="00B74AAC"/>
    <w:rsid w:val="00B800B9"/>
    <w:rsid w:val="00B81A79"/>
    <w:rsid w:val="00B848B1"/>
    <w:rsid w:val="00B86C98"/>
    <w:rsid w:val="00B87A56"/>
    <w:rsid w:val="00B9280F"/>
    <w:rsid w:val="00B93207"/>
    <w:rsid w:val="00B93F6C"/>
    <w:rsid w:val="00B93FB0"/>
    <w:rsid w:val="00B96D3C"/>
    <w:rsid w:val="00BA092A"/>
    <w:rsid w:val="00BA4D42"/>
    <w:rsid w:val="00BA644F"/>
    <w:rsid w:val="00BB1361"/>
    <w:rsid w:val="00BB2DC8"/>
    <w:rsid w:val="00BC4462"/>
    <w:rsid w:val="00BC64FF"/>
    <w:rsid w:val="00BD7966"/>
    <w:rsid w:val="00BE08D8"/>
    <w:rsid w:val="00BE2033"/>
    <w:rsid w:val="00BE39C1"/>
    <w:rsid w:val="00BF0990"/>
    <w:rsid w:val="00BF1070"/>
    <w:rsid w:val="00BF3867"/>
    <w:rsid w:val="00C0365D"/>
    <w:rsid w:val="00C067E1"/>
    <w:rsid w:val="00C07611"/>
    <w:rsid w:val="00C100C2"/>
    <w:rsid w:val="00C14984"/>
    <w:rsid w:val="00C15B14"/>
    <w:rsid w:val="00C16D42"/>
    <w:rsid w:val="00C1714E"/>
    <w:rsid w:val="00C4130B"/>
    <w:rsid w:val="00C41EEF"/>
    <w:rsid w:val="00C420D3"/>
    <w:rsid w:val="00C4283E"/>
    <w:rsid w:val="00C42B45"/>
    <w:rsid w:val="00C45359"/>
    <w:rsid w:val="00C46E82"/>
    <w:rsid w:val="00C51A7F"/>
    <w:rsid w:val="00C57D02"/>
    <w:rsid w:val="00C662CA"/>
    <w:rsid w:val="00C67A68"/>
    <w:rsid w:val="00C701FE"/>
    <w:rsid w:val="00C737AB"/>
    <w:rsid w:val="00C8141A"/>
    <w:rsid w:val="00C86A7B"/>
    <w:rsid w:val="00C902DC"/>
    <w:rsid w:val="00C913E1"/>
    <w:rsid w:val="00C9245E"/>
    <w:rsid w:val="00CA081D"/>
    <w:rsid w:val="00CA2D19"/>
    <w:rsid w:val="00CC141D"/>
    <w:rsid w:val="00CC3794"/>
    <w:rsid w:val="00CC6A6A"/>
    <w:rsid w:val="00CD2A3B"/>
    <w:rsid w:val="00CD57A4"/>
    <w:rsid w:val="00CE044D"/>
    <w:rsid w:val="00CE1462"/>
    <w:rsid w:val="00CE2306"/>
    <w:rsid w:val="00CE7DF8"/>
    <w:rsid w:val="00CF064D"/>
    <w:rsid w:val="00CF4E5C"/>
    <w:rsid w:val="00D03A95"/>
    <w:rsid w:val="00D044DE"/>
    <w:rsid w:val="00D07420"/>
    <w:rsid w:val="00D22144"/>
    <w:rsid w:val="00D22414"/>
    <w:rsid w:val="00D243E1"/>
    <w:rsid w:val="00D27C53"/>
    <w:rsid w:val="00D3044C"/>
    <w:rsid w:val="00D32F2F"/>
    <w:rsid w:val="00D349D7"/>
    <w:rsid w:val="00D36131"/>
    <w:rsid w:val="00D36E55"/>
    <w:rsid w:val="00D3783C"/>
    <w:rsid w:val="00D44F9F"/>
    <w:rsid w:val="00D47D1E"/>
    <w:rsid w:val="00D52876"/>
    <w:rsid w:val="00D55902"/>
    <w:rsid w:val="00D67FBD"/>
    <w:rsid w:val="00D7469C"/>
    <w:rsid w:val="00D7759B"/>
    <w:rsid w:val="00D77BC3"/>
    <w:rsid w:val="00D851B7"/>
    <w:rsid w:val="00D87DCE"/>
    <w:rsid w:val="00D91997"/>
    <w:rsid w:val="00D93AA2"/>
    <w:rsid w:val="00DA2BA7"/>
    <w:rsid w:val="00DA33AC"/>
    <w:rsid w:val="00DA5D6D"/>
    <w:rsid w:val="00DA6987"/>
    <w:rsid w:val="00DB7A94"/>
    <w:rsid w:val="00DC4E5D"/>
    <w:rsid w:val="00DC67CF"/>
    <w:rsid w:val="00DD1154"/>
    <w:rsid w:val="00DD5546"/>
    <w:rsid w:val="00DE43BC"/>
    <w:rsid w:val="00DE5DB9"/>
    <w:rsid w:val="00DE5E85"/>
    <w:rsid w:val="00DE60FA"/>
    <w:rsid w:val="00DE6520"/>
    <w:rsid w:val="00DE6AFF"/>
    <w:rsid w:val="00DF05DF"/>
    <w:rsid w:val="00DF179F"/>
    <w:rsid w:val="00DF4645"/>
    <w:rsid w:val="00E00915"/>
    <w:rsid w:val="00E00C89"/>
    <w:rsid w:val="00E049AC"/>
    <w:rsid w:val="00E056C3"/>
    <w:rsid w:val="00E068C8"/>
    <w:rsid w:val="00E06B73"/>
    <w:rsid w:val="00E0795D"/>
    <w:rsid w:val="00E14C21"/>
    <w:rsid w:val="00E15E2C"/>
    <w:rsid w:val="00E23518"/>
    <w:rsid w:val="00E26EDD"/>
    <w:rsid w:val="00E278D7"/>
    <w:rsid w:val="00E32773"/>
    <w:rsid w:val="00E32FDC"/>
    <w:rsid w:val="00E3520E"/>
    <w:rsid w:val="00E50B6A"/>
    <w:rsid w:val="00E50C93"/>
    <w:rsid w:val="00E521F9"/>
    <w:rsid w:val="00E54698"/>
    <w:rsid w:val="00E5564E"/>
    <w:rsid w:val="00E72122"/>
    <w:rsid w:val="00E729AF"/>
    <w:rsid w:val="00E74796"/>
    <w:rsid w:val="00E84338"/>
    <w:rsid w:val="00E849EC"/>
    <w:rsid w:val="00E86AC9"/>
    <w:rsid w:val="00E87498"/>
    <w:rsid w:val="00E91D4D"/>
    <w:rsid w:val="00E9202C"/>
    <w:rsid w:val="00E9332E"/>
    <w:rsid w:val="00E93369"/>
    <w:rsid w:val="00EA1922"/>
    <w:rsid w:val="00EA347B"/>
    <w:rsid w:val="00EA45FF"/>
    <w:rsid w:val="00EA48B6"/>
    <w:rsid w:val="00EB3DAD"/>
    <w:rsid w:val="00EC081F"/>
    <w:rsid w:val="00EC1042"/>
    <w:rsid w:val="00EC6670"/>
    <w:rsid w:val="00EC7FAE"/>
    <w:rsid w:val="00ED7139"/>
    <w:rsid w:val="00ED7329"/>
    <w:rsid w:val="00EE776C"/>
    <w:rsid w:val="00EE7A55"/>
    <w:rsid w:val="00EF2E2B"/>
    <w:rsid w:val="00F0236F"/>
    <w:rsid w:val="00F03647"/>
    <w:rsid w:val="00F05C22"/>
    <w:rsid w:val="00F0671F"/>
    <w:rsid w:val="00F17ED5"/>
    <w:rsid w:val="00F31CA6"/>
    <w:rsid w:val="00F32323"/>
    <w:rsid w:val="00F34A9E"/>
    <w:rsid w:val="00F35D6D"/>
    <w:rsid w:val="00F362DC"/>
    <w:rsid w:val="00F458FF"/>
    <w:rsid w:val="00F463B1"/>
    <w:rsid w:val="00F924EC"/>
    <w:rsid w:val="00F943B5"/>
    <w:rsid w:val="00F94824"/>
    <w:rsid w:val="00F96414"/>
    <w:rsid w:val="00F96C37"/>
    <w:rsid w:val="00FA405A"/>
    <w:rsid w:val="00FB52E9"/>
    <w:rsid w:val="00FB5472"/>
    <w:rsid w:val="00FB6D94"/>
    <w:rsid w:val="00FB7D2C"/>
    <w:rsid w:val="00FC1307"/>
    <w:rsid w:val="00FC2C9E"/>
    <w:rsid w:val="00FD466A"/>
    <w:rsid w:val="00FD6238"/>
    <w:rsid w:val="00FD7FF2"/>
    <w:rsid w:val="00FE2B4B"/>
    <w:rsid w:val="00FF09E6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2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A40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A40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A405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05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A40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A405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A405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Subtitle"/>
    <w:basedOn w:val="a"/>
    <w:next w:val="a"/>
    <w:link w:val="Char1"/>
    <w:uiPriority w:val="11"/>
    <w:qFormat/>
    <w:rsid w:val="00FA405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FA405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FA4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F4A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BD796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D796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D796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D796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D7966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BD7966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D7966"/>
    <w:rPr>
      <w:sz w:val="18"/>
      <w:szCs w:val="18"/>
    </w:rPr>
  </w:style>
  <w:style w:type="paragraph" w:styleId="ac">
    <w:name w:val="Revision"/>
    <w:hidden/>
    <w:uiPriority w:val="99"/>
    <w:semiHidden/>
    <w:rsid w:val="0017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A40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A40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A405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05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A40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A405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A405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Subtitle"/>
    <w:basedOn w:val="a"/>
    <w:next w:val="a"/>
    <w:link w:val="Char1"/>
    <w:uiPriority w:val="11"/>
    <w:qFormat/>
    <w:rsid w:val="00FA405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FA405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FA4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F4A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BD796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D796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D796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D796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D7966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BD7966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D7966"/>
    <w:rPr>
      <w:sz w:val="18"/>
      <w:szCs w:val="18"/>
    </w:rPr>
  </w:style>
  <w:style w:type="paragraph" w:styleId="ac">
    <w:name w:val="Revision"/>
    <w:hidden/>
    <w:uiPriority w:val="99"/>
    <w:semiHidden/>
    <w:rsid w:val="0017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F037-327F-48E4-916F-69AE98AB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195</Words>
  <Characters>1114</Characters>
  <Application>Microsoft Office Word</Application>
  <DocSecurity>0</DocSecurity>
  <Lines>9</Lines>
  <Paragraphs>2</Paragraphs>
  <ScaleCrop>false</ScaleCrop>
  <Company>微软中国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HLX</dc:creator>
  <cp:lastModifiedBy>w</cp:lastModifiedBy>
  <cp:revision>40</cp:revision>
  <dcterms:created xsi:type="dcterms:W3CDTF">2023-05-26T05:36:00Z</dcterms:created>
  <dcterms:modified xsi:type="dcterms:W3CDTF">2023-07-27T08:46:00Z</dcterms:modified>
</cp:coreProperties>
</file>