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Cs/>
          <w:iCs/>
          <w:color w:val="000000"/>
          <w:sz w:val="24"/>
        </w:rPr>
      </w:pPr>
      <w:bookmarkStart w:id="0" w:name="_Toc515462335"/>
      <w:r>
        <w:rPr>
          <w:rFonts w:hint="eastAsia" w:ascii="宋体" w:hAnsi="宋体"/>
          <w:bCs/>
          <w:iCs/>
          <w:color w:val="000000"/>
          <w:sz w:val="24"/>
        </w:rPr>
        <w:t xml:space="preserve">证券代码：600392  </w:t>
      </w: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证券简称：盛和资源</w:t>
      </w:r>
    </w:p>
    <w:p>
      <w:pPr>
        <w:widowControl/>
        <w:jc w:val="center"/>
        <w:rPr>
          <w:rFonts w:ascii="宋体" w:hAnsi="宋体"/>
          <w:bCs/>
          <w:iCs/>
          <w:color w:val="000000"/>
          <w:sz w:val="24"/>
        </w:rPr>
      </w:pPr>
    </w:p>
    <w:p>
      <w:pPr>
        <w:widowControl/>
        <w:spacing w:before="312" w:beforeLines="100"/>
        <w:jc w:val="center"/>
        <w:rPr>
          <w:rFonts w:ascii="宋体" w:hAnsi="宋体"/>
          <w:bCs/>
          <w:iCs/>
          <w:color w:val="000000"/>
          <w:sz w:val="36"/>
          <w:szCs w:val="36"/>
        </w:rPr>
      </w:pPr>
      <w:r>
        <w:rPr>
          <w:rFonts w:hint="eastAsia" w:ascii="宋体" w:hAnsi="宋体"/>
          <w:bCs/>
          <w:iCs/>
          <w:color w:val="000000"/>
          <w:sz w:val="36"/>
          <w:szCs w:val="36"/>
        </w:rPr>
        <w:t>盛和资源控股股份有限公司</w:t>
      </w:r>
    </w:p>
    <w:p>
      <w:pPr>
        <w:widowControl/>
        <w:spacing w:after="312" w:afterLines="100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bCs/>
          <w:iCs/>
          <w:color w:val="000000"/>
          <w:sz w:val="36"/>
          <w:szCs w:val="36"/>
        </w:rPr>
        <w:t>投资者关系活动记录表</w:t>
      </w:r>
    </w:p>
    <w:p>
      <w:pPr>
        <w:spacing w:line="360" w:lineRule="auto"/>
        <w:rPr>
          <w:rFonts w:ascii="宋体" w:hAnsi="宋体"/>
          <w:bCs/>
          <w:iCs/>
          <w:color w:val="000000"/>
          <w:szCs w:val="21"/>
        </w:rPr>
      </w:pPr>
      <w:r>
        <w:rPr>
          <w:rFonts w:ascii="宋体" w:hAnsi="宋体"/>
          <w:bCs/>
          <w:iCs/>
          <w:color w:val="000000"/>
          <w:szCs w:val="21"/>
        </w:rPr>
        <w:t xml:space="preserve">                                        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</w:t>
      </w:r>
      <w:r>
        <w:rPr>
          <w:rFonts w:ascii="宋体" w:hAnsi="宋体"/>
          <w:bCs/>
          <w:iCs/>
          <w:color w:val="000000"/>
          <w:szCs w:val="21"/>
        </w:rPr>
        <w:t>编号：</w:t>
      </w:r>
      <w:r>
        <w:rPr>
          <w:rFonts w:hint="eastAsia" w:ascii="宋体" w:hAnsi="宋体"/>
          <w:bCs/>
          <w:iCs/>
          <w:color w:val="000000"/>
          <w:szCs w:val="21"/>
        </w:rPr>
        <w:t>20</w:t>
      </w:r>
      <w:r>
        <w:rPr>
          <w:rFonts w:ascii="宋体" w:hAnsi="宋体"/>
          <w:bCs/>
          <w:iCs/>
          <w:color w:val="000000"/>
          <w:szCs w:val="21"/>
        </w:rPr>
        <w:t>2</w:t>
      </w:r>
      <w:r>
        <w:rPr>
          <w:rFonts w:hint="eastAsia" w:ascii="宋体" w:hAnsi="宋体"/>
          <w:bCs/>
          <w:iCs/>
          <w:color w:val="000000"/>
          <w:szCs w:val="21"/>
        </w:rPr>
        <w:t>3</w:t>
      </w:r>
      <w:r>
        <w:rPr>
          <w:rFonts w:ascii="宋体" w:hAnsi="宋体"/>
          <w:bCs/>
          <w:iCs/>
          <w:color w:val="000000"/>
          <w:szCs w:val="21"/>
        </w:rPr>
        <w:t>-0</w:t>
      </w:r>
      <w:r>
        <w:rPr>
          <w:rFonts w:hint="eastAsia" w:ascii="宋体" w:hAnsi="宋体"/>
          <w:bCs/>
          <w:iCs/>
          <w:color w:val="000000"/>
          <w:szCs w:val="21"/>
        </w:rPr>
        <w:t>5</w:t>
      </w:r>
    </w:p>
    <w:tbl>
      <w:tblPr>
        <w:tblStyle w:val="10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投资者关系活动类别</w:t>
            </w:r>
            <w:r>
              <w:rPr>
                <w:rFonts w:hint="eastAsia" w:ascii="宋体" w:hAnsi="宋体"/>
                <w:b/>
                <w:bCs/>
                <w:iCs/>
                <w:color w:val="000000"/>
                <w:szCs w:val="21"/>
              </w:rPr>
              <w:t>“选中项请打√”</w:t>
            </w:r>
          </w:p>
        </w:tc>
        <w:tc>
          <w:tcPr>
            <w:tcW w:w="7088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ascii="宋体" w:hAnsi="宋体"/>
                <w:color w:val="000000"/>
                <w:szCs w:val="21"/>
              </w:rPr>
              <w:t xml:space="preserve">特定对象调研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</w:rPr>
              <w:t>分析师会议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  </w:t>
            </w:r>
            <w:bookmarkStart w:id="1" w:name="OLE_LINK1"/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bookmarkEnd w:id="1"/>
            <w:r>
              <w:rPr>
                <w:rFonts w:ascii="宋体" w:hAnsi="宋体"/>
                <w:color w:val="000000"/>
                <w:szCs w:val="21"/>
              </w:rPr>
              <w:t xml:space="preserve">媒体采访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</w:t>
            </w:r>
            <w:r>
              <w:rPr>
                <w:rFonts w:ascii="宋体" w:hAnsi="宋体"/>
                <w:color w:val="000000"/>
                <w:szCs w:val="21"/>
              </w:rPr>
              <w:t>业绩说明会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新闻发布会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路演活动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ab/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其他</w:t>
            </w:r>
            <w:r>
              <w:rPr>
                <w:rFonts w:hint="eastAsia" w:ascii="宋体" w:hAnsi="宋体"/>
                <w:color w:val="000000"/>
                <w:szCs w:val="21"/>
              </w:rPr>
              <w:t>（电话</w:t>
            </w:r>
            <w:r>
              <w:rPr>
                <w:rFonts w:ascii="宋体" w:hAnsi="宋体"/>
                <w:color w:val="000000"/>
                <w:szCs w:val="21"/>
              </w:rPr>
              <w:t>会议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参与单位名称</w:t>
            </w:r>
          </w:p>
        </w:tc>
        <w:tc>
          <w:tcPr>
            <w:tcW w:w="708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海永正投资、杭州波粒二象资产管理、山东融升私募基金、上海永唐盛世资产管理、财联社犇财、杭州佳祺资产、中金銀海香港基金、复星产业基金、海银财富、广东融昊资产管理、汇金国际、上海益和源资产管理、上海朴言、华鑫证券、勉睿投资、湖南正兴私募基金、广发证券、财通证券、中航证券、杭州点将台投资管理、华夏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088" w:type="dxa"/>
            <w:vAlign w:val="center"/>
          </w:tcPr>
          <w:p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202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088" w:type="dxa"/>
            <w:vAlign w:val="center"/>
          </w:tcPr>
          <w:p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公司总部会议室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088" w:type="dxa"/>
            <w:vAlign w:val="center"/>
          </w:tcPr>
          <w:p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董事会秘书：郭晓雷 证券事务代表：陈冬梅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szCs w:val="21"/>
              </w:rPr>
              <w:t>电话会议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Cs w:val="21"/>
              </w:rPr>
            </w:pPr>
            <w:r>
              <w:rPr>
                <w:rFonts w:ascii="宋体" w:hAnsi="宋体"/>
                <w:b/>
                <w:bCs/>
                <w:iCs/>
                <w:szCs w:val="21"/>
              </w:rPr>
              <w:t>主要内容介绍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7088" w:type="dxa"/>
          </w:tcPr>
          <w:p>
            <w:pPr>
              <w:numPr>
                <w:ilvl w:val="0"/>
                <w:numId w:val="1"/>
              </w:numPr>
              <w:spacing w:before="156" w:beforeLines="5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公司的核心竞争力有哪些方面？</w:t>
            </w:r>
          </w:p>
          <w:p>
            <w:pPr>
              <w:spacing w:before="156" w:beforeLines="50"/>
              <w:ind w:firstLine="420" w:firstLineChars="200"/>
            </w:pPr>
            <w:r>
              <w:rPr>
                <w:rFonts w:hint="eastAsia"/>
                <w:lang w:val="en-US" w:eastAsia="zh-CN"/>
              </w:rPr>
              <w:t>灵活的体制机制，多元化的原料供应渠道，国内国外的双重布局和良好的国内国际声誉，等，都是公司长期以来积累的核心竞争力，具体请参见公司年度报告的披露</w:t>
            </w:r>
            <w:r>
              <w:t>。</w:t>
            </w:r>
          </w:p>
          <w:p>
            <w:pPr>
              <w:numPr>
                <w:ilvl w:val="0"/>
                <w:numId w:val="1"/>
              </w:numPr>
              <w:spacing w:before="156" w:beforeLines="50"/>
              <w:ind w:firstLine="420" w:firstLineChars="200"/>
              <w:rPr>
                <w:rFonts w:ascii="宋体" w:hAnsi="宋体" w:cs="宋体"/>
                <w:color w:val="2A2B2E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2A2B2E"/>
                <w:szCs w:val="21"/>
                <w:shd w:val="clear" w:color="auto" w:fill="FFFFFF"/>
              </w:rPr>
              <w:t>格陵兰项目目前的进展情况？</w:t>
            </w:r>
          </w:p>
          <w:p>
            <w:pPr>
              <w:spacing w:before="156" w:beforeLines="50"/>
              <w:ind w:firstLine="420" w:firstLineChars="200"/>
            </w:pPr>
            <w:r>
              <w:rPr>
                <w:rFonts w:hint="eastAsia"/>
              </w:rPr>
              <w:t>拥有格陵兰科瓦内湾稀土矿勘探权的澳洲</w:t>
            </w:r>
            <w:bookmarkStart w:id="2" w:name="_GoBack"/>
            <w:bookmarkEnd w:id="2"/>
            <w:r>
              <w:rPr>
                <w:rFonts w:hint="eastAsia"/>
              </w:rPr>
              <w:t>公司E</w:t>
            </w:r>
            <w:r>
              <w:t>TM</w:t>
            </w:r>
            <w:r>
              <w:rPr>
                <w:rFonts w:hint="eastAsia"/>
              </w:rPr>
              <w:t>（原格陵兰矿物有限公司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盛和持股比例9.22%</w:t>
            </w:r>
            <w:r>
              <w:rPr>
                <w:rFonts w:hint="eastAsia"/>
              </w:rPr>
              <w:t>）最近发布了公告，</w:t>
            </w:r>
            <w:r>
              <w:rPr>
                <w:rFonts w:hint="eastAsia"/>
                <w:lang w:val="en-US" w:eastAsia="zh-CN"/>
              </w:rPr>
              <w:t>其</w:t>
            </w:r>
            <w:r>
              <w:rPr>
                <w:rFonts w:hint="eastAsia"/>
              </w:rPr>
              <w:t>已向设在哥本哈根的仲裁庭提交了一份索赔声明。E</w:t>
            </w:r>
            <w:r>
              <w:t>TM</w:t>
            </w:r>
            <w:r>
              <w:rPr>
                <w:rFonts w:hint="eastAsia"/>
              </w:rPr>
              <w:t>公司</w:t>
            </w:r>
            <w:r>
              <w:rPr>
                <w:rFonts w:hint="eastAsia" w:ascii="宋体" w:hAnsi="宋体" w:cs="宋体"/>
              </w:rPr>
              <w:t>要求仲裁庭确认</w:t>
            </w:r>
            <w:r>
              <w:rPr>
                <w:rFonts w:hint="eastAsia" w:ascii="Calibri"/>
              </w:rPr>
              <w:t>其</w:t>
            </w:r>
            <w:r>
              <w:rPr>
                <w:rFonts w:hint="eastAsia" w:ascii="宋体" w:hAnsi="宋体" w:cs="宋体"/>
              </w:rPr>
              <w:t>有权获得开采许可证，同时寻求仲裁庭</w:t>
            </w:r>
            <w:r>
              <w:rPr>
                <w:rFonts w:hint="eastAsia" w:ascii="宋体" w:hAnsi="宋体" w:cs="宋体"/>
                <w:lang w:val="en-US" w:eastAsia="zh-CN"/>
              </w:rPr>
              <w:t>确</w:t>
            </w:r>
            <w:r>
              <w:rPr>
                <w:rFonts w:hint="eastAsia" w:ascii="宋体" w:hAnsi="宋体" w:cs="宋体"/>
              </w:rPr>
              <w:t>定格陵兰政府和丹麦王国政府是否需要因违反合同支付赔偿金</w:t>
            </w:r>
            <w:r>
              <w:rPr>
                <w:rFonts w:hint="eastAsia"/>
              </w:rPr>
              <w:t>。公司会密切关注E</w:t>
            </w:r>
            <w:r>
              <w:t>TM</w:t>
            </w:r>
            <w:r>
              <w:rPr>
                <w:rFonts w:hint="eastAsia"/>
              </w:rPr>
              <w:t>仲裁事项的进展情况。</w:t>
            </w:r>
          </w:p>
          <w:p>
            <w:pPr>
              <w:numPr>
                <w:ilvl w:val="0"/>
                <w:numId w:val="1"/>
              </w:numPr>
              <w:spacing w:before="156" w:beforeLines="50"/>
              <w:ind w:firstLine="420" w:firstLineChars="200"/>
              <w:rPr>
                <w:rFonts w:ascii="宋体" w:hAnsi="宋体" w:cs="宋体"/>
                <w:color w:val="2A2B2E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2A2B2E"/>
                <w:szCs w:val="21"/>
                <w:shd w:val="clear" w:color="auto" w:fill="FFFFFF"/>
              </w:rPr>
              <w:t>公司目前订单情况怎么样？</w:t>
            </w:r>
          </w:p>
          <w:p>
            <w:pPr>
              <w:spacing w:before="156" w:beforeLines="5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公司目前销售情况不错，一季度销量有所增长。</w:t>
            </w:r>
          </w:p>
          <w:p>
            <w:pPr>
              <w:numPr>
                <w:ilvl w:val="0"/>
                <w:numId w:val="1"/>
              </w:numPr>
              <w:spacing w:before="156" w:beforeLines="5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稀土价格持续下跌，公司将如何应对，今年营收目标200亿能否达成？</w:t>
            </w:r>
          </w:p>
          <w:p>
            <w:pPr>
              <w:spacing w:before="156" w:beforeLines="50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稀土价格主要受供需影响，</w:t>
            </w:r>
            <w:r>
              <w:rPr>
                <w:rFonts w:ascii="宋体" w:hAnsi="宋体"/>
              </w:rPr>
              <w:t>长期来看稀土供应趋向集中，需求端随着新能源、新材料、节能环保等产业高速发展，预期保持长期持续增长，会对稀土价格保持合理区间运行提供支撑</w:t>
            </w:r>
            <w:r>
              <w:rPr>
                <w:rFonts w:hint="eastAsia" w:ascii="宋体" w:hAnsi="宋体"/>
              </w:rPr>
              <w:t>。在资源端，公司多年来一直在</w:t>
            </w:r>
            <w:r>
              <w:rPr>
                <w:rFonts w:hint="eastAsia" w:ascii="宋体" w:hAnsi="宋体"/>
                <w:lang w:val="en-US" w:eastAsia="zh-CN"/>
              </w:rPr>
              <w:t>全球范围内</w:t>
            </w:r>
            <w:r>
              <w:rPr>
                <w:rFonts w:hint="eastAsia" w:ascii="宋体" w:hAnsi="宋体"/>
              </w:rPr>
              <w:t>寻找</w:t>
            </w:r>
            <w:r>
              <w:rPr>
                <w:rFonts w:hint="eastAsia" w:ascii="宋体" w:hAnsi="宋体"/>
                <w:lang w:val="en-US" w:eastAsia="zh-CN"/>
              </w:rPr>
              <w:t>优质的</w:t>
            </w:r>
            <w:r>
              <w:rPr>
                <w:rFonts w:hint="eastAsia" w:ascii="宋体" w:hAnsi="宋体"/>
              </w:rPr>
              <w:t>稀土资源项目，</w:t>
            </w:r>
            <w:r>
              <w:rPr>
                <w:rFonts w:hint="eastAsia" w:ascii="宋体" w:hAnsi="宋体"/>
                <w:lang w:val="en-US" w:eastAsia="zh-CN"/>
              </w:rPr>
              <w:t>会综合评判项目的资源禀赋和开发前景</w:t>
            </w:r>
            <w:r>
              <w:rPr>
                <w:rFonts w:hint="eastAsia" w:ascii="宋体" w:hAnsi="宋体"/>
              </w:rPr>
              <w:t>，投的项目是优中选优。</w:t>
            </w:r>
          </w:p>
          <w:p>
            <w:pPr>
              <w:spacing w:before="156" w:beforeLines="5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公司在今年初推出了2023至2025年发展规划，</w:t>
            </w:r>
            <w:r>
              <w:rPr>
                <w:rFonts w:hint="eastAsia" w:ascii="宋体" w:hAnsi="宋体"/>
              </w:rPr>
              <w:t>公司管理层有信心完成今年的营收目标。</w:t>
            </w:r>
          </w:p>
          <w:p>
            <w:pPr>
              <w:numPr>
                <w:ilvl w:val="0"/>
                <w:numId w:val="1"/>
              </w:numPr>
              <w:spacing w:before="156" w:beforeLines="5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特斯拉宣称未来不用稀土电机对公司有没有影响？</w:t>
            </w:r>
          </w:p>
          <w:p>
            <w:pPr>
              <w:spacing w:before="156" w:beforeLines="50"/>
              <w:ind w:firstLine="420" w:firstLineChars="200"/>
            </w:pPr>
            <w:r>
              <w:rPr>
                <w:rFonts w:hint="eastAsia" w:ascii="宋体" w:hAnsi="宋体"/>
                <w:lang w:val="en-US" w:eastAsia="zh-CN"/>
              </w:rPr>
              <w:t>稀土永磁电机</w:t>
            </w:r>
            <w:r>
              <w:rPr>
                <w:rFonts w:hint="eastAsia" w:ascii="宋体" w:hAnsi="宋体"/>
              </w:rPr>
              <w:t>具有节能效果好、体积小、重量轻、便于精准控制等优点，正处于大规模应用而方兴未艾的发展阶段。稀土永磁电机与传统电机相比，节能效果非常明显，在“双碳”目标和绿色低碳背景下，稀土永磁材料具有巨大的发展应用空间。我们对稀土产业发展充满信心。</w:t>
            </w:r>
          </w:p>
          <w:p>
            <w:pPr>
              <w:numPr>
                <w:ilvl w:val="0"/>
                <w:numId w:val="1"/>
              </w:numPr>
              <w:spacing w:before="156" w:beforeLines="5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有股权激励的计划吗？</w:t>
            </w:r>
          </w:p>
          <w:p>
            <w:pPr>
              <w:spacing w:before="156" w:beforeLines="50"/>
              <w:ind w:left="420" w:left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在适当的时机公司会考虑。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105" w:firstLineChars="50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088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202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3年7月3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iCs/>
                <w:color w:val="000000"/>
                <w:szCs w:val="21"/>
              </w:rPr>
              <w:t>日</w:t>
            </w:r>
          </w:p>
        </w:tc>
      </w:tr>
      <w:bookmarkEnd w:id="0"/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797" w:bottom="1134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  <w:rFonts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4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—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83D65"/>
    <w:multiLevelType w:val="singleLevel"/>
    <w:tmpl w:val="31E83D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WU0ODljM2NmZjU5OGNmMjFkOGY5YmJkOTk2ODUifQ=="/>
  </w:docVars>
  <w:rsids>
    <w:rsidRoot w:val="00953981"/>
    <w:rsid w:val="0007285A"/>
    <w:rsid w:val="00081574"/>
    <w:rsid w:val="00177EC3"/>
    <w:rsid w:val="00180568"/>
    <w:rsid w:val="001C1D99"/>
    <w:rsid w:val="00593A9B"/>
    <w:rsid w:val="009456A9"/>
    <w:rsid w:val="00953981"/>
    <w:rsid w:val="00AB65AE"/>
    <w:rsid w:val="00B61558"/>
    <w:rsid w:val="00F536E6"/>
    <w:rsid w:val="0ECB5A9B"/>
    <w:rsid w:val="222A111F"/>
    <w:rsid w:val="36C22E36"/>
    <w:rsid w:val="3A8638A8"/>
    <w:rsid w:val="3ED65E91"/>
    <w:rsid w:val="41C10393"/>
    <w:rsid w:val="5CC34FC4"/>
    <w:rsid w:val="60F224FB"/>
    <w:rsid w:val="658E7179"/>
    <w:rsid w:val="6AC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0"/>
    <w:rPr>
      <w:sz w:val="28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rPr>
      <w:rFonts w:ascii="Calibri" w:hAnsi="Calibri"/>
      <w:sz w:val="24"/>
    </w:rPr>
  </w:style>
  <w:style w:type="table" w:styleId="11">
    <w:name w:val="Table Grid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qFormat/>
    <w:uiPriority w:val="0"/>
  </w:style>
  <w:style w:type="character" w:styleId="15">
    <w:name w:val="Emphasis"/>
    <w:qFormat/>
    <w:uiPriority w:val="0"/>
    <w:rPr>
      <w:i/>
    </w:rPr>
  </w:style>
  <w:style w:type="character" w:styleId="1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7">
    <w:name w:val="标题 1 字符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8">
    <w:name w:val="标题 2 字符"/>
    <w:link w:val="3"/>
    <w:qFormat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19">
    <w:name w:val="正文文本 字符"/>
    <w:link w:val="4"/>
    <w:qFormat/>
    <w:uiPriority w:val="0"/>
    <w:rPr>
      <w:kern w:val="2"/>
      <w:sz w:val="28"/>
      <w:szCs w:val="24"/>
    </w:rPr>
  </w:style>
  <w:style w:type="character" w:customStyle="1" w:styleId="20">
    <w:name w:val="批注框文本 字符"/>
    <w:link w:val="6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</Company>
  <Pages>2</Pages>
  <Words>1172</Words>
  <Characters>1199</Characters>
  <Lines>9</Lines>
  <Paragraphs>2</Paragraphs>
  <TotalTime>2</TotalTime>
  <ScaleCrop>false</ScaleCrop>
  <LinksUpToDate>false</LinksUpToDate>
  <CharactersWithSpaces>1324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2023-03-24T02:05:00Z</dcterms:created>
  <dc:creator>Li</dc:creator>
  <cp:lastModifiedBy>Ray</cp:lastModifiedBy>
  <cp:lastPrinted>2010-08-04T06:50:00Z</cp:lastPrinted>
  <dcterms:modified xsi:type="dcterms:W3CDTF">2023-07-31T01:50:58Z</dcterms:modified>
  <dc:title>四川省上市公司协会文件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059C1F07EE474BB595669230EAE36354_13</vt:lpwstr>
  </property>
</Properties>
</file>