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7" w:rsidRPr="005D0270" w:rsidRDefault="00A40387">
      <w:pPr>
        <w:rPr>
          <w:sz w:val="24"/>
          <w:szCs w:val="24"/>
        </w:rPr>
      </w:pPr>
      <w:r w:rsidRPr="00D114B7">
        <w:rPr>
          <w:sz w:val="24"/>
          <w:szCs w:val="24"/>
        </w:rPr>
        <w:t>公司代码：</w:t>
      </w:r>
      <w:r w:rsidRPr="00D114B7">
        <w:rPr>
          <w:rFonts w:hint="eastAsia"/>
          <w:sz w:val="24"/>
          <w:szCs w:val="24"/>
        </w:rPr>
        <w:t xml:space="preserve">600865     </w:t>
      </w:r>
      <w:r w:rsidR="00D114B7">
        <w:rPr>
          <w:rFonts w:hint="eastAsia"/>
          <w:sz w:val="24"/>
          <w:szCs w:val="24"/>
        </w:rPr>
        <w:t xml:space="preserve">                                      </w:t>
      </w:r>
      <w:r w:rsidRPr="00D114B7">
        <w:rPr>
          <w:rFonts w:hint="eastAsia"/>
          <w:sz w:val="24"/>
          <w:szCs w:val="24"/>
        </w:rPr>
        <w:t>公司简称：百大集团</w:t>
      </w:r>
    </w:p>
    <w:p w:rsidR="00A40387" w:rsidRPr="006F2F92" w:rsidRDefault="00A40387" w:rsidP="00CD4C3A">
      <w:pPr>
        <w:spacing w:beforeLines="50" w:before="156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百大集团股份有限公司</w:t>
      </w:r>
    </w:p>
    <w:p w:rsidR="00A40387" w:rsidRPr="006F2F92" w:rsidRDefault="00A84E34" w:rsidP="00AF25A2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A84E34">
        <w:rPr>
          <w:rFonts w:ascii="宋体" w:eastAsia="宋体" w:hAnsi="宋体" w:hint="eastAsia"/>
          <w:b/>
          <w:sz w:val="36"/>
          <w:szCs w:val="36"/>
        </w:rPr>
        <w:t>2023年</w:t>
      </w:r>
      <w:r w:rsidR="00B54B76">
        <w:rPr>
          <w:rFonts w:ascii="宋体" w:eastAsia="宋体" w:hAnsi="宋体" w:hint="eastAsia"/>
          <w:b/>
          <w:sz w:val="36"/>
          <w:szCs w:val="36"/>
        </w:rPr>
        <w:t>半年度</w:t>
      </w:r>
      <w:r w:rsidRPr="00A84E34">
        <w:rPr>
          <w:rFonts w:ascii="宋体" w:eastAsia="宋体" w:hAnsi="宋体" w:hint="eastAsia"/>
          <w:b/>
          <w:sz w:val="36"/>
          <w:szCs w:val="36"/>
        </w:rPr>
        <w:t>业绩说明会</w:t>
      </w:r>
      <w:r w:rsidR="00A40387" w:rsidRPr="006F2F92">
        <w:rPr>
          <w:rFonts w:ascii="宋体" w:eastAsia="宋体" w:hAnsi="宋体" w:hint="eastAsia"/>
          <w:b/>
          <w:sz w:val="36"/>
          <w:szCs w:val="36"/>
        </w:rPr>
        <w:t>记录表</w:t>
      </w:r>
    </w:p>
    <w:p w:rsidR="00A40387" w:rsidRPr="00D114B7" w:rsidRDefault="00A4038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A40387" w:rsidTr="001D5CB8">
        <w:trPr>
          <w:trHeight w:val="660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投资者关系活动类别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</w:tc>
      </w:tr>
      <w:tr w:rsidR="00A40387" w:rsidTr="001D5CB8">
        <w:trPr>
          <w:trHeight w:val="626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6826" w:type="dxa"/>
            <w:vAlign w:val="center"/>
          </w:tcPr>
          <w:p w:rsidR="00A40387" w:rsidRPr="006F2F92" w:rsidRDefault="00A84E34" w:rsidP="00E1175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E11755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E11755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E11755">
              <w:rPr>
                <w:rFonts w:ascii="宋体" w:eastAsia="宋体" w:hAnsi="宋体" w:hint="eastAsia"/>
                <w:sz w:val="24"/>
                <w:szCs w:val="24"/>
              </w:rPr>
              <w:t>下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午1</w:t>
            </w:r>
            <w:r w:rsidR="00E11755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:00-1</w:t>
            </w:r>
            <w:r w:rsidR="00E11755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</w:t>
            </w:r>
          </w:p>
        </w:tc>
      </w:tr>
      <w:tr w:rsidR="00A40387" w:rsidTr="001D5CB8">
        <w:trPr>
          <w:trHeight w:val="1059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6826" w:type="dxa"/>
            <w:vAlign w:val="center"/>
          </w:tcPr>
          <w:p w:rsidR="00CF733F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（网址：http://roadshow.sseinfo.com/）</w:t>
            </w:r>
          </w:p>
        </w:tc>
      </w:tr>
      <w:tr w:rsidR="00A40387" w:rsidTr="001D5CB8">
        <w:trPr>
          <w:trHeight w:val="1557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上市公司参会人员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公司董事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总经理董振东先生，独立董事</w:t>
            </w:r>
            <w:r w:rsidR="00A84E34">
              <w:rPr>
                <w:rFonts w:ascii="宋体" w:eastAsia="宋体" w:hAnsi="宋体" w:hint="eastAsia"/>
                <w:sz w:val="24"/>
                <w:szCs w:val="24"/>
              </w:rPr>
              <w:t>罗春华女士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，董事兼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董事会秘书陈琳玲女士，财务总监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潘超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  <w:r w:rsidR="007258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40387" w:rsidTr="00AF25A2">
        <w:trPr>
          <w:trHeight w:val="5230"/>
        </w:trPr>
        <w:tc>
          <w:tcPr>
            <w:tcW w:w="2802" w:type="dxa"/>
            <w:vAlign w:val="center"/>
          </w:tcPr>
          <w:p w:rsidR="00D114B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</w:t>
            </w:r>
          </w:p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主要内容</w:t>
            </w:r>
          </w:p>
        </w:tc>
        <w:tc>
          <w:tcPr>
            <w:tcW w:w="6826" w:type="dxa"/>
            <w:vAlign w:val="center"/>
          </w:tcPr>
          <w:p w:rsidR="007A1203" w:rsidRDefault="00A84E34" w:rsidP="007A1203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b/>
                <w:sz w:val="24"/>
                <w:szCs w:val="24"/>
              </w:rPr>
              <w:t>问题</w:t>
            </w:r>
            <w:proofErr w:type="gramStart"/>
            <w:r w:rsidR="007A1203">
              <w:rPr>
                <w:rFonts w:ascii="宋体" w:eastAsia="宋体" w:hAnsi="宋体" w:hint="eastAsia"/>
                <w:b/>
                <w:sz w:val="24"/>
                <w:szCs w:val="24"/>
              </w:rPr>
              <w:t>一</w:t>
            </w:r>
            <w:proofErr w:type="gramEnd"/>
            <w:r w:rsidR="0070093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1、基于当前房地产环境，房地产企业现金流断裂暴雷较多，港股流动性枯竭，公司基于什么逻辑买入金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地商置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股票？后续处置计划是什么样的？如何进行风险控制？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2、对于公司所持有的中航和中融信托，公司有持续跟踪吗，若出现违约风险，公司怎么应对？</w:t>
            </w:r>
          </w:p>
          <w:p w:rsidR="0070093C" w:rsidRDefault="0070093C" w:rsidP="00CD4C3A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7A1203" w:rsidRP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尊敬的投资者您好！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1、近期地产行业较为悲观，房地产开发企业股票价格下跌严重，金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地商置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股价也有一定程度下跌。公司长期看好金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地商置所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持有的商用物业及产业园租赁业务价值，且其目前股价相对于净资产价格有较大折价。港股流动性变差，有利于公司低位建仓。</w:t>
            </w:r>
          </w:p>
          <w:p w:rsidR="00A84E34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公司投资证券二级市场是出于资产配置需求，以长期持有为主。</w:t>
            </w:r>
          </w:p>
          <w:p w:rsidR="0080692F" w:rsidRDefault="0080692F" w:rsidP="007A1203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2、公司一直对持有的信托产品进行投后跟踪：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 xml:space="preserve">（1）公司投资人民币4000万元认购的“中航信托•天启【2020】552 号融创青岛壹号院股权投资集合资金信托计划”已延期，详见公司在指定媒体披露的2023-027号临时公告。截至目前，公司已收到受托人分配的信托本金1167.57万元，部分信托收益 </w:t>
            </w:r>
            <w:r w:rsidRPr="007A120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228.83万元。公司就该信托计划已计提信用减值准备 788.15 万元。公司将持续督促中航信托加快资产处置，尽早收回投资本金。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（2）公司投资人民币1亿元认购的“中航天启22A088号基建项目集合资金信托计划-富春湾项目”，交易对手为杭州富春湾宝富建设管理有限公司，资金投向用于杭州富春湾新城春南片区开发，已累计收到信托收益628.83万元。</w:t>
            </w:r>
          </w:p>
          <w:p w:rsidR="007A1203" w:rsidRP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公司投资人民币5000万元认购的“中融-岱远基建5号集合资金信托-太原节能改造项目”，交易对手为中铁十二局，资金投向用于太原市既有居住建筑节能改造（二期）PPP 项目。</w:t>
            </w:r>
          </w:p>
          <w:p w:rsidR="007A1203" w:rsidRPr="007A1203" w:rsidRDefault="007A1203" w:rsidP="009D3E97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公司密切关注上述两个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信托项目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的底层资金及工程建设进展，未发生风险事件。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（3）公司将持续关注信托项目、交易对手情况以及市场舆情，并及时履行信息披露义务，维护上市公司和股东权益。</w:t>
            </w:r>
          </w:p>
          <w:p w:rsidR="0080692F" w:rsidRDefault="0080692F" w:rsidP="007A1203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A1203" w:rsidRPr="00A84E34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感谢您对公司的关注！</w:t>
            </w:r>
          </w:p>
          <w:p w:rsidR="007A1203" w:rsidRDefault="007A1203" w:rsidP="00CD4C3A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0692F" w:rsidRDefault="0080692F" w:rsidP="00CD4C3A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7A1203" w:rsidRDefault="00A84E34" w:rsidP="00CD4C3A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问题</w:t>
            </w:r>
            <w:r w:rsidR="007A1203">
              <w:rPr>
                <w:rFonts w:ascii="宋体" w:eastAsia="宋体" w:hAnsi="宋体" w:hint="eastAsia"/>
                <w:b/>
                <w:sz w:val="24"/>
                <w:szCs w:val="24"/>
              </w:rPr>
              <w:t>二</w:t>
            </w:r>
            <w:r w:rsidR="0070093C"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A84E34" w:rsidRP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您好，想了解一下贵公司目前再管物业面积是多少呢？是否方便披露呢？</w:t>
            </w:r>
          </w:p>
          <w:p w:rsidR="0070093C" w:rsidRDefault="0070093C" w:rsidP="00CD4C3A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80692F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尊敬的投资者您好：公司主要房产的建筑面积如下，杭州百货大楼建筑面积约为4.2万方，杭州大酒店约为2.5万方，湖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墅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南路物业（含杭州收藏品市场）建筑面积约为2.18万方，均位于杭州主城区。</w:t>
            </w:r>
          </w:p>
          <w:p w:rsidR="007A1203" w:rsidRP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感谢您对公司的关注！</w:t>
            </w:r>
          </w:p>
          <w:p w:rsidR="00E1671D" w:rsidRDefault="00E1671D" w:rsidP="007A1203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0692F" w:rsidRDefault="0080692F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b/>
                <w:sz w:val="24"/>
                <w:szCs w:val="24"/>
              </w:rPr>
              <w:t>问题三：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1.不明白为何要投资港股金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地商置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？房地产在走下坡路，为何不投科技股？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投资中融信托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5000万会暴雷吗？</w:t>
            </w:r>
          </w:p>
          <w:p w:rsidR="007A1203" w:rsidRDefault="007A1203" w:rsidP="007A1203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3.西子联合当初看好百大的发展前景，曙光在哪里？</w:t>
            </w:r>
          </w:p>
          <w:p w:rsidR="0080692F" w:rsidRDefault="0080692F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7A1203" w:rsidRDefault="007A1203" w:rsidP="007A1203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答复：</w:t>
            </w:r>
          </w:p>
          <w:p w:rsidR="007A1203" w:rsidRPr="007A1203" w:rsidRDefault="007A1203" w:rsidP="00BA6F02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尊敬的投资者您好！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1、近期地产行业较为悲观，房地产开发企业股票价格下跌严重，金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地商置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股价也有一定程度下跌。公司长期看好金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地商置所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持有的商用物业及产业园租赁业务价值，且其目前股价相对于净资产价格有较大折价。</w:t>
            </w:r>
          </w:p>
          <w:p w:rsidR="007A1203" w:rsidRP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 xml:space="preserve">公司持续关注科技领域投资。公司累计投资了 4 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支私募股权基金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，合计认缴 1.4 亿元。截至 2023年6 月 30 日已经实际出资 9800万元。其中：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（1）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菏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泽乔贝京瑞创业投资合伙企业（有限合伙）主要投资方向为：具有良好成长性和发展前景的物联网产业链、5G、半导体等相关优质项目股权，重点投资于市场前景广、可以实现国产替代的前沿领域的企业股权。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（2）绍兴市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越芯投资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合伙企业（有限合伙）主要投资方向为：新一代信息技术、半导体、高端装备、新材料、新能源、节能环保、生物医药等相关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科创产业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中的成长型和成熟期企业。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（3）杭州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源聚丰创业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投资合伙企业（有限合伙）主要投资方向为：处于中后期发展阶段的具有良好发展前景和退出渠道的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医疗大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健康相关的高新技术企业。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（4）杭州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浙丰宏胜创业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投资合伙企业（有限合伙）主要投资方向为：产业数字化及社会数字化治理方向的项目。</w:t>
            </w:r>
          </w:p>
          <w:p w:rsidR="007A1203" w:rsidRDefault="007A1203" w:rsidP="009D3E97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公司也一直积极寻找直接投资科技企业股权项目的机会。具体请关注公司披露的临时公告及定期报告。</w:t>
            </w:r>
          </w:p>
          <w:p w:rsidR="0080692F" w:rsidRPr="007A1203" w:rsidRDefault="0080692F" w:rsidP="009D3E97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7A1203" w:rsidRDefault="007A1203" w:rsidP="007A1203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2、公司投资人民币5000万元认购的“中融-岱远基建5号集合资金信托-太原节能改造项目”，交易对手为中铁十二局，资金投向用于太原市既有居住建筑节能改造（二期）PPP 项目。公司密切关注</w:t>
            </w:r>
            <w:r w:rsidR="00BA6F02"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信托项目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的底层资金及工程建设进展，未发生风险事件。</w:t>
            </w:r>
          </w:p>
          <w:p w:rsidR="0080692F" w:rsidRPr="007A1203" w:rsidRDefault="0080692F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7A1203" w:rsidRDefault="007A1203" w:rsidP="007A1203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3、西子联合2022年上半年以集中竞价方式增持公司股票，其《关于增持股票情况的告知函》称是基于对百大集团价值的认可。截至2023年6月30日，西子联合未减持公司股份。</w:t>
            </w:r>
          </w:p>
          <w:p w:rsidR="0080692F" w:rsidRPr="007A1203" w:rsidRDefault="0080692F" w:rsidP="007A1203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感谢您对公司的关注！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  <w:r w:rsidRPr="007A1203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问题四：</w:t>
            </w:r>
          </w:p>
          <w:p w:rsid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公司大消费投资已说了很久了，有最新消息吗？</w:t>
            </w:r>
          </w:p>
          <w:p w:rsidR="007A1203" w:rsidRPr="007A1203" w:rsidRDefault="007A1203" w:rsidP="007A1203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7A1203" w:rsidRPr="007A1203" w:rsidRDefault="007A1203" w:rsidP="007A1203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A1203">
              <w:rPr>
                <w:rFonts w:ascii="宋体" w:eastAsia="宋体" w:hAnsi="宋体" w:hint="eastAsia"/>
                <w:sz w:val="24"/>
                <w:szCs w:val="24"/>
              </w:rPr>
              <w:t>尊敬的投资者您好！公司投资部门一直围绕大消费、大健康、高端制造等重点方向寻找产业投资机会，如有具体</w:t>
            </w:r>
            <w:proofErr w:type="gramStart"/>
            <w:r w:rsidRPr="007A1203">
              <w:rPr>
                <w:rFonts w:ascii="宋体" w:eastAsia="宋体" w:hAnsi="宋体" w:hint="eastAsia"/>
                <w:sz w:val="24"/>
                <w:szCs w:val="24"/>
              </w:rPr>
              <w:t>进展请</w:t>
            </w:r>
            <w:proofErr w:type="gramEnd"/>
            <w:r w:rsidRPr="007A1203">
              <w:rPr>
                <w:rFonts w:ascii="宋体" w:eastAsia="宋体" w:hAnsi="宋体" w:hint="eastAsia"/>
                <w:sz w:val="24"/>
                <w:szCs w:val="24"/>
              </w:rPr>
              <w:t>关注公司披露的临时公告及定期报告。感谢您对公司的关注！</w:t>
            </w:r>
          </w:p>
        </w:tc>
      </w:tr>
    </w:tbl>
    <w:p w:rsidR="00A40387" w:rsidRDefault="00A40387"/>
    <w:sectPr w:rsidR="00A40387" w:rsidSect="00A40387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BD" w:rsidRDefault="003A49BD" w:rsidP="00AF25A2">
      <w:r>
        <w:separator/>
      </w:r>
    </w:p>
  </w:endnote>
  <w:endnote w:type="continuationSeparator" w:id="0">
    <w:p w:rsidR="003A49BD" w:rsidRDefault="003A49BD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433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06E" w:rsidRDefault="003A106E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9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9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06E" w:rsidRDefault="003A1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BD" w:rsidRDefault="003A49BD" w:rsidP="00AF25A2">
      <w:r>
        <w:separator/>
      </w:r>
    </w:p>
  </w:footnote>
  <w:footnote w:type="continuationSeparator" w:id="0">
    <w:p w:rsidR="003A49BD" w:rsidRDefault="003A49BD" w:rsidP="00AF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7"/>
    <w:rsid w:val="00020386"/>
    <w:rsid w:val="00056333"/>
    <w:rsid w:val="00095194"/>
    <w:rsid w:val="000A0ECC"/>
    <w:rsid w:val="000A3BB2"/>
    <w:rsid w:val="000C0FB7"/>
    <w:rsid w:val="000E0D2E"/>
    <w:rsid w:val="000E62B0"/>
    <w:rsid w:val="0019071F"/>
    <w:rsid w:val="001A7040"/>
    <w:rsid w:val="001D5CB8"/>
    <w:rsid w:val="00263B4F"/>
    <w:rsid w:val="0027517D"/>
    <w:rsid w:val="002B24E0"/>
    <w:rsid w:val="002B2853"/>
    <w:rsid w:val="002B5713"/>
    <w:rsid w:val="003A106E"/>
    <w:rsid w:val="003A49BD"/>
    <w:rsid w:val="00431BDD"/>
    <w:rsid w:val="00483481"/>
    <w:rsid w:val="004C3FF3"/>
    <w:rsid w:val="004F4805"/>
    <w:rsid w:val="00584C12"/>
    <w:rsid w:val="005A0E5F"/>
    <w:rsid w:val="005D0270"/>
    <w:rsid w:val="005F1575"/>
    <w:rsid w:val="006510DC"/>
    <w:rsid w:val="006F2F92"/>
    <w:rsid w:val="0070093C"/>
    <w:rsid w:val="00725886"/>
    <w:rsid w:val="007A1203"/>
    <w:rsid w:val="007A508E"/>
    <w:rsid w:val="0080692F"/>
    <w:rsid w:val="00813A0E"/>
    <w:rsid w:val="008D5239"/>
    <w:rsid w:val="009072D1"/>
    <w:rsid w:val="00941B67"/>
    <w:rsid w:val="00995266"/>
    <w:rsid w:val="009D3E97"/>
    <w:rsid w:val="00A40387"/>
    <w:rsid w:val="00A67E37"/>
    <w:rsid w:val="00A84E34"/>
    <w:rsid w:val="00AA2C75"/>
    <w:rsid w:val="00AB4B5E"/>
    <w:rsid w:val="00AE493F"/>
    <w:rsid w:val="00AF25A2"/>
    <w:rsid w:val="00AF7794"/>
    <w:rsid w:val="00B27539"/>
    <w:rsid w:val="00B54B76"/>
    <w:rsid w:val="00B8434A"/>
    <w:rsid w:val="00BA6F02"/>
    <w:rsid w:val="00BF36DB"/>
    <w:rsid w:val="00CD4A60"/>
    <w:rsid w:val="00CD4C3A"/>
    <w:rsid w:val="00CF733F"/>
    <w:rsid w:val="00D114B7"/>
    <w:rsid w:val="00D927CC"/>
    <w:rsid w:val="00DC192A"/>
    <w:rsid w:val="00E11755"/>
    <w:rsid w:val="00E1671D"/>
    <w:rsid w:val="00ED4758"/>
    <w:rsid w:val="00EF5CA4"/>
    <w:rsid w:val="00F32C4D"/>
    <w:rsid w:val="00F66874"/>
    <w:rsid w:val="00F7529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lenovo</cp:lastModifiedBy>
  <cp:revision>24</cp:revision>
  <cp:lastPrinted>2023-08-23T07:23:00Z</cp:lastPrinted>
  <dcterms:created xsi:type="dcterms:W3CDTF">2022-04-25T06:28:00Z</dcterms:created>
  <dcterms:modified xsi:type="dcterms:W3CDTF">2023-08-23T07:37:00Z</dcterms:modified>
</cp:coreProperties>
</file>