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1F04" w14:textId="77777777" w:rsidR="00991929" w:rsidRDefault="00000000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8BB8A89" w14:textId="77777777" w:rsidR="00991929" w:rsidRDefault="00000000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投资者调研活动记录表</w:t>
      </w:r>
    </w:p>
    <w:p w14:paraId="6DBE7871" w14:textId="77777777" w:rsidR="00991929" w:rsidRDefault="00000000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</w:t>
      </w:r>
      <w:proofErr w:type="gramStart"/>
      <w:r>
        <w:rPr>
          <w:rFonts w:ascii="Times New Roman" w:hAnsi="Times New Roman"/>
          <w:sz w:val="24"/>
        </w:rPr>
        <w:t>天味食品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7807"/>
      </w:tblGrid>
      <w:tr w:rsidR="00991929" w14:paraId="2FE3DF4F" w14:textId="77777777">
        <w:trPr>
          <w:trHeight w:val="20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C9D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6CBA" w14:textId="77777777" w:rsidR="00991929" w:rsidRDefault="00000000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</w:t>
            </w:r>
            <w:proofErr w:type="gramStart"/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师会议</w:t>
            </w:r>
            <w:proofErr w:type="gramEnd"/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991929" w14:paraId="41F5A2D6" w14:textId="77777777">
        <w:trPr>
          <w:trHeight w:val="15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4F7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B92" w14:textId="77777777" w:rsidR="00991929" w:rsidRDefault="00000000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991929" w14:paraId="671EE1EF" w14:textId="77777777">
        <w:trPr>
          <w:trHeight w:val="30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A92" w14:textId="77777777" w:rsidR="00991929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9D0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价值在线平台注册投资机构及个人</w:t>
            </w:r>
          </w:p>
        </w:tc>
      </w:tr>
      <w:tr w:rsidR="00991929" w14:paraId="131DE0B4" w14:textId="77777777">
        <w:trPr>
          <w:trHeight w:val="58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1B5" w14:textId="77777777" w:rsidR="00991929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519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20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</w:rPr>
              <w:t>3</w:t>
            </w:r>
            <w:r>
              <w:rPr>
                <w:rFonts w:ascii="Times New Roman" w:eastAsiaTheme="minorEastAsia" w:hAnsi="Times New Roman" w:hint="eastAsia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z w:val="24"/>
              </w:rPr>
              <w:t>8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</w:rPr>
              <w:t>2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</w:rPr>
              <w:t>5</w:t>
            </w:r>
            <w:r>
              <w:rPr>
                <w:rFonts w:ascii="Times New Roman" w:eastAsiaTheme="minorEastAsia" w:hAnsi="Times New Roman" w:hint="eastAsia"/>
                <w:sz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</w:rPr>
              <w:t>00-16</w:t>
            </w:r>
            <w:r>
              <w:rPr>
                <w:rFonts w:ascii="Times New Roman" w:eastAsiaTheme="minorEastAsia" w:hAnsi="Times New Roman" w:hint="eastAsia"/>
                <w:sz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</w:rPr>
              <w:t>00</w:t>
            </w:r>
          </w:p>
        </w:tc>
      </w:tr>
      <w:tr w:rsidR="00991929" w14:paraId="63A5CAEC" w14:textId="77777777">
        <w:trPr>
          <w:trHeight w:val="62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D16" w14:textId="77777777" w:rsidR="00991929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1F0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价值在线（</w:t>
            </w:r>
            <w:r>
              <w:rPr>
                <w:rFonts w:ascii="Times New Roman" w:eastAsiaTheme="minorEastAsia" w:hAnsi="Times New Roman" w:hint="eastAsia"/>
                <w:sz w:val="24"/>
              </w:rPr>
              <w:t>www.ir-online.cn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</w:tr>
      <w:tr w:rsidR="00991929" w14:paraId="6157FF73" w14:textId="77777777">
        <w:trPr>
          <w:trHeight w:val="60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6A" w14:textId="77777777" w:rsidR="00991929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1F1" w14:textId="77777777" w:rsidR="00991929" w:rsidRDefault="00000000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副总裁、董事会秘书兼财务总监何昌军先生</w:t>
            </w:r>
          </w:p>
        </w:tc>
      </w:tr>
      <w:tr w:rsidR="00991929" w14:paraId="173F5F42" w14:textId="77777777">
        <w:trPr>
          <w:trHeight w:val="147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1C4" w14:textId="77777777" w:rsidR="00991929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E4C" w14:textId="77777777" w:rsidR="00991929" w:rsidRDefault="00000000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介绍公司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年半年度经营情况</w:t>
            </w:r>
          </w:p>
          <w:p w14:paraId="713C15E2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202</w:t>
            </w:r>
            <w:r>
              <w:rPr>
                <w:rFonts w:ascii="Times New Roman" w:hAnsi="Times New Roman"/>
                <w:sz w:val="24"/>
                <w:szCs w:val="22"/>
              </w:rPr>
              <w:t>3</w:t>
            </w:r>
            <w:r>
              <w:rPr>
                <w:rFonts w:ascii="Times New Roman" w:hAnsi="Times New Roman" w:hint="eastAsia"/>
                <w:sz w:val="24"/>
                <w:szCs w:val="22"/>
              </w:rPr>
              <w:t>年上半年，公司总收入</w:t>
            </w:r>
            <w:r>
              <w:rPr>
                <w:rFonts w:ascii="Times New Roman" w:hAnsi="Times New Roman"/>
                <w:sz w:val="24"/>
                <w:szCs w:val="22"/>
              </w:rPr>
              <w:t>14.26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2"/>
              </w:rPr>
              <w:t>17.42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；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归母净利润</w:t>
            </w:r>
            <w:proofErr w:type="gramEnd"/>
            <w:r>
              <w:rPr>
                <w:rFonts w:ascii="Times New Roman" w:hAnsi="Times New Roman"/>
                <w:sz w:val="24"/>
                <w:szCs w:val="22"/>
              </w:rPr>
              <w:t>2.08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亿元，同比增长</w:t>
            </w:r>
            <w:r>
              <w:rPr>
                <w:rFonts w:ascii="Times New Roman" w:hAnsi="Times New Roman"/>
                <w:sz w:val="24"/>
                <w:szCs w:val="22"/>
              </w:rPr>
              <w:t>25.09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；毛利率</w:t>
            </w:r>
            <w:r>
              <w:rPr>
                <w:rFonts w:ascii="Times New Roman" w:hAnsi="Times New Roman"/>
                <w:sz w:val="24"/>
                <w:szCs w:val="22"/>
              </w:rPr>
              <w:t>36.23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，较去年同期增加</w:t>
            </w:r>
            <w:r>
              <w:rPr>
                <w:rFonts w:ascii="Times New Roman" w:hAnsi="Times New Roman"/>
                <w:sz w:val="24"/>
                <w:szCs w:val="22"/>
              </w:rPr>
              <w:t>0.97</w:t>
            </w:r>
            <w:r>
              <w:rPr>
                <w:rFonts w:ascii="Times New Roman" w:hAnsi="Times New Roman" w:hint="eastAsia"/>
                <w:sz w:val="24"/>
                <w:szCs w:val="22"/>
              </w:rPr>
              <w:t>个百分点。经销商</w:t>
            </w:r>
            <w:r>
              <w:rPr>
                <w:rFonts w:ascii="Times New Roman" w:hAnsi="Times New Roman"/>
                <w:sz w:val="24"/>
                <w:szCs w:val="22"/>
              </w:rPr>
              <w:t>3305</w:t>
            </w:r>
            <w:r>
              <w:rPr>
                <w:rFonts w:ascii="Times New Roman" w:hAnsi="Times New Roman" w:hint="eastAsia"/>
                <w:sz w:val="24"/>
                <w:szCs w:val="22"/>
              </w:rPr>
              <w:t>家，较年初减少</w:t>
            </w:r>
            <w:r>
              <w:rPr>
                <w:rFonts w:ascii="Times New Roman" w:hAnsi="Times New Roman"/>
                <w:sz w:val="24"/>
                <w:szCs w:val="22"/>
              </w:rPr>
              <w:t>109</w:t>
            </w:r>
            <w:r>
              <w:rPr>
                <w:rFonts w:ascii="Times New Roman" w:hAnsi="Times New Roman" w:hint="eastAsia"/>
                <w:sz w:val="24"/>
                <w:szCs w:val="22"/>
              </w:rPr>
              <w:t>家。</w:t>
            </w:r>
          </w:p>
          <w:p w14:paraId="29207BDC" w14:textId="77777777" w:rsidR="00991929" w:rsidRDefault="00000000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收入按产品分类，火锅调料和中式菜品调料收入共计</w:t>
            </w:r>
            <w:r>
              <w:rPr>
                <w:rFonts w:ascii="Times New Roman" w:hAnsi="Times New Roman"/>
                <w:sz w:val="24"/>
                <w:szCs w:val="22"/>
              </w:rPr>
              <w:t>13.41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亿元，其中火锅调料收入</w:t>
            </w:r>
            <w:r>
              <w:rPr>
                <w:rFonts w:ascii="Times New Roman" w:hAnsi="Times New Roman"/>
                <w:sz w:val="24"/>
                <w:szCs w:val="22"/>
              </w:rPr>
              <w:t>5.46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亿元，占比</w:t>
            </w:r>
            <w:r>
              <w:rPr>
                <w:rFonts w:ascii="Times New Roman" w:hAnsi="Times New Roman"/>
                <w:sz w:val="24"/>
                <w:szCs w:val="22"/>
              </w:rPr>
              <w:t>38.37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，同比增长</w:t>
            </w:r>
            <w:r>
              <w:rPr>
                <w:rFonts w:ascii="Times New Roman" w:hAnsi="Times New Roman"/>
                <w:sz w:val="24"/>
                <w:szCs w:val="22"/>
              </w:rPr>
              <w:t>13.83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；中式菜品调料收入</w:t>
            </w:r>
            <w:r>
              <w:rPr>
                <w:rFonts w:ascii="Times New Roman" w:hAnsi="Times New Roman"/>
                <w:sz w:val="24"/>
                <w:szCs w:val="22"/>
              </w:rPr>
              <w:t>7.95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亿元，占比</w:t>
            </w:r>
            <w:r>
              <w:rPr>
                <w:rFonts w:ascii="Times New Roman" w:hAnsi="Times New Roman"/>
                <w:sz w:val="24"/>
                <w:szCs w:val="22"/>
              </w:rPr>
              <w:t>55.84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，同比增长</w:t>
            </w:r>
            <w:r>
              <w:rPr>
                <w:rFonts w:ascii="Times New Roman" w:hAnsi="Times New Roman"/>
                <w:sz w:val="24"/>
                <w:szCs w:val="22"/>
              </w:rPr>
              <w:t>20.92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5E3C6B08" w14:textId="77777777" w:rsidR="00991929" w:rsidRDefault="00000000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收入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按渠道</w:t>
            </w:r>
            <w:proofErr w:type="gramEnd"/>
            <w:r>
              <w:rPr>
                <w:rFonts w:ascii="Times New Roman" w:hAnsi="Times New Roman" w:hint="eastAsia"/>
                <w:sz w:val="24"/>
                <w:szCs w:val="22"/>
              </w:rPr>
              <w:t>分类，经销商渠道收入为</w:t>
            </w:r>
            <w:r>
              <w:rPr>
                <w:rFonts w:ascii="Times New Roman" w:hAnsi="Times New Roman"/>
                <w:sz w:val="24"/>
                <w:szCs w:val="22"/>
              </w:rPr>
              <w:t>11.04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亿元，占比</w:t>
            </w:r>
            <w:r>
              <w:rPr>
                <w:rFonts w:ascii="Times New Roman" w:hAnsi="Times New Roman"/>
                <w:sz w:val="24"/>
                <w:szCs w:val="22"/>
              </w:rPr>
              <w:t>77.57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，同比增长</w:t>
            </w:r>
            <w:r>
              <w:rPr>
                <w:rFonts w:ascii="Times New Roman" w:hAnsi="Times New Roman"/>
                <w:sz w:val="24"/>
                <w:szCs w:val="22"/>
              </w:rPr>
              <w:t>10.54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；电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商渠道</w:t>
            </w:r>
            <w:proofErr w:type="gramEnd"/>
            <w:r>
              <w:rPr>
                <w:rFonts w:ascii="Times New Roman" w:hAnsi="Times New Roman" w:hint="eastAsia"/>
                <w:sz w:val="24"/>
                <w:szCs w:val="22"/>
              </w:rPr>
              <w:t>收入</w:t>
            </w:r>
            <w:r>
              <w:rPr>
                <w:rFonts w:ascii="Times New Roman" w:hAnsi="Times New Roman" w:hint="eastAsia"/>
                <w:sz w:val="24"/>
                <w:szCs w:val="22"/>
              </w:rPr>
              <w:t>1</w:t>
            </w:r>
            <w:r>
              <w:rPr>
                <w:rFonts w:ascii="Times New Roman" w:hAnsi="Times New Roman"/>
                <w:sz w:val="24"/>
                <w:szCs w:val="22"/>
              </w:rPr>
              <w:t>.43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亿元，占比</w:t>
            </w:r>
            <w:r>
              <w:rPr>
                <w:rFonts w:ascii="Times New Roman" w:hAnsi="Times New Roman" w:hint="eastAsia"/>
                <w:sz w:val="24"/>
                <w:szCs w:val="22"/>
              </w:rPr>
              <w:t>1</w:t>
            </w:r>
            <w:r>
              <w:rPr>
                <w:rFonts w:ascii="Times New Roman" w:hAnsi="Times New Roman"/>
                <w:sz w:val="24"/>
                <w:szCs w:val="22"/>
              </w:rPr>
              <w:t>0.08%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，同比增长</w:t>
            </w:r>
            <w:r>
              <w:rPr>
                <w:rFonts w:ascii="Times New Roman" w:hAnsi="Times New Roman" w:hint="eastAsia"/>
                <w:sz w:val="24"/>
                <w:szCs w:val="22"/>
              </w:rPr>
              <w:t>1</w:t>
            </w:r>
            <w:r>
              <w:rPr>
                <w:rFonts w:ascii="Times New Roman" w:hAnsi="Times New Roman"/>
                <w:sz w:val="24"/>
                <w:szCs w:val="22"/>
              </w:rPr>
              <w:t>10.98%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；定制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餐调渠道</w:t>
            </w:r>
            <w:proofErr w:type="gramEnd"/>
            <w:r>
              <w:rPr>
                <w:rFonts w:ascii="Times New Roman" w:hAnsi="Times New Roman" w:hint="eastAsia"/>
                <w:sz w:val="24"/>
                <w:szCs w:val="22"/>
              </w:rPr>
              <w:t>收入</w:t>
            </w:r>
            <w:r>
              <w:rPr>
                <w:rFonts w:ascii="Times New Roman" w:hAnsi="Times New Roman"/>
                <w:sz w:val="24"/>
                <w:szCs w:val="22"/>
              </w:rPr>
              <w:t>1.39</w:t>
            </w:r>
            <w:r>
              <w:rPr>
                <w:rFonts w:ascii="Times New Roman" w:hAnsi="Times New Roman" w:hint="eastAsia"/>
                <w:sz w:val="24"/>
                <w:szCs w:val="22"/>
              </w:rPr>
              <w:t>亿元，占比</w:t>
            </w:r>
            <w:r>
              <w:rPr>
                <w:rFonts w:ascii="Times New Roman" w:hAnsi="Times New Roman" w:hint="eastAsia"/>
                <w:sz w:val="24"/>
                <w:szCs w:val="22"/>
              </w:rPr>
              <w:t>9</w:t>
            </w:r>
            <w:r>
              <w:rPr>
                <w:rFonts w:ascii="Times New Roman" w:hAnsi="Times New Roman"/>
                <w:sz w:val="24"/>
                <w:szCs w:val="22"/>
              </w:rPr>
              <w:t>.76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，同比增长</w:t>
            </w:r>
            <w:r>
              <w:rPr>
                <w:rFonts w:ascii="Times New Roman" w:hAnsi="Times New Roman"/>
                <w:sz w:val="24"/>
                <w:szCs w:val="22"/>
              </w:rPr>
              <w:t>28.08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。</w:t>
            </w:r>
          </w:p>
          <w:p w14:paraId="4EE2F004" w14:textId="77777777" w:rsidR="00991929" w:rsidRDefault="00000000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收入按地区分类，西南地区、华中地区和华东地区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占比较</w:t>
            </w:r>
            <w:proofErr w:type="gramEnd"/>
            <w:r>
              <w:rPr>
                <w:rFonts w:ascii="Times New Roman" w:hAnsi="Times New Roman" w:hint="eastAsia"/>
                <w:sz w:val="24"/>
                <w:szCs w:val="22"/>
              </w:rPr>
              <w:t>大，三个区域总计达到</w:t>
            </w:r>
            <w:r>
              <w:rPr>
                <w:rFonts w:ascii="Times New Roman" w:hAnsi="Times New Roman"/>
                <w:sz w:val="24"/>
                <w:szCs w:val="22"/>
              </w:rPr>
              <w:t>69.93</w:t>
            </w:r>
            <w:r>
              <w:rPr>
                <w:rFonts w:ascii="Times New Roman" w:hAnsi="Times New Roman" w:hint="eastAsia"/>
                <w:sz w:val="24"/>
                <w:szCs w:val="22"/>
              </w:rPr>
              <w:t>%</w:t>
            </w:r>
            <w:r>
              <w:rPr>
                <w:rFonts w:ascii="Times New Roman" w:hAnsi="Times New Roman" w:hint="eastAsia"/>
                <w:sz w:val="24"/>
                <w:szCs w:val="22"/>
              </w:rPr>
              <w:t>。公司市场网络已经覆盖全国</w:t>
            </w:r>
            <w:r>
              <w:rPr>
                <w:rFonts w:ascii="Times New Roman" w:hAnsi="Times New Roman" w:hint="eastAsia"/>
                <w:sz w:val="24"/>
                <w:szCs w:val="22"/>
              </w:rPr>
              <w:t>31</w:t>
            </w:r>
            <w:r>
              <w:rPr>
                <w:rFonts w:ascii="Times New Roman" w:hAnsi="Times New Roman" w:hint="eastAsia"/>
                <w:sz w:val="24"/>
                <w:szCs w:val="22"/>
              </w:rPr>
              <w:t>个省、自治区及直辖市，形成了四川、河南、江苏、陕西等多个优势区域以及由浙江、江西、云南等组成的快速增长区域。</w:t>
            </w:r>
          </w:p>
          <w:p w14:paraId="731EA8AF" w14:textId="77777777" w:rsidR="00991929" w:rsidRDefault="00000000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与投资者互动交流环节</w:t>
            </w:r>
          </w:p>
          <w:p w14:paraId="7A3A3C9A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现阶段行业竞争格局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以及</w:t>
            </w:r>
            <w:r>
              <w:rPr>
                <w:rFonts w:ascii="Times New Roman" w:hAnsi="Times New Roman"/>
                <w:b/>
                <w:bCs/>
                <w:sz w:val="24"/>
              </w:rPr>
              <w:t>公司如何应对竞争</w:t>
            </w:r>
          </w:p>
          <w:p w14:paraId="2733EA0A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复调行业还处于发展的初级阶段，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渗透率和集中度均较低，消费者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对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lastRenderedPageBreak/>
              <w:t>复合调味品的品牌认知需要长期积累，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特别经过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年疫情，新入局者发展受到影响，还是行业已有的头部企业之间的竞争，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短期内竞争格局不会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发生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太大变化。随着行业整合的不断推进，集中度不高的行业格局将被改变，逐步向资源整合能力强的头部企业集中。</w:t>
            </w:r>
          </w:p>
          <w:p w14:paraId="0DA6527C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头部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企业无论是在产品研发、生产规模、渠道建设、品牌推广等方面，依然保持领先优势，行业竞争逻辑并无本质变革。公司以现有产品、品牌、渠道、技术优势为依托，通过进一步整合上下游资源，扩大产能，加大研发投入，积极开发新配方新产品，并通过持续不断的品牌建设，强化经销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商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渠道管理，完善营销网络，不断巩固和提高行业领先地位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lang w:bidi="ar"/>
              </w:rPr>
              <w:t>公司核心竞争能力不断提升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lang w:bidi="ar"/>
              </w:rPr>
              <w:t>。</w:t>
            </w:r>
          </w:p>
          <w:p w14:paraId="40B71226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Q2</w:t>
            </w:r>
            <w:r>
              <w:rPr>
                <w:rFonts w:ascii="Times New Roman" w:hAnsi="Times New Roman"/>
                <w:b/>
                <w:bCs/>
                <w:sz w:val="24"/>
              </w:rPr>
              <w:t>毛利率环比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、</w:t>
            </w:r>
            <w:r>
              <w:rPr>
                <w:rFonts w:ascii="Times New Roman" w:hAnsi="Times New Roman"/>
                <w:b/>
                <w:bCs/>
                <w:sz w:val="24"/>
              </w:rPr>
              <w:t>同比下降的原因</w:t>
            </w:r>
          </w:p>
          <w:p w14:paraId="4A4010FF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）产品结构的影响；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）促销力度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有所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增加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；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）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Q2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收入减少，单位成本增加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。</w:t>
            </w:r>
          </w:p>
          <w:p w14:paraId="16D8F4A2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Q2</w:t>
            </w:r>
            <w:r>
              <w:rPr>
                <w:rFonts w:ascii="Times New Roman" w:hAnsi="Times New Roman"/>
                <w:b/>
                <w:bCs/>
                <w:sz w:val="24"/>
              </w:rPr>
              <w:t>市场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费用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环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4"/>
              </w:rPr>
              <w:t>比、同比大幅减少的原因</w:t>
            </w:r>
          </w:p>
          <w:p w14:paraId="1C2DB735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公司对市场费用是按照预算费率进行总体控制，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营销委可根据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市场变化、竞争情况等对费用投放策略进行适当调整。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Q2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终端动销不及预期，公司对费用结构进行了优化调整，投放节奏有所变化。</w:t>
            </w:r>
          </w:p>
          <w:p w14:paraId="20DA2341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zh-Hans"/>
              </w:rPr>
              <w:t>经销商变动原因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和拓展计划</w:t>
            </w:r>
          </w:p>
          <w:p w14:paraId="6B873486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公司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进一步完善和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强化优商扶商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策略，对经销商进行精细化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分级运营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管理，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聚焦资源，对一定周期内业绩表现差，合作意愿不强的经销商进行了清理，终止合作。对渠道进一步下沉及空白区域，公司也会积极开发新的经销商，但更注重能力及质量，所以短期内对经销商的增长没有设定具体的考核指标。</w:t>
            </w:r>
          </w:p>
          <w:p w14:paraId="3CF6F68F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zh-Hans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上半年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zh-Hans"/>
              </w:rPr>
              <w:t>原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材料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zh-Hans"/>
              </w:rPr>
              <w:t>采购成本情况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lang w:eastAsia="zh-Hans"/>
              </w:rPr>
              <w:t>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lang w:eastAsia="zh-Hans"/>
              </w:rPr>
              <w:t>预测原材料价格趋势</w:t>
            </w:r>
          </w:p>
          <w:p w14:paraId="695DABC8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上半年原材料价格除了白糖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大幅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上涨外其它原材料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价格较平稳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，下半年随着旺季到来，预计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油脂类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和包材类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价格会有一定幅度的上涨。由于公司产品所需的原材料种类较多，有些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原材料价格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上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涨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，有些原材料价格下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跌，整体来看，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全年公司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原材料综合成本将呈相对稳定态势。</w:t>
            </w:r>
          </w:p>
          <w:p w14:paraId="4993FDB5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下半年经营规划</w:t>
            </w:r>
          </w:p>
          <w:p w14:paraId="4D78F1BA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下半年是复调传统的消费旺季，公司将从交付保障、新品上市、渠道的精细化管理、品牌有效投放等入手，打好“火锅战役”、“冬调战役”、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lastRenderedPageBreak/>
              <w:t>“鱼调料战役”，确保全年营业收入和净利润增长均不低于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20%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的目标。</w:t>
            </w:r>
          </w:p>
          <w:p w14:paraId="33DE58C5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介绍上半年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新品情况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和下半年新品规划</w:t>
            </w:r>
          </w:p>
          <w:p w14:paraId="74003C21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上半年新品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有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泰式酸辣冷泡汁、小海鲜捞汁以及满足区域化口味的卤汁（如潮汕卤、酱香卤、香辣卤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等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）。其中，牛肉清汤调料、烧烤酱、酸汤肥牛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调料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较受欢迎。</w:t>
            </w:r>
          </w:p>
          <w:p w14:paraId="480FB187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下半年新品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计划：做好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厚火锅的上市推广及不辣汤火锅、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冬调新品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的销售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。</w:t>
            </w:r>
          </w:p>
          <w:p w14:paraId="1D1A657B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下半年广告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费用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预算</w:t>
            </w:r>
          </w:p>
          <w:p w14:paraId="18B3E692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公司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在控制费用率不增长的前提下，合理规划相关费用的投放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。下半年为做好旺季销售及第三代厚火锅底料、不辣汤火锅底料系列等新品上市投放费用，预计全年广告费用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6,000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万元左右。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品牌建设是一项长期工程，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天味始终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坚持用户至上，将继续加强品牌费用精准投放，在内容营销、用户运营等领域持续投入，积极扩大品牌影响力，提高市场占有率。</w:t>
            </w:r>
          </w:p>
          <w:p w14:paraId="48A11C12" w14:textId="77777777" w:rsidR="00991929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BC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渠道开拓策略</w:t>
            </w:r>
          </w:p>
          <w:p w14:paraId="67BEBEBF" w14:textId="77777777" w:rsidR="00991929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公司坚持深化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</w:rPr>
              <w:t>端渠道</w:t>
            </w:r>
            <w:proofErr w:type="gramEnd"/>
            <w:r>
              <w:rPr>
                <w:rFonts w:ascii="Times New Roman" w:hAnsi="Times New Roman"/>
                <w:sz w:val="24"/>
              </w:rPr>
              <w:t>体系建设，并加强</w:t>
            </w:r>
            <w:r>
              <w:rPr>
                <w:rFonts w:ascii="Times New Roman" w:hAnsi="Times New Roman"/>
                <w:sz w:val="24"/>
              </w:rPr>
              <w:t>B</w:t>
            </w:r>
            <w:proofErr w:type="gramStart"/>
            <w:r>
              <w:rPr>
                <w:rFonts w:ascii="Times New Roman" w:hAnsi="Times New Roman"/>
                <w:sz w:val="24"/>
              </w:rPr>
              <w:t>端渠道</w:t>
            </w:r>
            <w:proofErr w:type="gramEnd"/>
            <w:r>
              <w:rPr>
                <w:rFonts w:ascii="Times New Roman" w:hAnsi="Times New Roman"/>
                <w:sz w:val="24"/>
              </w:rPr>
              <w:t>的进一步挖掘，同时通过现有优势经销体系，赋能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两端</w:t>
            </w:r>
            <w:r>
              <w:rPr>
                <w:rFonts w:ascii="Times New Roman" w:hAnsi="Times New Roman" w:hint="eastAsia"/>
                <w:sz w:val="24"/>
              </w:rPr>
              <w:t>，实现多方位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全渠道</w:t>
            </w:r>
            <w:r>
              <w:rPr>
                <w:rFonts w:ascii="Times New Roman" w:hAnsi="Times New Roman"/>
                <w:sz w:val="24"/>
              </w:rPr>
              <w:t>触</w:t>
            </w:r>
            <w:proofErr w:type="gramEnd"/>
            <w:r>
              <w:rPr>
                <w:rFonts w:ascii="Times New Roman" w:hAnsi="Times New Roman"/>
                <w:sz w:val="24"/>
              </w:rPr>
              <w:t>达。在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端，公司进行大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和小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全餐饮场景开发，聚焦餐饮用户实现渠道开拓和用户拓展；在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端，公司搭建经销商战略联盟体系，通过对经销商能力培养和释放，提升渠道服务能力，并</w:t>
            </w:r>
            <w:proofErr w:type="gramStart"/>
            <w:r>
              <w:rPr>
                <w:rFonts w:ascii="Times New Roman" w:hAnsi="Times New Roman"/>
                <w:sz w:val="24"/>
              </w:rPr>
              <w:t>将食材关联</w:t>
            </w:r>
            <w:proofErr w:type="gramEnd"/>
            <w:r>
              <w:rPr>
                <w:rFonts w:ascii="Times New Roman" w:hAnsi="Times New Roman"/>
                <w:sz w:val="24"/>
              </w:rPr>
              <w:t>网点、社区生鲜等近场景、</w:t>
            </w:r>
            <w:proofErr w:type="gramStart"/>
            <w:r>
              <w:rPr>
                <w:rFonts w:ascii="Times New Roman" w:hAnsi="Times New Roman"/>
                <w:sz w:val="24"/>
              </w:rPr>
              <w:t>近食材</w:t>
            </w:r>
            <w:proofErr w:type="gramEnd"/>
            <w:r>
              <w:rPr>
                <w:rFonts w:ascii="Times New Roman" w:hAnsi="Times New Roman"/>
                <w:sz w:val="24"/>
              </w:rPr>
              <w:t>终端作为公司的开发重心。</w:t>
            </w:r>
          </w:p>
          <w:p w14:paraId="1BA887EC" w14:textId="77777777" w:rsidR="00991929" w:rsidRPr="00460371" w:rsidRDefault="00000000">
            <w:pPr>
              <w:widowControl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46037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食</w:t>
            </w:r>
            <w:proofErr w:type="gramStart"/>
            <w:r w:rsidRPr="0046037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萃</w:t>
            </w:r>
            <w:proofErr w:type="gramEnd"/>
            <w:r w:rsidRPr="0046037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食品的业务协同性和未来行业并购整合计划</w:t>
            </w:r>
          </w:p>
          <w:p w14:paraId="2B7316BE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食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食品是线上中小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渠道复合调味品的头部企业，具备持续快速增长的能力。对食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食品的并购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整合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能够较好补齐公司中小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线上渠道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、客户及产品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，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使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公司具备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了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服务包括从单店到大型连锁餐饮在内的所有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端客户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的能力，支撑公司主营业务可持续发展，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进一步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提升综合竞争力。</w:t>
            </w:r>
          </w:p>
          <w:p w14:paraId="793C3EBA" w14:textId="77777777" w:rsidR="00991929" w:rsidRDefault="00000000">
            <w:pPr>
              <w:pStyle w:val="ab"/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公司根据战略规划和业务发展需要，通过内生力量和借助资本运作夯实核心竞争力，公司通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过横向并购、机会型参股投资等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外延式扩张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，实现行业上下游生态链的共同发展。</w:t>
            </w:r>
          </w:p>
        </w:tc>
      </w:tr>
    </w:tbl>
    <w:p w14:paraId="753619DA" w14:textId="77777777" w:rsidR="00991929" w:rsidRDefault="00991929">
      <w:pPr>
        <w:rPr>
          <w:rFonts w:ascii="Times New Roman" w:hAnsi="Times New Roman"/>
        </w:rPr>
      </w:pPr>
    </w:p>
    <w:sectPr w:rsidR="00991929">
      <w:pgSz w:w="11906" w:h="16838"/>
      <w:pgMar w:top="1134" w:right="1416" w:bottom="993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7B0123"/>
    <w:multiLevelType w:val="singleLevel"/>
    <w:tmpl w:val="A97B012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DD79C923"/>
    <w:multiLevelType w:val="singleLevel"/>
    <w:tmpl w:val="DD79C923"/>
    <w:lvl w:ilvl="0">
      <w:start w:val="1"/>
      <w:numFmt w:val="chineseCounting"/>
      <w:suff w:val="space"/>
      <w:lvlText w:val="%1、"/>
      <w:lvlJc w:val="left"/>
      <w:pPr>
        <w:ind w:left="0" w:firstLine="0"/>
      </w:pPr>
      <w:rPr>
        <w:rFonts w:ascii="Times New Roman" w:hAnsi="Times New Roman" w:cs="Times New Roman" w:hint="eastAsia"/>
        <w:b/>
        <w:bCs/>
      </w:rPr>
    </w:lvl>
  </w:abstractNum>
  <w:abstractNum w:abstractNumId="2" w15:restartNumberingAfterBreak="0">
    <w:nsid w:val="EB21F0ED"/>
    <w:multiLevelType w:val="singleLevel"/>
    <w:tmpl w:val="EB21F0ED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num w:numId="1" w16cid:durableId="1815872747">
    <w:abstractNumId w:val="1"/>
  </w:num>
  <w:num w:numId="2" w16cid:durableId="1299260451">
    <w:abstractNumId w:val="0"/>
  </w:num>
  <w:num w:numId="3" w16cid:durableId="19951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M2Y1YzBkYTk0ODY5MWVlYTcxY2E1Yjk5MjQ5YTUifQ=="/>
  </w:docVars>
  <w:rsids>
    <w:rsidRoot w:val="744170E1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D96"/>
    <w:rsid w:val="00056B49"/>
    <w:rsid w:val="00070D51"/>
    <w:rsid w:val="00077A54"/>
    <w:rsid w:val="00080518"/>
    <w:rsid w:val="0008069F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B5A5F"/>
    <w:rsid w:val="000C6942"/>
    <w:rsid w:val="000D0F21"/>
    <w:rsid w:val="000D31EA"/>
    <w:rsid w:val="000D43B9"/>
    <w:rsid w:val="000D4767"/>
    <w:rsid w:val="000D77DE"/>
    <w:rsid w:val="000E783E"/>
    <w:rsid w:val="000E7F53"/>
    <w:rsid w:val="000F1703"/>
    <w:rsid w:val="000F2586"/>
    <w:rsid w:val="00111993"/>
    <w:rsid w:val="00115585"/>
    <w:rsid w:val="00124FB6"/>
    <w:rsid w:val="00127738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18D3"/>
    <w:rsid w:val="001F615D"/>
    <w:rsid w:val="001F61B4"/>
    <w:rsid w:val="00202FC0"/>
    <w:rsid w:val="00210439"/>
    <w:rsid w:val="00216B11"/>
    <w:rsid w:val="002228D2"/>
    <w:rsid w:val="002307BE"/>
    <w:rsid w:val="00233F54"/>
    <w:rsid w:val="002363FD"/>
    <w:rsid w:val="002409BB"/>
    <w:rsid w:val="00242BD8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29"/>
    <w:rsid w:val="00284BFE"/>
    <w:rsid w:val="00290CC0"/>
    <w:rsid w:val="00295235"/>
    <w:rsid w:val="002B0F0E"/>
    <w:rsid w:val="002C622C"/>
    <w:rsid w:val="002D1FA8"/>
    <w:rsid w:val="002E2416"/>
    <w:rsid w:val="002F4DAF"/>
    <w:rsid w:val="00306258"/>
    <w:rsid w:val="00306E5F"/>
    <w:rsid w:val="003103D7"/>
    <w:rsid w:val="00310476"/>
    <w:rsid w:val="00314E20"/>
    <w:rsid w:val="0031630D"/>
    <w:rsid w:val="00321E3B"/>
    <w:rsid w:val="003277C1"/>
    <w:rsid w:val="003324F3"/>
    <w:rsid w:val="00341972"/>
    <w:rsid w:val="00342A17"/>
    <w:rsid w:val="00345E87"/>
    <w:rsid w:val="00346936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291B"/>
    <w:rsid w:val="003A3980"/>
    <w:rsid w:val="003A44B5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5253"/>
    <w:rsid w:val="00416FD3"/>
    <w:rsid w:val="0042466A"/>
    <w:rsid w:val="0042718D"/>
    <w:rsid w:val="00427E54"/>
    <w:rsid w:val="00430512"/>
    <w:rsid w:val="00436CDD"/>
    <w:rsid w:val="004453A8"/>
    <w:rsid w:val="004453C4"/>
    <w:rsid w:val="00452303"/>
    <w:rsid w:val="004545AE"/>
    <w:rsid w:val="00460371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A7F90"/>
    <w:rsid w:val="004C1966"/>
    <w:rsid w:val="004D368F"/>
    <w:rsid w:val="004E448F"/>
    <w:rsid w:val="004E5C7C"/>
    <w:rsid w:val="004F128D"/>
    <w:rsid w:val="004F2795"/>
    <w:rsid w:val="004F5226"/>
    <w:rsid w:val="00504894"/>
    <w:rsid w:val="00511375"/>
    <w:rsid w:val="00512431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16FC"/>
    <w:rsid w:val="00565526"/>
    <w:rsid w:val="00570CB2"/>
    <w:rsid w:val="00573A35"/>
    <w:rsid w:val="005830ED"/>
    <w:rsid w:val="00590FAB"/>
    <w:rsid w:val="005B1F4F"/>
    <w:rsid w:val="005B2E1C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47C88"/>
    <w:rsid w:val="00650367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4A97"/>
    <w:rsid w:val="006A54C0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3BE2"/>
    <w:rsid w:val="00735C69"/>
    <w:rsid w:val="00735E13"/>
    <w:rsid w:val="00736194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3752"/>
    <w:rsid w:val="007D1DFB"/>
    <w:rsid w:val="007E108E"/>
    <w:rsid w:val="007F4484"/>
    <w:rsid w:val="007F5DF9"/>
    <w:rsid w:val="007F709E"/>
    <w:rsid w:val="008040CC"/>
    <w:rsid w:val="008054F7"/>
    <w:rsid w:val="008057D3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21FF"/>
    <w:rsid w:val="00907582"/>
    <w:rsid w:val="009143C1"/>
    <w:rsid w:val="00915838"/>
    <w:rsid w:val="00921FBA"/>
    <w:rsid w:val="00924CC6"/>
    <w:rsid w:val="00926879"/>
    <w:rsid w:val="00940A03"/>
    <w:rsid w:val="00940CD7"/>
    <w:rsid w:val="00943ED8"/>
    <w:rsid w:val="00950BD6"/>
    <w:rsid w:val="00952341"/>
    <w:rsid w:val="00952A6A"/>
    <w:rsid w:val="00953B23"/>
    <w:rsid w:val="0095522F"/>
    <w:rsid w:val="00962BA3"/>
    <w:rsid w:val="00964F6A"/>
    <w:rsid w:val="009757C0"/>
    <w:rsid w:val="0098149D"/>
    <w:rsid w:val="00990F63"/>
    <w:rsid w:val="00991929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4208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110"/>
    <w:rsid w:val="00A55EC9"/>
    <w:rsid w:val="00A573A1"/>
    <w:rsid w:val="00A61DD9"/>
    <w:rsid w:val="00A6218E"/>
    <w:rsid w:val="00A6771A"/>
    <w:rsid w:val="00A828BD"/>
    <w:rsid w:val="00A928A2"/>
    <w:rsid w:val="00A9507D"/>
    <w:rsid w:val="00AA0364"/>
    <w:rsid w:val="00AA1535"/>
    <w:rsid w:val="00AB2F8D"/>
    <w:rsid w:val="00AB5BD3"/>
    <w:rsid w:val="00AC123E"/>
    <w:rsid w:val="00AD21C6"/>
    <w:rsid w:val="00AE0238"/>
    <w:rsid w:val="00AE2672"/>
    <w:rsid w:val="00AE3570"/>
    <w:rsid w:val="00AE59F5"/>
    <w:rsid w:val="00AE6293"/>
    <w:rsid w:val="00AE7921"/>
    <w:rsid w:val="00AF1EDA"/>
    <w:rsid w:val="00AF1EF3"/>
    <w:rsid w:val="00AF2E6F"/>
    <w:rsid w:val="00AF3F78"/>
    <w:rsid w:val="00AF78E5"/>
    <w:rsid w:val="00B05FA2"/>
    <w:rsid w:val="00B0669E"/>
    <w:rsid w:val="00B07E42"/>
    <w:rsid w:val="00B13B05"/>
    <w:rsid w:val="00B20869"/>
    <w:rsid w:val="00B33768"/>
    <w:rsid w:val="00B3673E"/>
    <w:rsid w:val="00B367F1"/>
    <w:rsid w:val="00B37EE3"/>
    <w:rsid w:val="00B4197D"/>
    <w:rsid w:val="00B42560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20F0F"/>
    <w:rsid w:val="00C2338D"/>
    <w:rsid w:val="00C3411A"/>
    <w:rsid w:val="00C371EA"/>
    <w:rsid w:val="00C41D83"/>
    <w:rsid w:val="00C4694A"/>
    <w:rsid w:val="00C51810"/>
    <w:rsid w:val="00C51D95"/>
    <w:rsid w:val="00C52497"/>
    <w:rsid w:val="00C54BFD"/>
    <w:rsid w:val="00C6232C"/>
    <w:rsid w:val="00C64B5B"/>
    <w:rsid w:val="00C6510C"/>
    <w:rsid w:val="00C74D27"/>
    <w:rsid w:val="00C83C50"/>
    <w:rsid w:val="00C874E3"/>
    <w:rsid w:val="00C91CA7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CF3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572C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7460"/>
    <w:rsid w:val="00F7610A"/>
    <w:rsid w:val="00F81631"/>
    <w:rsid w:val="00F839D0"/>
    <w:rsid w:val="00F85F05"/>
    <w:rsid w:val="00F95CEE"/>
    <w:rsid w:val="00FA3B80"/>
    <w:rsid w:val="00FA6E22"/>
    <w:rsid w:val="00FB1BEC"/>
    <w:rsid w:val="00FB238A"/>
    <w:rsid w:val="00FB7EC9"/>
    <w:rsid w:val="00FC3159"/>
    <w:rsid w:val="00FC3BCA"/>
    <w:rsid w:val="00FD08B3"/>
    <w:rsid w:val="00FE6399"/>
    <w:rsid w:val="00FF343F"/>
    <w:rsid w:val="00FF7275"/>
    <w:rsid w:val="00FF7D5D"/>
    <w:rsid w:val="01B801FB"/>
    <w:rsid w:val="045A7C3D"/>
    <w:rsid w:val="094401F6"/>
    <w:rsid w:val="09861BA8"/>
    <w:rsid w:val="0A0323F2"/>
    <w:rsid w:val="0A164E6A"/>
    <w:rsid w:val="0C9559A5"/>
    <w:rsid w:val="0FD47B4D"/>
    <w:rsid w:val="16867FD0"/>
    <w:rsid w:val="16D27951"/>
    <w:rsid w:val="18383447"/>
    <w:rsid w:val="18493992"/>
    <w:rsid w:val="230358CA"/>
    <w:rsid w:val="299D4A37"/>
    <w:rsid w:val="2B3B7AB0"/>
    <w:rsid w:val="2C11436F"/>
    <w:rsid w:val="2FEA0503"/>
    <w:rsid w:val="30442D60"/>
    <w:rsid w:val="325C3185"/>
    <w:rsid w:val="3368520F"/>
    <w:rsid w:val="363A30A1"/>
    <w:rsid w:val="36EC6BF2"/>
    <w:rsid w:val="378E4B3F"/>
    <w:rsid w:val="39F63A08"/>
    <w:rsid w:val="3E8256B7"/>
    <w:rsid w:val="3F7B59EB"/>
    <w:rsid w:val="3F7C428B"/>
    <w:rsid w:val="3F82031F"/>
    <w:rsid w:val="41F16146"/>
    <w:rsid w:val="425055EB"/>
    <w:rsid w:val="42901689"/>
    <w:rsid w:val="42DF77EA"/>
    <w:rsid w:val="43FF723C"/>
    <w:rsid w:val="47C1408E"/>
    <w:rsid w:val="49282066"/>
    <w:rsid w:val="4A454448"/>
    <w:rsid w:val="4FAE3510"/>
    <w:rsid w:val="591E2309"/>
    <w:rsid w:val="5A4E4232"/>
    <w:rsid w:val="64A77044"/>
    <w:rsid w:val="6AC879B5"/>
    <w:rsid w:val="72E445F8"/>
    <w:rsid w:val="74255F37"/>
    <w:rsid w:val="744170E1"/>
    <w:rsid w:val="7544268D"/>
    <w:rsid w:val="75D05CCE"/>
    <w:rsid w:val="77401B62"/>
    <w:rsid w:val="77401D7A"/>
    <w:rsid w:val="79866207"/>
    <w:rsid w:val="7F08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FA6FA"/>
  <w15:docId w15:val="{63E5AC0A-2A19-4546-8EA1-E03D4B9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3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3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IPO">
    <w:name w:val="IPO正文"/>
    <w:basedOn w:val="a"/>
    <w:qFormat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3EED-A675-48BC-A957-1981EBA3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1995</Characters>
  <Application>Microsoft Office Word</Application>
  <DocSecurity>0</DocSecurity>
  <Lines>16</Lines>
  <Paragraphs>4</Paragraphs>
  <ScaleCrop>false</ScaleCrop>
  <Company>。。。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Suo</cp:lastModifiedBy>
  <cp:revision>191</cp:revision>
  <cp:lastPrinted>2023-08-24T01:14:00Z</cp:lastPrinted>
  <dcterms:created xsi:type="dcterms:W3CDTF">2020-10-23T08:42:00Z</dcterms:created>
  <dcterms:modified xsi:type="dcterms:W3CDTF">2023-08-24T02:13:00Z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5DFFE66244E24CA9AD44E1B618F6BDA8_13</vt:lpwstr>
  </property>
</Properties>
</file>