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cstheme="minorEastAsia"/>
          <w:b/>
          <w:bCs/>
          <w:sz w:val="24"/>
        </w:rPr>
      </w:pPr>
      <w:r>
        <w:rPr>
          <w:rFonts w:hint="eastAsia" w:asciiTheme="minorEastAsia" w:hAnsiTheme="minorEastAsia" w:cstheme="minorEastAsia"/>
          <w:b/>
          <w:bCs/>
          <w:sz w:val="24"/>
        </w:rPr>
        <w:t>证券代码：603033                                   证券简称：三维股份</w:t>
      </w:r>
    </w:p>
    <w:p>
      <w:pPr>
        <w:spacing w:line="360" w:lineRule="auto"/>
        <w:ind w:firstLine="482" w:firstLineChars="200"/>
        <w:jc w:val="left"/>
        <w:rPr>
          <w:rFonts w:asciiTheme="minorEastAsia" w:hAnsiTheme="minorEastAsia" w:cstheme="minorEastAsia"/>
          <w:b/>
          <w:bCs/>
          <w:sz w:val="24"/>
        </w:rPr>
      </w:pPr>
    </w:p>
    <w:p>
      <w:pPr>
        <w:spacing w:line="360" w:lineRule="auto"/>
        <w:ind w:firstLine="562" w:firstLineChars="200"/>
        <w:jc w:val="center"/>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三维控股集团</w:t>
      </w:r>
      <w:r>
        <w:rPr>
          <w:rFonts w:hint="eastAsia" w:asciiTheme="minorEastAsia" w:hAnsiTheme="minorEastAsia" w:cstheme="minorEastAsia"/>
          <w:b/>
          <w:bCs/>
          <w:sz w:val="28"/>
          <w:szCs w:val="28"/>
        </w:rPr>
        <w:t>股份有限公司</w:t>
      </w:r>
    </w:p>
    <w:p>
      <w:pPr>
        <w:spacing w:line="360" w:lineRule="auto"/>
        <w:ind w:firstLine="562" w:firstLineChars="200"/>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投资者关系活动记录表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投资者关系活动类别</w:t>
            </w:r>
          </w:p>
        </w:tc>
        <w:tc>
          <w:tcPr>
            <w:tcW w:w="6477" w:type="dxa"/>
          </w:tcPr>
          <w:p>
            <w:pPr>
              <w:pStyle w:val="12"/>
              <w:tabs>
                <w:tab w:val="left" w:pos="2418"/>
              </w:tabs>
              <w:spacing w:before="1"/>
              <w:ind w:left="107"/>
              <w:rPr>
                <w:rFonts w:hint="eastAsia" w:ascii="宋体" w:hAnsi="宋体" w:eastAsia="宋体" w:cs="宋体"/>
                <w:sz w:val="24"/>
                <w:szCs w:val="24"/>
              </w:rPr>
            </w:pPr>
            <w:sdt>
              <w:sdtPr>
                <w:rPr>
                  <w:rFonts w:hint="eastAsia" w:ascii="宋体" w:hAnsi="宋体" w:eastAsia="宋体" w:cs="宋体"/>
                  <w:sz w:val="24"/>
                  <w:szCs w:val="24"/>
                </w:rPr>
                <w:id w:val="249780449"/>
                <w14:checkbox>
                  <w14:checked w14:val="1"/>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Wingdings 2" w:hAnsi="Wingdings 2" w:eastAsia="宋体" w:cs="宋体"/>
                    <w:kern w:val="2"/>
                    <w:sz w:val="24"/>
                    <w:szCs w:val="24"/>
                    <w:lang w:val="en-US" w:eastAsia="zh-CN" w:bidi="ar-SA"/>
                  </w:rPr>
                  <w:t>R</w:t>
                </w:r>
              </w:sdtContent>
            </w:sdt>
            <w:r>
              <w:rPr>
                <w:rFonts w:hint="eastAsia" w:ascii="宋体" w:hAnsi="宋体" w:eastAsia="宋体" w:cs="宋体"/>
                <w:sz w:val="24"/>
                <w:szCs w:val="24"/>
              </w:rPr>
              <w:t>特</w:t>
            </w:r>
            <w:r>
              <w:rPr>
                <w:rFonts w:hint="eastAsia" w:ascii="宋体" w:hAnsi="宋体" w:eastAsia="宋体" w:cs="宋体"/>
                <w:spacing w:val="-3"/>
                <w:sz w:val="24"/>
                <w:szCs w:val="24"/>
              </w:rPr>
              <w:t>定</w:t>
            </w:r>
            <w:r>
              <w:rPr>
                <w:rFonts w:hint="eastAsia" w:ascii="宋体" w:hAnsi="宋体" w:eastAsia="宋体" w:cs="宋体"/>
                <w:sz w:val="24"/>
                <w:szCs w:val="24"/>
              </w:rPr>
              <w:t>对</w:t>
            </w:r>
            <w:r>
              <w:rPr>
                <w:rFonts w:hint="eastAsia" w:ascii="宋体" w:hAnsi="宋体" w:eastAsia="宋体" w:cs="宋体"/>
                <w:spacing w:val="-3"/>
                <w:sz w:val="24"/>
                <w:szCs w:val="24"/>
              </w:rPr>
              <w:t>象</w:t>
            </w:r>
            <w:r>
              <w:rPr>
                <w:rFonts w:hint="eastAsia" w:ascii="宋体" w:hAnsi="宋体" w:eastAsia="宋体" w:cs="宋体"/>
                <w:sz w:val="24"/>
                <w:szCs w:val="24"/>
              </w:rPr>
              <w:t>调研</w:t>
            </w:r>
            <w:r>
              <w:rPr>
                <w:rFonts w:hint="eastAsia" w:ascii="宋体" w:hAnsi="宋体" w:eastAsia="宋体" w:cs="宋体"/>
                <w:sz w:val="24"/>
                <w:szCs w:val="24"/>
              </w:rPr>
              <w:tab/>
            </w:r>
            <w:sdt>
              <w:sdtPr>
                <w:rPr>
                  <w:rFonts w:hint="eastAsia" w:ascii="宋体" w:hAnsi="宋体" w:eastAsia="宋体" w:cs="宋体"/>
                  <w:sz w:val="24"/>
                  <w:szCs w:val="24"/>
                </w:rPr>
                <w:id w:val="-416875725"/>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分</w:t>
            </w:r>
            <w:r>
              <w:rPr>
                <w:rFonts w:hint="eastAsia" w:ascii="宋体" w:hAnsi="宋体" w:eastAsia="宋体" w:cs="宋体"/>
                <w:spacing w:val="-3"/>
                <w:sz w:val="24"/>
                <w:szCs w:val="24"/>
              </w:rPr>
              <w:t>析</w:t>
            </w:r>
            <w:r>
              <w:rPr>
                <w:rFonts w:hint="eastAsia" w:ascii="宋体" w:hAnsi="宋体" w:eastAsia="宋体" w:cs="宋体"/>
                <w:sz w:val="24"/>
                <w:szCs w:val="24"/>
              </w:rPr>
              <w:t>师</w:t>
            </w:r>
            <w:r>
              <w:rPr>
                <w:rFonts w:hint="eastAsia" w:ascii="宋体" w:hAnsi="宋体" w:eastAsia="宋体" w:cs="宋体"/>
                <w:spacing w:val="-3"/>
                <w:sz w:val="24"/>
                <w:szCs w:val="24"/>
              </w:rPr>
              <w:t>会</w:t>
            </w:r>
            <w:r>
              <w:rPr>
                <w:rFonts w:hint="eastAsia" w:ascii="宋体" w:hAnsi="宋体" w:eastAsia="宋体" w:cs="宋体"/>
                <w:sz w:val="24"/>
                <w:szCs w:val="24"/>
              </w:rPr>
              <w:t>议</w:t>
            </w:r>
          </w:p>
          <w:p>
            <w:pPr>
              <w:pStyle w:val="12"/>
              <w:spacing w:before="11"/>
              <w:rPr>
                <w:rFonts w:hint="eastAsia" w:ascii="宋体" w:hAnsi="宋体" w:eastAsia="宋体" w:cs="宋体"/>
                <w:sz w:val="24"/>
                <w:szCs w:val="24"/>
              </w:rPr>
            </w:pPr>
          </w:p>
          <w:p>
            <w:pPr>
              <w:pStyle w:val="12"/>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20690601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媒</w:t>
            </w:r>
            <w:r>
              <w:rPr>
                <w:rFonts w:hint="eastAsia" w:ascii="宋体" w:hAnsi="宋体" w:eastAsia="宋体" w:cs="宋体"/>
                <w:spacing w:val="-3"/>
                <w:sz w:val="24"/>
                <w:szCs w:val="24"/>
              </w:rPr>
              <w:t>体</w:t>
            </w:r>
            <w:r>
              <w:rPr>
                <w:rFonts w:hint="eastAsia" w:ascii="宋体" w:hAnsi="宋体" w:eastAsia="宋体" w:cs="宋体"/>
                <w:sz w:val="24"/>
                <w:szCs w:val="24"/>
              </w:rPr>
              <w:t>采访</w:t>
            </w:r>
            <w:r>
              <w:rPr>
                <w:rFonts w:hint="eastAsia" w:ascii="宋体" w:hAnsi="宋体" w:eastAsia="宋体" w:cs="宋体"/>
                <w:sz w:val="24"/>
                <w:szCs w:val="24"/>
              </w:rPr>
              <w:tab/>
            </w:r>
            <w:sdt>
              <w:sdtPr>
                <w:rPr>
                  <w:rFonts w:hint="eastAsia" w:ascii="宋体" w:hAnsi="宋体" w:eastAsia="宋体" w:cs="宋体"/>
                  <w:sz w:val="24"/>
                  <w:szCs w:val="24"/>
                </w:rPr>
                <w:id w:val="-6665890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zh-CN" w:eastAsia="zh-CN" w:bidi="zh-CN"/>
                  </w:rPr>
                  <w:t>☐</w:t>
                </w:r>
              </w:sdtContent>
            </w:sdt>
            <w:r>
              <w:rPr>
                <w:rFonts w:hint="eastAsia" w:ascii="宋体" w:hAnsi="宋体" w:eastAsia="宋体" w:cs="宋体"/>
                <w:sz w:val="24"/>
                <w:szCs w:val="24"/>
              </w:rPr>
              <w:t>业</w:t>
            </w:r>
            <w:r>
              <w:rPr>
                <w:rFonts w:hint="eastAsia" w:ascii="宋体" w:hAnsi="宋体" w:eastAsia="宋体" w:cs="宋体"/>
                <w:spacing w:val="-3"/>
                <w:sz w:val="24"/>
                <w:szCs w:val="24"/>
              </w:rPr>
              <w:t>绩</w:t>
            </w:r>
            <w:r>
              <w:rPr>
                <w:rFonts w:hint="eastAsia" w:ascii="宋体" w:hAnsi="宋体" w:eastAsia="宋体" w:cs="宋体"/>
                <w:sz w:val="24"/>
                <w:szCs w:val="24"/>
              </w:rPr>
              <w:t>说</w:t>
            </w:r>
            <w:r>
              <w:rPr>
                <w:rFonts w:hint="eastAsia" w:ascii="宋体" w:hAnsi="宋体" w:eastAsia="宋体" w:cs="宋体"/>
                <w:spacing w:val="-3"/>
                <w:sz w:val="24"/>
                <w:szCs w:val="24"/>
              </w:rPr>
              <w:t>明</w:t>
            </w:r>
            <w:r>
              <w:rPr>
                <w:rFonts w:hint="eastAsia" w:ascii="宋体" w:hAnsi="宋体" w:eastAsia="宋体" w:cs="宋体"/>
                <w:sz w:val="24"/>
                <w:szCs w:val="24"/>
              </w:rPr>
              <w:t>会</w:t>
            </w:r>
          </w:p>
          <w:p>
            <w:pPr>
              <w:pStyle w:val="12"/>
              <w:spacing w:before="8"/>
              <w:rPr>
                <w:rFonts w:hint="eastAsia" w:ascii="宋体" w:hAnsi="宋体" w:eastAsia="宋体" w:cs="宋体"/>
                <w:sz w:val="24"/>
                <w:szCs w:val="24"/>
              </w:rPr>
            </w:pPr>
          </w:p>
          <w:p>
            <w:pPr>
              <w:pStyle w:val="12"/>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84816743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新</w:t>
            </w:r>
            <w:r>
              <w:rPr>
                <w:rFonts w:hint="eastAsia" w:ascii="宋体" w:hAnsi="宋体" w:eastAsia="宋体" w:cs="宋体"/>
                <w:spacing w:val="-3"/>
                <w:sz w:val="24"/>
                <w:szCs w:val="24"/>
              </w:rPr>
              <w:t>闻</w:t>
            </w:r>
            <w:r>
              <w:rPr>
                <w:rFonts w:hint="eastAsia" w:ascii="宋体" w:hAnsi="宋体" w:eastAsia="宋体" w:cs="宋体"/>
                <w:sz w:val="24"/>
                <w:szCs w:val="24"/>
              </w:rPr>
              <w:t>发</w:t>
            </w:r>
            <w:r>
              <w:rPr>
                <w:rFonts w:hint="eastAsia" w:ascii="宋体" w:hAnsi="宋体" w:eastAsia="宋体" w:cs="宋体"/>
                <w:spacing w:val="-3"/>
                <w:sz w:val="24"/>
                <w:szCs w:val="24"/>
              </w:rPr>
              <w:t>布</w:t>
            </w:r>
            <w:r>
              <w:rPr>
                <w:rFonts w:hint="eastAsia" w:ascii="宋体" w:hAnsi="宋体" w:eastAsia="宋体" w:cs="宋体"/>
                <w:sz w:val="24"/>
                <w:szCs w:val="24"/>
              </w:rPr>
              <w:t>会</w:t>
            </w:r>
            <w:r>
              <w:rPr>
                <w:rFonts w:hint="eastAsia" w:ascii="宋体" w:hAnsi="宋体" w:eastAsia="宋体" w:cs="宋体"/>
                <w:sz w:val="24"/>
                <w:szCs w:val="24"/>
              </w:rPr>
              <w:tab/>
            </w:r>
            <w:sdt>
              <w:sdtPr>
                <w:rPr>
                  <w:rFonts w:hint="eastAsia" w:ascii="宋体" w:hAnsi="宋体" w:eastAsia="宋体" w:cs="宋体"/>
                  <w:sz w:val="24"/>
                  <w:szCs w:val="24"/>
                </w:rPr>
                <w:id w:val="41204969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路</w:t>
            </w:r>
            <w:r>
              <w:rPr>
                <w:rFonts w:hint="eastAsia" w:ascii="宋体" w:hAnsi="宋体" w:eastAsia="宋体" w:cs="宋体"/>
                <w:spacing w:val="-3"/>
                <w:sz w:val="24"/>
                <w:szCs w:val="24"/>
              </w:rPr>
              <w:t>演</w:t>
            </w:r>
            <w:r>
              <w:rPr>
                <w:rFonts w:hint="eastAsia" w:ascii="宋体" w:hAnsi="宋体" w:eastAsia="宋体" w:cs="宋体"/>
                <w:sz w:val="24"/>
                <w:szCs w:val="24"/>
              </w:rPr>
              <w:t>活动</w:t>
            </w:r>
          </w:p>
          <w:p>
            <w:pPr>
              <w:pStyle w:val="12"/>
              <w:spacing w:before="8"/>
              <w:rPr>
                <w:rFonts w:hint="eastAsia" w:ascii="宋体" w:hAnsi="宋体" w:eastAsia="宋体" w:cs="宋体"/>
                <w:sz w:val="24"/>
                <w:szCs w:val="24"/>
              </w:rPr>
            </w:pPr>
          </w:p>
          <w:p>
            <w:pPr>
              <w:pStyle w:val="12"/>
              <w:ind w:left="107"/>
              <w:rPr>
                <w:rFonts w:hint="eastAsia" w:ascii="宋体" w:hAnsi="宋体" w:eastAsia="宋体" w:cs="宋体"/>
                <w:sz w:val="24"/>
                <w:szCs w:val="24"/>
              </w:rPr>
            </w:pPr>
            <w:sdt>
              <w:sdtPr>
                <w:rPr>
                  <w:rFonts w:hint="eastAsia" w:ascii="宋体" w:hAnsi="宋体" w:eastAsia="宋体" w:cs="宋体"/>
                  <w:sz w:val="24"/>
                  <w:szCs w:val="24"/>
                </w:rPr>
                <w:id w:val="-133336691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现场参观</w:t>
            </w:r>
          </w:p>
          <w:p>
            <w:pPr>
              <w:pStyle w:val="12"/>
              <w:spacing w:before="11"/>
              <w:rPr>
                <w:rFonts w:hint="eastAsia" w:ascii="宋体" w:hAnsi="宋体" w:eastAsia="宋体" w:cs="宋体"/>
                <w:sz w:val="24"/>
                <w:szCs w:val="24"/>
              </w:rPr>
            </w:pPr>
          </w:p>
          <w:p>
            <w:pPr>
              <w:spacing w:line="360" w:lineRule="auto"/>
              <w:jc w:val="left"/>
              <w:rPr>
                <w:rFonts w:asciiTheme="minorEastAsia" w:hAnsiTheme="minorEastAsia" w:cstheme="minorEastAsia"/>
                <w:kern w:val="0"/>
                <w:sz w:val="24"/>
              </w:rPr>
            </w:pPr>
            <w:sdt>
              <w:sdtPr>
                <w:rPr>
                  <w:rFonts w:hint="eastAsia" w:ascii="宋体" w:hAnsi="宋体" w:eastAsia="宋体" w:cs="宋体"/>
                  <w:sz w:val="24"/>
                  <w:szCs w:val="24"/>
                </w:rPr>
                <w:id w:val="400885218"/>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en-US" w:eastAsia="zh-CN" w:bidi="ar-SA"/>
                  </w:rPr>
                  <w:t>☐</w:t>
                </w:r>
              </w:sdtContent>
            </w:sdt>
            <w:r>
              <w:rPr>
                <w:rFonts w:hint="eastAsia" w:ascii="宋体" w:hAnsi="宋体" w:eastAsia="宋体" w:cs="宋体"/>
                <w:sz w:val="24"/>
                <w:szCs w:val="24"/>
              </w:rPr>
              <w:t>其他（</w:t>
            </w:r>
            <w:r>
              <w:rPr>
                <w:rFonts w:hint="eastAsia" w:ascii="宋体" w:hAnsi="宋体" w:eastAsia="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参与单位名称及人员姓名</w:t>
            </w:r>
          </w:p>
        </w:tc>
        <w:tc>
          <w:tcPr>
            <w:tcW w:w="6477" w:type="dxa"/>
          </w:tcPr>
          <w:p>
            <w:pPr>
              <w:spacing w:line="36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华西证券 杨伟 王丽丽</w:t>
            </w:r>
          </w:p>
          <w:p>
            <w:pPr>
              <w:spacing w:line="36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永赢基金 胡亚新</w:t>
            </w:r>
          </w:p>
          <w:p>
            <w:pPr>
              <w:spacing w:line="360" w:lineRule="auto"/>
              <w:jc w:val="left"/>
              <w:rPr>
                <w:rFonts w:hint="default"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太平基金 杨行远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时间</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eastAsiaTheme="minorEastAsia" w:cstheme="minorEastAsia"/>
                <w:sz w:val="24"/>
                <w:szCs w:val="24"/>
              </w:rPr>
              <w:t>2023年0</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地点</w:t>
            </w:r>
          </w:p>
        </w:tc>
        <w:tc>
          <w:tcPr>
            <w:tcW w:w="6477" w:type="dxa"/>
          </w:tcPr>
          <w:p>
            <w:pPr>
              <w:spacing w:line="360" w:lineRule="auto"/>
              <w:jc w:val="left"/>
              <w:rPr>
                <w:rFonts w:hint="eastAsia" w:asciiTheme="minorEastAsia" w:hAnsiTheme="minorEastAsia" w:eastAsiaTheme="minorEastAsia" w:cstheme="minorEastAsia"/>
                <w:kern w:val="0"/>
                <w:sz w:val="24"/>
                <w:lang w:val="en-US" w:eastAsia="zh-CN"/>
              </w:rPr>
            </w:pPr>
            <w:r>
              <w:rPr>
                <w:rFonts w:hint="eastAsia" w:asciiTheme="minorEastAsia" w:hAnsiTheme="minorEastAsia" w:cstheme="minorEastAsia"/>
                <w:kern w:val="0"/>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上市公司接待人员姓名</w:t>
            </w:r>
          </w:p>
        </w:tc>
        <w:tc>
          <w:tcPr>
            <w:tcW w:w="647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副总经理、财务总监 李帅红女士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ascii="宋体" w:hAnsi="宋体" w:eastAsia="宋体" w:cs="宋体"/>
                <w:sz w:val="24"/>
                <w:szCs w:val="24"/>
              </w:rPr>
              <w:t>董事会秘书 戴涛先</w:t>
            </w:r>
            <w:r>
              <w:rPr>
                <w:rFonts w:hint="eastAsia" w:ascii="宋体" w:hAnsi="宋体" w:eastAsia="宋体" w:cs="宋体"/>
                <w:sz w:val="24"/>
                <w:szCs w:val="24"/>
                <w:lang w:eastAsia="zh-CN"/>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投资者关系活动主要内容介绍</w:t>
            </w:r>
          </w:p>
        </w:tc>
        <w:tc>
          <w:tcPr>
            <w:tcW w:w="6477" w:type="dxa"/>
            <w:vAlign w:val="top"/>
          </w:tcPr>
          <w:p>
            <w:pPr>
              <w:spacing w:line="360" w:lineRule="auto"/>
              <w:ind w:firstLine="482" w:firstLineChars="200"/>
              <w:jc w:val="left"/>
              <w:rPr>
                <w:rFonts w:asciiTheme="minorEastAsia" w:hAnsiTheme="minorEastAsia" w:cstheme="minorEastAsia"/>
                <w:b/>
                <w:kern w:val="0"/>
                <w:sz w:val="24"/>
              </w:rPr>
            </w:pPr>
            <w:r>
              <w:rPr>
                <w:rFonts w:hint="eastAsia" w:asciiTheme="minorEastAsia" w:hAnsiTheme="minorEastAsia" w:cstheme="minorEastAsia"/>
                <w:b/>
                <w:kern w:val="0"/>
                <w:sz w:val="24"/>
              </w:rPr>
              <w:t>一、公司基本情况介绍：</w:t>
            </w:r>
            <w:bookmarkStart w:id="0" w:name="_GoBack"/>
            <w:bookmarkEnd w:id="0"/>
          </w:p>
          <w:p>
            <w:pPr>
              <w:pStyle w:val="11"/>
              <w:widowControl/>
              <w:spacing w:line="360" w:lineRule="auto"/>
              <w:ind w:left="0" w:firstLine="480" w:firstLineChars="200"/>
              <w:rPr>
                <w:rFonts w:hint="eastAsia" w:ascii="宋体" w:hAnsi="宋体" w:eastAsia="宋体" w:cs="宋体"/>
                <w:sz w:val="24"/>
                <w:szCs w:val="24"/>
                <w:lang w:eastAsia="zh-CN"/>
              </w:rPr>
            </w:pPr>
            <w:r>
              <w:rPr>
                <w:rFonts w:hint="eastAsia" w:asciiTheme="minorEastAsia" w:hAnsiTheme="minorEastAsia"/>
                <w:kern w:val="0"/>
                <w:sz w:val="24"/>
              </w:rPr>
              <w:t>公司目前形成“化工、交通”两大领域三大主业的业务格局：包含</w:t>
            </w:r>
            <w:r>
              <w:rPr>
                <w:rFonts w:asciiTheme="minorEastAsia" w:hAnsiTheme="minorEastAsia"/>
                <w:kern w:val="0"/>
                <w:sz w:val="24"/>
              </w:rPr>
              <w:t>橡胶制品产业</w:t>
            </w:r>
            <w:r>
              <w:rPr>
                <w:rFonts w:hint="eastAsia" w:asciiTheme="minorEastAsia" w:hAnsiTheme="minorEastAsia"/>
                <w:kern w:val="0"/>
                <w:sz w:val="24"/>
              </w:rPr>
              <w:t>、</w:t>
            </w:r>
            <w:r>
              <w:rPr>
                <w:rFonts w:asciiTheme="minorEastAsia" w:hAnsiTheme="minorEastAsia"/>
                <w:kern w:val="0"/>
                <w:sz w:val="24"/>
              </w:rPr>
              <w:t>化纤产业</w:t>
            </w:r>
            <w:r>
              <w:rPr>
                <w:rFonts w:hint="eastAsia" w:asciiTheme="minorEastAsia" w:hAnsiTheme="minorEastAsia"/>
                <w:kern w:val="0"/>
                <w:sz w:val="24"/>
                <w:lang w:eastAsia="zh-CN"/>
              </w:rPr>
              <w:t>、可降解塑料产业、</w:t>
            </w:r>
            <w:r>
              <w:rPr>
                <w:rFonts w:asciiTheme="minorEastAsia" w:hAnsiTheme="minorEastAsia"/>
                <w:kern w:val="0"/>
                <w:sz w:val="24"/>
              </w:rPr>
              <w:t>轨道交通产业</w:t>
            </w:r>
            <w:r>
              <w:rPr>
                <w:rFonts w:hint="eastAsia" w:asciiTheme="minorEastAsia" w:hAnsiTheme="minorEastAsia"/>
                <w:kern w:val="0"/>
                <w:sz w:val="24"/>
              </w:rPr>
              <w:t>。轨道交通产业生产基地</w:t>
            </w:r>
            <w:r>
              <w:rPr>
                <w:rFonts w:hint="eastAsia" w:asciiTheme="minorEastAsia" w:hAnsiTheme="minorEastAsia"/>
                <w:color w:val="000000" w:themeColor="text1"/>
                <w:kern w:val="0"/>
                <w:sz w:val="24"/>
                <w14:textFill>
                  <w14:solidFill>
                    <w14:schemeClr w14:val="tx1"/>
                  </w14:solidFill>
                </w14:textFill>
              </w:rPr>
              <w:t>位于“珠三角”、“长三角”以及国家“一带一路”沿线所覆盖的云南省、四川省等省份。橡胶制品产业生产基地和化纤产业生产基地均位于三门县内。</w:t>
            </w:r>
            <w:r>
              <w:rPr>
                <w:rFonts w:hint="eastAsia" w:asciiTheme="minorEastAsia" w:hAnsiTheme="minorEastAsia"/>
                <w:kern w:val="0"/>
                <w:sz w:val="24"/>
                <w:lang w:eastAsia="zh-CN"/>
              </w:rPr>
              <w:t>可降解塑料产业生产基地位于内蒙古乌海市</w:t>
            </w:r>
            <w:r>
              <w:rPr>
                <w:rFonts w:hint="eastAsia" w:ascii="宋体" w:hAnsi="宋体" w:eastAsia="宋体" w:cs="宋体"/>
                <w:sz w:val="24"/>
              </w:rPr>
              <w:t>低碳产业园区</w:t>
            </w:r>
            <w:r>
              <w:rPr>
                <w:rFonts w:hint="eastAsia" w:ascii="宋体" w:hAnsi="宋体" w:cs="宋体"/>
                <w:sz w:val="24"/>
                <w:lang w:eastAsia="zh-CN"/>
              </w:rPr>
              <w:t>。</w:t>
            </w:r>
            <w:r>
              <w:rPr>
                <w:rFonts w:hint="eastAsia" w:asciiTheme="minorEastAsia" w:hAnsiTheme="minorEastAsia"/>
                <w:kern w:val="0"/>
                <w:sz w:val="24"/>
              </w:rPr>
              <w:t>202</w:t>
            </w:r>
            <w:r>
              <w:rPr>
                <w:rFonts w:hint="eastAsia" w:asciiTheme="minorEastAsia" w:hAnsiTheme="minorEastAsia"/>
                <w:kern w:val="0"/>
                <w:sz w:val="24"/>
                <w:lang w:val="en-US" w:eastAsia="zh-CN"/>
              </w:rPr>
              <w:t>3</w:t>
            </w:r>
            <w:r>
              <w:rPr>
                <w:rFonts w:hint="eastAsia" w:asciiTheme="minorEastAsia" w:hAnsiTheme="minorEastAsia"/>
                <w:kern w:val="0"/>
                <w:sz w:val="24"/>
              </w:rPr>
              <w:t>年</w:t>
            </w:r>
            <w:r>
              <w:rPr>
                <w:rFonts w:hint="eastAsia" w:asciiTheme="minorEastAsia" w:hAnsiTheme="minorEastAsia"/>
                <w:kern w:val="0"/>
                <w:sz w:val="24"/>
                <w:lang w:val="en-US" w:eastAsia="zh-CN"/>
              </w:rPr>
              <w:t>1-6月</w:t>
            </w:r>
            <w:r>
              <w:rPr>
                <w:rFonts w:hint="eastAsia" w:asciiTheme="minorEastAsia" w:hAnsiTheme="minorEastAsia"/>
                <w:kern w:val="0"/>
                <w:sz w:val="24"/>
              </w:rPr>
              <w:t>公司</w:t>
            </w:r>
            <w:r>
              <w:rPr>
                <w:rFonts w:hint="eastAsia" w:ascii="宋体" w:hAnsi="宋体" w:eastAsia="宋体" w:cs="宋体"/>
                <w:sz w:val="24"/>
                <w:szCs w:val="24"/>
                <w:lang w:eastAsia="zh-CN"/>
              </w:rPr>
              <w:t>实现营业收入</w:t>
            </w:r>
            <w:r>
              <w:rPr>
                <w:rFonts w:hint="eastAsia" w:ascii="宋体" w:hAnsi="宋体" w:cs="宋体"/>
                <w:sz w:val="24"/>
                <w:szCs w:val="24"/>
                <w:lang w:val="en-US" w:eastAsia="zh-CN"/>
              </w:rPr>
              <w:t>18.44亿</w:t>
            </w:r>
            <w:r>
              <w:rPr>
                <w:rFonts w:hint="eastAsia" w:ascii="宋体" w:hAnsi="宋体" w:eastAsia="宋体" w:cs="宋体"/>
                <w:sz w:val="24"/>
                <w:szCs w:val="24"/>
                <w:lang w:eastAsia="zh-CN"/>
              </w:rPr>
              <w:t>元</w:t>
            </w:r>
            <w:r>
              <w:rPr>
                <w:rFonts w:asciiTheme="minorEastAsia" w:hAnsiTheme="minorEastAsia"/>
                <w:kern w:val="0"/>
                <w:sz w:val="24"/>
              </w:rPr>
              <w:t>，同比</w:t>
            </w:r>
            <w:r>
              <w:rPr>
                <w:rFonts w:hint="eastAsia" w:asciiTheme="minorEastAsia" w:hAnsiTheme="minorEastAsia"/>
                <w:kern w:val="0"/>
                <w:sz w:val="24"/>
                <w:lang w:eastAsia="zh-CN"/>
              </w:rPr>
              <w:t>下降</w:t>
            </w:r>
            <w:r>
              <w:rPr>
                <w:rFonts w:hint="eastAsia" w:asciiTheme="minorEastAsia" w:hAnsiTheme="minorEastAsia"/>
                <w:kern w:val="0"/>
                <w:sz w:val="24"/>
                <w:lang w:val="en-US" w:eastAsia="zh-CN"/>
              </w:rPr>
              <w:t>2.81</w:t>
            </w:r>
            <w:r>
              <w:rPr>
                <w:rFonts w:asciiTheme="minorEastAsia" w:hAnsiTheme="minorEastAsia"/>
                <w:kern w:val="0"/>
                <w:sz w:val="24"/>
              </w:rPr>
              <w:t>%，</w:t>
            </w:r>
            <w:r>
              <w:rPr>
                <w:rFonts w:hint="eastAsia" w:ascii="宋体" w:hAnsi="宋体" w:eastAsia="宋体" w:cs="宋体"/>
                <w:sz w:val="24"/>
                <w:szCs w:val="24"/>
                <w:lang w:eastAsia="zh-CN"/>
              </w:rPr>
              <w:t>实现归属于上市公司股东的净利润</w:t>
            </w:r>
            <w:r>
              <w:rPr>
                <w:rFonts w:hint="eastAsia" w:ascii="宋体" w:hAnsi="宋体" w:cs="宋体"/>
                <w:sz w:val="24"/>
                <w:szCs w:val="24"/>
                <w:lang w:val="en-US" w:eastAsia="zh-CN"/>
              </w:rPr>
              <w:t>1.16亿</w:t>
            </w:r>
            <w:r>
              <w:rPr>
                <w:rFonts w:hint="eastAsia" w:ascii="宋体" w:hAnsi="宋体" w:eastAsia="宋体" w:cs="宋体"/>
                <w:sz w:val="24"/>
                <w:szCs w:val="24"/>
                <w:lang w:eastAsia="zh-CN"/>
              </w:rPr>
              <w:t>元，同比</w:t>
            </w:r>
            <w:r>
              <w:rPr>
                <w:rFonts w:hint="eastAsia" w:ascii="宋体" w:hAnsi="宋体" w:cs="宋体"/>
                <w:sz w:val="24"/>
                <w:szCs w:val="24"/>
                <w:lang w:eastAsia="zh-CN"/>
              </w:rPr>
              <w:t>增长</w:t>
            </w:r>
            <w:r>
              <w:rPr>
                <w:rFonts w:hint="eastAsia" w:ascii="宋体" w:hAnsi="宋体" w:cs="宋体"/>
                <w:sz w:val="24"/>
                <w:szCs w:val="24"/>
                <w:lang w:val="en-US" w:eastAsia="zh-CN"/>
              </w:rPr>
              <w:t>21.8</w:t>
            </w:r>
            <w:r>
              <w:rPr>
                <w:rFonts w:hint="eastAsia" w:ascii="宋体" w:hAnsi="宋体" w:eastAsia="宋体" w:cs="宋体"/>
                <w:sz w:val="24"/>
                <w:szCs w:val="24"/>
                <w:lang w:val="en-US"/>
              </w:rPr>
              <w:t>%</w:t>
            </w:r>
            <w:r>
              <w:rPr>
                <w:rFonts w:hint="eastAsia" w:ascii="宋体" w:hAnsi="宋体" w:eastAsia="宋体" w:cs="宋体"/>
                <w:sz w:val="24"/>
                <w:szCs w:val="24"/>
                <w:lang w:eastAsia="zh-CN"/>
              </w:rPr>
              <w:t>。</w:t>
            </w:r>
          </w:p>
          <w:p>
            <w:pPr>
              <w:pStyle w:val="11"/>
              <w:widowControl/>
              <w:spacing w:line="360" w:lineRule="auto"/>
              <w:ind w:left="0" w:firstLine="480" w:firstLineChars="200"/>
              <w:rPr>
                <w:rFonts w:hint="eastAsia" w:ascii="宋体" w:hAnsi="宋体" w:eastAsia="宋体" w:cs="宋体"/>
                <w:b w:val="0"/>
                <w:sz w:val="24"/>
                <w:szCs w:val="24"/>
              </w:rPr>
            </w:pPr>
            <w:r>
              <w:rPr>
                <w:rFonts w:hint="eastAsia" w:ascii="宋体" w:hAnsi="宋体" w:eastAsia="宋体" w:cs="宋体"/>
                <w:b w:val="0"/>
                <w:sz w:val="24"/>
                <w:szCs w:val="24"/>
              </w:rPr>
              <w:t>公司BDO一体化项目基本建设完成，已经具备生产条件，相关岗位人员已招聘到位，目前正推进设备调试及人员培训工作，为后续生产做好准备。公司销售渠道已基本搭建完毕，销售团队已与下游多家客户达成初步合作意向，确保“投产即销售”。</w:t>
            </w:r>
          </w:p>
          <w:p>
            <w:pPr>
              <w:pStyle w:val="11"/>
              <w:widowControl/>
              <w:spacing w:line="360" w:lineRule="auto"/>
              <w:ind w:left="0" w:firstLine="480" w:firstLineChars="200"/>
              <w:rPr>
                <w:rFonts w:hint="eastAsia" w:ascii="宋体" w:hAnsi="宋体" w:eastAsia="宋体" w:cs="宋体"/>
                <w:b w:val="0"/>
                <w:sz w:val="24"/>
                <w:szCs w:val="24"/>
              </w:rPr>
            </w:pPr>
            <w:r>
              <w:rPr>
                <w:rFonts w:hint="eastAsia" w:ascii="宋体" w:hAnsi="宋体" w:eastAsia="宋体" w:cs="宋体"/>
                <w:b w:val="0"/>
                <w:sz w:val="24"/>
                <w:szCs w:val="24"/>
              </w:rPr>
              <w:t>在橡胶制品领域，公司继续加大市场开拓力度，拓宽销售广度和深度。</w:t>
            </w:r>
            <w:r>
              <w:rPr>
                <w:rFonts w:hint="eastAsia" w:ascii="宋体" w:hAnsi="宋体" w:cs="宋体"/>
                <w:b w:val="0"/>
                <w:sz w:val="24"/>
                <w:szCs w:val="24"/>
                <w:lang w:eastAsia="zh-CN"/>
              </w:rPr>
              <w:t>公司于上半年</w:t>
            </w:r>
            <w:r>
              <w:rPr>
                <w:rFonts w:hint="eastAsia" w:ascii="宋体" w:hAnsi="宋体" w:eastAsia="宋体" w:cs="宋体"/>
                <w:b w:val="0"/>
                <w:sz w:val="24"/>
                <w:szCs w:val="24"/>
              </w:rPr>
              <w:t>完成了传动V带厂区搬迁工作，作业环境和仓储、物流等环节得到改善，生产流程布局更加科学高效。公司根据市场情况，结合调研结果，也在规划部分生产设备的自动化改造升级工作。在扩大产能的同时公司积极推动产品创新和技术升级，上半年度改进升级产品4项，新品开发7项，获得批准的发明专利2项。子公司浙江三维联合热电有限公司二期项目进展顺利，已进入试产阶段。</w:t>
            </w:r>
          </w:p>
          <w:p>
            <w:pPr>
              <w:pStyle w:val="11"/>
              <w:widowControl/>
              <w:spacing w:line="360" w:lineRule="auto"/>
              <w:ind w:left="0" w:firstLine="480" w:firstLineChars="200"/>
              <w:rPr>
                <w:rFonts w:hint="eastAsia" w:ascii="宋体" w:hAnsi="宋体" w:eastAsia="宋体" w:cs="宋体"/>
                <w:b w:val="0"/>
                <w:sz w:val="24"/>
                <w:szCs w:val="24"/>
              </w:rPr>
            </w:pPr>
            <w:r>
              <w:rPr>
                <w:rFonts w:hint="eastAsia" w:ascii="宋体" w:hAnsi="宋体" w:eastAsia="宋体" w:cs="宋体"/>
                <w:b w:val="0"/>
                <w:sz w:val="24"/>
                <w:szCs w:val="24"/>
              </w:rPr>
              <w:t>在轨交领域，公司年初与中铁建华南建设有限公司、台州市交通资产管理中心有限公司的合作已有实质性进展。报告期内，公司与台州市交通资产管理中心有限公司的合营企业台州山强建筑工业化有限公司中标台州路桥机场进场道路一期工程项目所需预应力混泥土矮T梁，实现公司轨交产品品类的新突破，该项目二期工程相关的市场开拓工作也在积极推进中。台州市域铁路S2线工程工建施工招标已全部完成，公司正积极筹备参与后续相关产品招标工作。公司与中铁建华南建设有限公司已经斩获广州地铁部分订单，并积极跟进拓展后续订单。成都区域，公司密切关注成渝双城轨道市场，积极跟进成眉线和成德线市域铁路的进展情况。</w:t>
            </w:r>
          </w:p>
          <w:p>
            <w:pPr>
              <w:pStyle w:val="11"/>
              <w:widowControl/>
              <w:spacing w:line="360" w:lineRule="auto"/>
              <w:ind w:left="0" w:firstLine="480" w:firstLineChars="200"/>
              <w:rPr>
                <w:rFonts w:hint="eastAsia" w:ascii="宋体" w:hAnsi="宋体" w:eastAsia="宋体" w:cs="宋体"/>
                <w:b/>
                <w:bCs/>
                <w:sz w:val="24"/>
                <w:szCs w:val="24"/>
                <w:lang w:val="en-US" w:eastAsia="zh-CN"/>
              </w:rPr>
            </w:pPr>
            <w:r>
              <w:rPr>
                <w:rFonts w:ascii="宋体" w:hAnsi="宋体" w:eastAsia="宋体" w:cs="宋体"/>
                <w:b w:val="0"/>
                <w:sz w:val="24"/>
                <w:szCs w:val="24"/>
              </w:rPr>
              <w:br w:type="textWrapping"/>
            </w:r>
            <w:r>
              <w:rPr>
                <w:rFonts w:hint="eastAsia" w:ascii="宋体" w:hAnsi="宋体" w:cs="宋体"/>
                <w:b w:val="0"/>
                <w:sz w:val="24"/>
                <w:szCs w:val="24"/>
                <w:lang w:val="en-US" w:eastAsia="zh-CN"/>
              </w:rPr>
              <w:t xml:space="preserve">   </w:t>
            </w:r>
            <w:r>
              <w:rPr>
                <w:rFonts w:hint="eastAsia" w:ascii="宋体" w:hAnsi="宋体" w:eastAsia="宋体" w:cs="宋体"/>
                <w:b/>
                <w:sz w:val="24"/>
                <w:szCs w:val="24"/>
                <w:lang w:eastAsia="zh-CN"/>
              </w:rPr>
              <w:t>二、</w:t>
            </w:r>
            <w:r>
              <w:rPr>
                <w:rFonts w:hint="eastAsia" w:ascii="宋体" w:hAnsi="宋体" w:cs="宋体"/>
                <w:b/>
                <w:sz w:val="24"/>
                <w:szCs w:val="24"/>
                <w:lang w:eastAsia="zh-CN"/>
              </w:rPr>
              <w:t>截至现在</w:t>
            </w:r>
            <w:r>
              <w:rPr>
                <w:rFonts w:hint="eastAsia" w:ascii="宋体" w:hAnsi="宋体" w:eastAsia="宋体" w:cs="宋体"/>
                <w:b/>
                <w:bCs/>
                <w:sz w:val="24"/>
                <w:szCs w:val="24"/>
                <w:lang w:val="en-US" w:eastAsia="zh-CN"/>
              </w:rPr>
              <w:t>公司</w:t>
            </w:r>
            <w:r>
              <w:rPr>
                <w:rFonts w:hint="default" w:ascii="宋体" w:hAnsi="宋体" w:eastAsia="宋体" w:cs="宋体"/>
                <w:b/>
                <w:bCs/>
                <w:sz w:val="24"/>
                <w:szCs w:val="24"/>
                <w:lang w:val="en-US" w:eastAsia="zh-CN"/>
              </w:rPr>
              <w:t>BDO</w:t>
            </w:r>
            <w:r>
              <w:rPr>
                <w:rFonts w:hint="eastAsia" w:ascii="宋体" w:hAnsi="宋体" w:eastAsia="宋体" w:cs="宋体"/>
                <w:b/>
                <w:bCs/>
                <w:sz w:val="24"/>
                <w:szCs w:val="24"/>
                <w:lang w:val="en-US" w:eastAsia="zh-CN"/>
              </w:rPr>
              <w:t>项目情况进展如何？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kern w:val="2"/>
                <w:sz w:val="24"/>
                <w:szCs w:val="24"/>
                <w:lang w:val="en-US" w:eastAsia="zh-CN" w:bidi="ar"/>
              </w:rPr>
            </w:pPr>
            <w:r>
              <w:rPr>
                <w:rFonts w:hint="eastAsia" w:ascii="宋体" w:hAnsi="宋体" w:eastAsia="宋体" w:cs="宋体"/>
                <w:b w:val="0"/>
                <w:bCs/>
                <w:kern w:val="2"/>
                <w:sz w:val="24"/>
                <w:szCs w:val="24"/>
                <w:lang w:val="en-US" w:eastAsia="zh-CN" w:bidi="ar"/>
              </w:rPr>
              <w:t>公司在内蒙古乌海市设立内蒙古三维新材料有限公司，建设90万吨/年BDO及可降解塑料一体化产业链项目。项目一期建设30万吨/年1,4丁二醇(BDO)、10万吨/年可降解塑料PBAT、6万吨/年高端聚醚材料PTMEG、60万吨/年甲醛装置、配套36万吨/年乙炔原料(电石)联合装置。</w:t>
            </w:r>
          </w:p>
          <w:p>
            <w:pPr>
              <w:pStyle w:val="11"/>
              <w:widowControl/>
              <w:spacing w:line="360" w:lineRule="auto"/>
              <w:ind w:left="0" w:firstLine="480" w:firstLineChars="200"/>
              <w:rPr>
                <w:rFonts w:hint="eastAsia" w:ascii="宋体" w:hAnsi="宋体" w:eastAsia="宋体" w:cs="宋体"/>
                <w:b w:val="0"/>
                <w:sz w:val="24"/>
                <w:szCs w:val="24"/>
              </w:rPr>
            </w:pPr>
            <w:r>
              <w:rPr>
                <w:rFonts w:hint="eastAsia" w:ascii="宋体" w:hAnsi="宋体" w:eastAsia="宋体" w:cs="宋体"/>
                <w:b w:val="0"/>
                <w:sz w:val="24"/>
                <w:szCs w:val="24"/>
              </w:rPr>
              <w:t>公司BDO一体化项目基本建设完成，已经具备生产条件，相关岗位人员已招聘到位，目前正推进设备调试及人员培训工作，为后续生产做好准备。公司销售渠道已基本搭建完毕，销售团队已与下游多家客户达成初步合作意向，确保“投产即销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三、公司2023年的经营计划是怎么样的？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随着BDO一体化项目的投产，公司将进入发展新时期，加快产业链整合，全力打造绿色产业生态圈。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1、多举措推进集团化布局，继续提升全面内控能力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公司各投资项目的落地，母公司与子公司的内控管理面临更高的挑战。公司将持续更新现有信息系统，不断提高信息化办公水平；将架构和完善内控管理体系，通过人才引进、组织培训、团队建设，加快推进精细化、标准化管理；加强财务管理，调整财务管理结构及内控职能定位，推进母公司和子公司的预算、结算、审计工作，提高财务统筹水平。通过完善内控管理系统，提高母公司对各子公司的资源整合能力，为公司向集团化转变提供有力支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2、内外协同创新，确保橡胶产业高质量发展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公司将在降本增效上继续跟进，从节能降耗、强化物流、整合采购等环节入手，深入挖潜增效，进一步激发全员创效增收的内生动力。提高创新质量，加大创新投入，优化产品结构，开拓新兴领域，打造更加高端、丰富的产品体系。加强安全合规性建设践行绿色发展理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对外巩固现有国内外销售网络的基础和优势，深化与核心客户的战略合作关系，同时继续拓展美国、欧洲等发达国家、地区的销售网络，布局海外仓库，提高物流效率，提升客户响应；开展全员立体式营销，整合营销资源，推进线上线下联动、售前售后联动、生产技术联动等变革，以更高的效率服务客户、服务市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3、确保BDO项目投产，力争“投产即销售”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公司将继续按计划推进BDO项目的建设，组织协调各方，做好土建收尾、设备安装试调、人员招聘培训及相应验收工作，确保项目如期投产。公司已组建销售团队，适时将工作重心向销售倾斜，及时关注BDO项目下游动态，积极与目标客户建立顺畅的沟通渠道，确保实现投产即销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4、推进新合作项目订单释放，拓宽轨交产业发展道路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“成都模式”复制已经初见成效。公司已与中铁建华南建设有限公司签订合作框架协议，共同开发承揽华南区域的地铁、铁路项目，目前已有少量订单正在执行中，后续双方将密切合作，促进后续订单的释放。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公司与台州市交通资产管理中心有限公司合资设立台州山强建筑工业化有限公司，双方将共同开发华东区域市场，并以S2线路工程、甬台温高速改扩建项目为契机，充分发挥公司轨交板块多年来在该领域的丰富经验，在获取现有产品业务机会的同时，开发承接隧道、高架线及站台等工程中的装配式产品订单，实现公司业务范围的扩展，从而实现市场空间的拓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color w:val="auto"/>
                <w:sz w:val="24"/>
                <w:szCs w:val="24"/>
                <w:lang w:val="en-US" w:eastAsia="zh-CN"/>
              </w:rPr>
            </w:pPr>
            <w:r>
              <w:rPr>
                <w:rFonts w:hint="eastAsia" w:asciiTheme="minorEastAsia" w:hAnsiTheme="minorEastAsia" w:eastAsiaTheme="minorEastAsia"/>
                <w:sz w:val="24"/>
                <w:szCs w:val="24"/>
              </w:rPr>
              <w:t>上述合作，将有利于实现公司订单数量与单个订单产值的增长，实现质、量同增，进一步拓宽轨交产业道路。同时，公司也在积极与更多潜在合作伙伴交流，力争共同布局国际轨道交通市场。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附件清单（如有）</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日期</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202</w:t>
            </w:r>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rPr>
              <w:t>年</w:t>
            </w:r>
            <w:r>
              <w:rPr>
                <w:rFonts w:hint="eastAsia" w:asciiTheme="minorEastAsia" w:hAnsiTheme="minorEastAsia" w:cstheme="minorEastAsia"/>
                <w:kern w:val="0"/>
                <w:sz w:val="24"/>
                <w:lang w:val="en-US" w:eastAsia="zh-CN"/>
              </w:rPr>
              <w:t>8</w:t>
            </w:r>
            <w:r>
              <w:rPr>
                <w:rFonts w:hint="eastAsia" w:asciiTheme="minorEastAsia" w:hAnsiTheme="minorEastAsia" w:cstheme="minorEastAsia"/>
                <w:kern w:val="0"/>
                <w:sz w:val="24"/>
              </w:rPr>
              <w:t>月</w:t>
            </w:r>
            <w:r>
              <w:rPr>
                <w:rFonts w:hint="eastAsia" w:asciiTheme="minorEastAsia" w:hAnsiTheme="minorEastAsia" w:cstheme="minorEastAsia"/>
                <w:kern w:val="0"/>
                <w:sz w:val="24"/>
                <w:lang w:val="en-US" w:eastAsia="zh-CN"/>
              </w:rPr>
              <w:t>31</w:t>
            </w:r>
            <w:r>
              <w:rPr>
                <w:rFonts w:hint="eastAsia" w:asciiTheme="minorEastAsia" w:hAnsiTheme="minorEastAsia" w:cstheme="minorEastAsia"/>
                <w:kern w:val="0"/>
                <w:sz w:val="24"/>
              </w:rPr>
              <w:t>日</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Helvetica Neue">
    <w:altName w:val="DejaVu Math TeX Gyre"/>
    <w:panose1 w:val="02000503000000020004"/>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00" w:usb3="00000000" w:csb0="0016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160000" w:csb1="00000000"/>
  </w:font>
  <w:font w:name="PMingLiU">
    <w:panose1 w:val="02020500000000000000"/>
    <w:charset w:val="88"/>
    <w:family w:val="roman"/>
    <w:pitch w:val="default"/>
    <w:sig w:usb0="A00002FF" w:usb1="28CFFCFA" w:usb2="00000016" w:usb3="00000000" w:csb0="00100001" w:csb1="00000000"/>
  </w:font>
  <w:font w:name="宋体-繁">
    <w:altName w:val="宋体"/>
    <w:panose1 w:val="02010600040101010101"/>
    <w:charset w:val="86"/>
    <w:family w:val="auto"/>
    <w:pitch w:val="default"/>
    <w:sig w:usb0="00000000" w:usb1="00000000" w:usb2="00000000" w:usb3="00000000" w:csb0="00160000" w:csb1="00000000"/>
  </w:font>
  <w:font w:name="MS Gothic">
    <w:panose1 w:val="020B0609070205080204"/>
    <w:charset w:val="80"/>
    <w:family w:val="modern"/>
    <w:pitch w:val="default"/>
    <w:sig w:usb0="E00002FF" w:usb1="6AC7FDFB" w:usb2="00000012" w:usb3="00000000" w:csb0="4002009F" w:csb1="DFD70000"/>
  </w:font>
  <w:font w:name="苹方-简">
    <w:altName w:val="宋体"/>
    <w:panose1 w:val="020B0400000000000000"/>
    <w:charset w:val="86"/>
    <w:family w:val="auto"/>
    <w:pitch w:val="default"/>
    <w:sig w:usb0="00000000" w:usb1="00000000" w:usb2="00000000" w:usb3="00000000" w:csb0="00160000" w:csb1="00000000"/>
  </w:font>
  <w:font w:name="冬青黑体简体中文">
    <w:altName w:val="黑体"/>
    <w:panose1 w:val="020B03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DejaVu Math TeX Gyre">
    <w:panose1 w:val="02000503000000000000"/>
    <w:charset w:val="00"/>
    <w:family w:val="auto"/>
    <w:pitch w:val="default"/>
    <w:sig w:usb0="A10000EF" w:usb1="4201F9EE" w:usb2="02000000" w:usb3="00000000" w:csb0="60000193" w:csb1="0DD40000"/>
  </w:font>
  <w:font w:name="Tahoma">
    <w:panose1 w:val="020B0604030504040204"/>
    <w:charset w:val="00"/>
    <w:family w:val="auto"/>
    <w:pitch w:val="default"/>
    <w:sig w:usb0="E1002EFF" w:usb1="C000605B" w:usb2="00000029" w:usb3="00000000" w:csb0="200101FF" w:csb1="2028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SC STKaiti">
    <w:altName w:val="微软雅黑"/>
    <w:panose1 w:val="00000000000000000000"/>
    <w:charset w:val="00"/>
    <w:family w:val="auto"/>
    <w:pitch w:val="default"/>
    <w:sig w:usb0="00000000" w:usb1="00000000" w:usb2="00000010" w:usb3="00000000" w:csb0="0004009F" w:csb1="00000000"/>
  </w:font>
  <w:font w:name="Vrinda">
    <w:panose1 w:val="020B0502040204020203"/>
    <w:charset w:val="00"/>
    <w:family w:val="auto"/>
    <w:pitch w:val="default"/>
    <w:sig w:usb0="00010003" w:usb1="00000000" w:usb2="00000000" w:usb3="00000000" w:csb0="00000001" w:csb1="00000000"/>
  </w:font>
  <w:font w:name="宋体-WinCharSetFFFF-H">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Bold">
    <w:altName w:val="Arial"/>
    <w:panose1 w:val="020B0604020202090204"/>
    <w:charset w:val="00"/>
    <w:family w:val="auto"/>
    <w:pitch w:val="default"/>
    <w:sig w:usb0="00000000" w:usb1="00000000" w:usb2="00000001" w:usb3="00000000" w:csb0="400001BF" w:csb1="DFF70000"/>
  </w:font>
  <w:font w:name="仿宋_GB2312">
    <w:altName w:val="仿宋"/>
    <w:panose1 w:val="02010609030101010101"/>
    <w:charset w:val="86"/>
    <w:family w:val="modern"/>
    <w:pitch w:val="default"/>
    <w:sig w:usb0="00000000" w:usb1="00000000" w:usb2="00000000" w:usb3="00000000" w:csb0="00000000" w:csb1="00000000"/>
  </w:font>
  <w:font w:name="CG Times (WN)">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创艺简仿宋">
    <w:altName w:val="方正舒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方正大黑简体">
    <w:altName w:val="黑体"/>
    <w:panose1 w:val="02010601030101010101"/>
    <w:charset w:val="86"/>
    <w:family w:val="auto"/>
    <w:pitch w:val="default"/>
    <w:sig w:usb0="00000000" w:usb1="00000000" w:usb2="00000010" w:usb3="00000000" w:csb0="00040000" w:csb1="00000000"/>
  </w:font>
  <w:font w:name="Sim Hei+ 2">
    <w:altName w:val="宋体"/>
    <w:panose1 w:val="00000000000000000000"/>
    <w:charset w:val="86"/>
    <w:family w:val="swiss"/>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ì.">
    <w:altName w:val="宋体"/>
    <w:panose1 w:val="00000000000000000000"/>
    <w:charset w:val="86"/>
    <w:family w:val="roman"/>
    <w:pitch w:val="default"/>
    <w:sig w:usb0="00000000" w:usb1="00000000" w:usb2="00000000" w:usb3="00000000" w:csb0="00040000" w:csb1="00000000"/>
  </w:font>
  <w:font w:name="宋体+′ ...">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FZZD Extra JW">
    <w:altName w:val="宋体"/>
    <w:panose1 w:val="00000000000000000000"/>
    <w:charset w:val="86"/>
    <w:family w:val="swiss"/>
    <w:pitch w:val="default"/>
    <w:sig w:usb0="00000000" w:usb1="00000000" w:usb2="00000010" w:usb3="00000000" w:csb0="00040000" w:csb1="00000000"/>
  </w:font>
  <w:font w:name="五">
    <w:altName w:val="宋体"/>
    <w:panose1 w:val="00000000000000000000"/>
    <w:charset w:val="86"/>
    <w:family w:val="roman"/>
    <w:pitch w:val="default"/>
    <w:sig w:usb0="00000000" w:usb1="00000000" w:usb2="00000009" w:usb3="00000000" w:csb0="000001FF" w:csb1="00000000"/>
  </w:font>
  <w:font w:name="Liberation Sans">
    <w:altName w:val="Segoe Print"/>
    <w:panose1 w:val="00000000000000000000"/>
    <w:charset w:val="00"/>
    <w:family w:val="swiss"/>
    <w:pitch w:val="default"/>
    <w:sig w:usb0="00000000" w:usb1="00000000" w:usb2="00000021" w:usb3="00000000" w:csb0="600001BF" w:csb1="DFF70000"/>
  </w:font>
  <w:font w:name="DejaVu Sans">
    <w:altName w:val="Times New Roman"/>
    <w:panose1 w:val="02020603050405020304"/>
    <w:charset w:val="00"/>
    <w:family w:val="roman"/>
    <w:pitch w:val="default"/>
    <w:sig w:usb0="00000000" w:usb1="00000000" w:usb2="00000008" w:usb3="00000000" w:csb0="000001FF" w:csb1="00000000"/>
  </w:font>
  <w:font w:name="Garamond">
    <w:panose1 w:val="02020404030301010803"/>
    <w:charset w:val="00"/>
    <w:family w:val="roman"/>
    <w:pitch w:val="default"/>
    <w:sig w:usb0="00000287" w:usb1="00000000" w:usb2="00000000" w:usb3="00000000" w:csb0="0000009F" w:csb1="DFD70000"/>
  </w:font>
  <w:font w:name="Microsoft YaHei UI">
    <w:altName w:val="宋体"/>
    <w:panose1 w:val="020B0503020204020204"/>
    <w:charset w:val="86"/>
    <w:family w:val="swiss"/>
    <w:pitch w:val="default"/>
    <w:sig w:usb0="00000000" w:usb1="00000000" w:usb2="00000016" w:usb3="00000000" w:csb0="0004001F" w:csb1="00000000"/>
  </w:font>
  <w:font w:name="ˎ̥">
    <w:altName w:val="Segoe Print"/>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_GB2312">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Noto Sans CJK JP Regular">
    <w:altName w:val="黑体"/>
    <w:panose1 w:val="00000000000000000000"/>
    <w:charset w:val="86"/>
    <w:family w:val="swiss"/>
    <w:pitch w:val="default"/>
    <w:sig w:usb0="00000000" w:usb1="00000000" w:usb2="00000016" w:usb3="00000000" w:csb0="002E0107" w:csb1="00000000"/>
  </w:font>
  <w:font w:name="FZLTSK--GBK1-0">
    <w:altName w:val="Times New Roman"/>
    <w:panose1 w:val="00000000000000000000"/>
    <w:charset w:val="00"/>
    <w:family w:val="roman"/>
    <w:pitch w:val="default"/>
    <w:sig w:usb0="00000000" w:usb1="00000000" w:usb2="00000000" w:usb3="00000000" w:csb0="00000000" w:csb1="00000000"/>
  </w:font>
  <w:font w:name="宋体-方正超大字符集">
    <w:altName w:val="宋体"/>
    <w:panose1 w:val="00000000000000000000"/>
    <w:charset w:val="86"/>
    <w:family w:val="script"/>
    <w:pitch w:val="default"/>
    <w:sig w:usb0="00000000" w:usb1="00000000" w:usb2="00000010" w:usb3="00000000" w:csb0="00040000" w:csb1="00000000"/>
  </w:font>
  <w:font w:name="Andalus">
    <w:panose1 w:val="02020603050405020304"/>
    <w:charset w:val="00"/>
    <w:family w:val="roman"/>
    <w:pitch w:val="default"/>
    <w:sig w:usb0="00002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1"/>
    <w:rsid w:val="00012D47"/>
    <w:rsid w:val="00016474"/>
    <w:rsid w:val="00017459"/>
    <w:rsid w:val="00020DAB"/>
    <w:rsid w:val="00033933"/>
    <w:rsid w:val="00034316"/>
    <w:rsid w:val="00042493"/>
    <w:rsid w:val="00066762"/>
    <w:rsid w:val="000835B9"/>
    <w:rsid w:val="00083DB1"/>
    <w:rsid w:val="000B7072"/>
    <w:rsid w:val="000D7989"/>
    <w:rsid w:val="000F7B67"/>
    <w:rsid w:val="001029FD"/>
    <w:rsid w:val="00112696"/>
    <w:rsid w:val="001136FF"/>
    <w:rsid w:val="00130F57"/>
    <w:rsid w:val="00137EF2"/>
    <w:rsid w:val="00147CAC"/>
    <w:rsid w:val="0015227A"/>
    <w:rsid w:val="0015489F"/>
    <w:rsid w:val="0018424C"/>
    <w:rsid w:val="00197DFC"/>
    <w:rsid w:val="001C21DB"/>
    <w:rsid w:val="00203E1D"/>
    <w:rsid w:val="002620E1"/>
    <w:rsid w:val="00272C27"/>
    <w:rsid w:val="00272F85"/>
    <w:rsid w:val="002766B9"/>
    <w:rsid w:val="002A28A6"/>
    <w:rsid w:val="002C0C84"/>
    <w:rsid w:val="002C1A8A"/>
    <w:rsid w:val="002D1503"/>
    <w:rsid w:val="002F155B"/>
    <w:rsid w:val="0031758C"/>
    <w:rsid w:val="003176F9"/>
    <w:rsid w:val="003254FC"/>
    <w:rsid w:val="00335F30"/>
    <w:rsid w:val="00341F81"/>
    <w:rsid w:val="00342AD0"/>
    <w:rsid w:val="00343930"/>
    <w:rsid w:val="00356C0E"/>
    <w:rsid w:val="0037038B"/>
    <w:rsid w:val="003873C5"/>
    <w:rsid w:val="003A3E31"/>
    <w:rsid w:val="003C0A25"/>
    <w:rsid w:val="003D23C6"/>
    <w:rsid w:val="003D37F1"/>
    <w:rsid w:val="003D75F9"/>
    <w:rsid w:val="003E2AE7"/>
    <w:rsid w:val="003E3D0B"/>
    <w:rsid w:val="003F355B"/>
    <w:rsid w:val="00401314"/>
    <w:rsid w:val="00421F6C"/>
    <w:rsid w:val="004339E4"/>
    <w:rsid w:val="004413E8"/>
    <w:rsid w:val="0046159D"/>
    <w:rsid w:val="004615DC"/>
    <w:rsid w:val="004620CC"/>
    <w:rsid w:val="004761A2"/>
    <w:rsid w:val="004819C6"/>
    <w:rsid w:val="00483944"/>
    <w:rsid w:val="00496117"/>
    <w:rsid w:val="00496429"/>
    <w:rsid w:val="004A7273"/>
    <w:rsid w:val="004D29A5"/>
    <w:rsid w:val="0050213F"/>
    <w:rsid w:val="005131A3"/>
    <w:rsid w:val="0052378A"/>
    <w:rsid w:val="00524D07"/>
    <w:rsid w:val="005540A6"/>
    <w:rsid w:val="005705C7"/>
    <w:rsid w:val="00581225"/>
    <w:rsid w:val="005B3669"/>
    <w:rsid w:val="005B5071"/>
    <w:rsid w:val="005C0232"/>
    <w:rsid w:val="005C3EAD"/>
    <w:rsid w:val="005D4BC8"/>
    <w:rsid w:val="005F187D"/>
    <w:rsid w:val="005F3BBD"/>
    <w:rsid w:val="005F3D84"/>
    <w:rsid w:val="0060105B"/>
    <w:rsid w:val="00613134"/>
    <w:rsid w:val="006248B5"/>
    <w:rsid w:val="00641064"/>
    <w:rsid w:val="0065286F"/>
    <w:rsid w:val="00666B08"/>
    <w:rsid w:val="00682F31"/>
    <w:rsid w:val="006B1C4A"/>
    <w:rsid w:val="006C7B29"/>
    <w:rsid w:val="006E1895"/>
    <w:rsid w:val="006E66B3"/>
    <w:rsid w:val="006F23FE"/>
    <w:rsid w:val="00705716"/>
    <w:rsid w:val="00717965"/>
    <w:rsid w:val="00755653"/>
    <w:rsid w:val="00767BAE"/>
    <w:rsid w:val="007C56AC"/>
    <w:rsid w:val="007E7AC6"/>
    <w:rsid w:val="008164C1"/>
    <w:rsid w:val="008350AD"/>
    <w:rsid w:val="008404F1"/>
    <w:rsid w:val="00842357"/>
    <w:rsid w:val="00846A4D"/>
    <w:rsid w:val="00852180"/>
    <w:rsid w:val="00881A58"/>
    <w:rsid w:val="008B50D4"/>
    <w:rsid w:val="008C3900"/>
    <w:rsid w:val="008C7972"/>
    <w:rsid w:val="008D0D81"/>
    <w:rsid w:val="008F23C3"/>
    <w:rsid w:val="009305EC"/>
    <w:rsid w:val="00940A18"/>
    <w:rsid w:val="0094124B"/>
    <w:rsid w:val="00955DAA"/>
    <w:rsid w:val="00977B78"/>
    <w:rsid w:val="00984D66"/>
    <w:rsid w:val="009E118B"/>
    <w:rsid w:val="009E5302"/>
    <w:rsid w:val="009E6481"/>
    <w:rsid w:val="009E7C4C"/>
    <w:rsid w:val="009F4437"/>
    <w:rsid w:val="00A00A6F"/>
    <w:rsid w:val="00A36DDB"/>
    <w:rsid w:val="00A51613"/>
    <w:rsid w:val="00A544EB"/>
    <w:rsid w:val="00A55A44"/>
    <w:rsid w:val="00A66AC3"/>
    <w:rsid w:val="00A7266C"/>
    <w:rsid w:val="00A74983"/>
    <w:rsid w:val="00A8593A"/>
    <w:rsid w:val="00A90910"/>
    <w:rsid w:val="00A95F2F"/>
    <w:rsid w:val="00AE1494"/>
    <w:rsid w:val="00AF6965"/>
    <w:rsid w:val="00B10EF4"/>
    <w:rsid w:val="00B14588"/>
    <w:rsid w:val="00B24BDB"/>
    <w:rsid w:val="00B312BE"/>
    <w:rsid w:val="00B4097C"/>
    <w:rsid w:val="00B640A8"/>
    <w:rsid w:val="00B65D8C"/>
    <w:rsid w:val="00B737AD"/>
    <w:rsid w:val="00B8180D"/>
    <w:rsid w:val="00B95238"/>
    <w:rsid w:val="00BA1F3B"/>
    <w:rsid w:val="00BB4A22"/>
    <w:rsid w:val="00BC6381"/>
    <w:rsid w:val="00BD55A7"/>
    <w:rsid w:val="00BF2666"/>
    <w:rsid w:val="00C2744A"/>
    <w:rsid w:val="00C45902"/>
    <w:rsid w:val="00C56354"/>
    <w:rsid w:val="00C66A03"/>
    <w:rsid w:val="00C70187"/>
    <w:rsid w:val="00C746C1"/>
    <w:rsid w:val="00CB59FE"/>
    <w:rsid w:val="00D0003E"/>
    <w:rsid w:val="00D12A4F"/>
    <w:rsid w:val="00D25B9D"/>
    <w:rsid w:val="00D3397B"/>
    <w:rsid w:val="00D45569"/>
    <w:rsid w:val="00D52234"/>
    <w:rsid w:val="00D54971"/>
    <w:rsid w:val="00D6469C"/>
    <w:rsid w:val="00DB3C83"/>
    <w:rsid w:val="00DC7F7A"/>
    <w:rsid w:val="00DD226D"/>
    <w:rsid w:val="00E14961"/>
    <w:rsid w:val="00E24041"/>
    <w:rsid w:val="00E667F8"/>
    <w:rsid w:val="00E679A9"/>
    <w:rsid w:val="00E81256"/>
    <w:rsid w:val="00E813CA"/>
    <w:rsid w:val="00E9697C"/>
    <w:rsid w:val="00EA2866"/>
    <w:rsid w:val="00EC1742"/>
    <w:rsid w:val="00EC545C"/>
    <w:rsid w:val="00EC6825"/>
    <w:rsid w:val="00F1391B"/>
    <w:rsid w:val="00F16C96"/>
    <w:rsid w:val="00F4160B"/>
    <w:rsid w:val="00F501B8"/>
    <w:rsid w:val="00F85CB6"/>
    <w:rsid w:val="00F9106B"/>
    <w:rsid w:val="00FB23DE"/>
    <w:rsid w:val="046A25CD"/>
    <w:rsid w:val="0C012D8F"/>
    <w:rsid w:val="0D912286"/>
    <w:rsid w:val="103E2346"/>
    <w:rsid w:val="14800DBF"/>
    <w:rsid w:val="14C16EC3"/>
    <w:rsid w:val="15590953"/>
    <w:rsid w:val="16016B48"/>
    <w:rsid w:val="174628D3"/>
    <w:rsid w:val="1EAB168B"/>
    <w:rsid w:val="230B2896"/>
    <w:rsid w:val="234C5ED9"/>
    <w:rsid w:val="2872353B"/>
    <w:rsid w:val="2AF13AB4"/>
    <w:rsid w:val="2F8E2741"/>
    <w:rsid w:val="32C53982"/>
    <w:rsid w:val="333D0DFF"/>
    <w:rsid w:val="33E7446D"/>
    <w:rsid w:val="3A7975FB"/>
    <w:rsid w:val="3B9F2782"/>
    <w:rsid w:val="3D6E7B38"/>
    <w:rsid w:val="3EE161E9"/>
    <w:rsid w:val="421B6045"/>
    <w:rsid w:val="4269670B"/>
    <w:rsid w:val="42D1094E"/>
    <w:rsid w:val="42FB1252"/>
    <w:rsid w:val="47782CC2"/>
    <w:rsid w:val="47A31488"/>
    <w:rsid w:val="4A6320FC"/>
    <w:rsid w:val="4C531F86"/>
    <w:rsid w:val="4CBA771C"/>
    <w:rsid w:val="4DFA27BC"/>
    <w:rsid w:val="51373C68"/>
    <w:rsid w:val="518F24E8"/>
    <w:rsid w:val="51C01E3C"/>
    <w:rsid w:val="54700B18"/>
    <w:rsid w:val="5B3F0B5A"/>
    <w:rsid w:val="639367E6"/>
    <w:rsid w:val="64BF61A9"/>
    <w:rsid w:val="676B3662"/>
    <w:rsid w:val="6D100BEE"/>
    <w:rsid w:val="71C55295"/>
    <w:rsid w:val="73FA6D7A"/>
    <w:rsid w:val="74DF0F4C"/>
    <w:rsid w:val="75A5314B"/>
    <w:rsid w:val="76074109"/>
    <w:rsid w:val="78620369"/>
    <w:rsid w:val="7ABB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_Style 107"/>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202</Words>
  <Characters>1154</Characters>
  <Lines>9</Lines>
  <Paragraphs>2</Paragraphs>
  <ScaleCrop>false</ScaleCrop>
  <LinksUpToDate>false</LinksUpToDate>
  <CharactersWithSpaces>1354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2021-09-09T06:49:00Z</dcterms:created>
  <dc:creator>admin</dc:creator>
  <cp:lastModifiedBy>三维股份张雷</cp:lastModifiedBy>
  <dcterms:modified xsi:type="dcterms:W3CDTF">2023-08-31T07:31:15Z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2CF16B7666374A9497BA5C2B90ECB633</vt:lpwstr>
  </property>
</Properties>
</file>