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4C" w:rsidRDefault="00187686">
      <w:pPr>
        <w:widowControl/>
        <w:jc w:val="center"/>
        <w:rPr>
          <w:rFonts w:ascii="宋体" w:hAnsi="宋体"/>
          <w:bCs/>
          <w:iCs/>
          <w:color w:val="000000"/>
          <w:sz w:val="24"/>
        </w:rPr>
      </w:pPr>
      <w:bookmarkStart w:id="0" w:name="_Toc515462335"/>
      <w:r>
        <w:rPr>
          <w:rFonts w:ascii="宋体" w:hAnsi="宋体" w:hint="eastAsia"/>
          <w:bCs/>
          <w:iCs/>
          <w:color w:val="000000"/>
          <w:sz w:val="24"/>
        </w:rPr>
        <w:t>证券代码：</w:t>
      </w:r>
      <w:r>
        <w:rPr>
          <w:rFonts w:ascii="宋体" w:hAnsi="宋体" w:hint="eastAsia"/>
          <w:bCs/>
          <w:iCs/>
          <w:color w:val="000000"/>
          <w:sz w:val="24"/>
        </w:rPr>
        <w:t xml:space="preserve">600392  </w:t>
      </w:r>
      <w:r>
        <w:rPr>
          <w:rFonts w:ascii="宋体" w:hAnsi="宋体"/>
          <w:bCs/>
          <w:iCs/>
          <w:color w:val="000000"/>
          <w:sz w:val="24"/>
        </w:rPr>
        <w:t xml:space="preserve">         </w:t>
      </w:r>
      <w:r>
        <w:rPr>
          <w:rFonts w:ascii="宋体" w:hAnsi="宋体" w:hint="eastAsia"/>
          <w:bCs/>
          <w:iCs/>
          <w:color w:val="000000"/>
          <w:sz w:val="24"/>
        </w:rPr>
        <w:t xml:space="preserve">           </w:t>
      </w:r>
      <w:r>
        <w:rPr>
          <w:rFonts w:ascii="宋体" w:hAnsi="宋体" w:hint="eastAsia"/>
          <w:bCs/>
          <w:iCs/>
          <w:color w:val="000000"/>
          <w:sz w:val="24"/>
        </w:rPr>
        <w:t>证券简称：盛和资源</w:t>
      </w:r>
    </w:p>
    <w:p w:rsidR="0095144C" w:rsidRDefault="0095144C">
      <w:pPr>
        <w:widowControl/>
        <w:jc w:val="center"/>
        <w:rPr>
          <w:rFonts w:ascii="宋体" w:hAnsi="宋体"/>
          <w:bCs/>
          <w:iCs/>
          <w:color w:val="000000"/>
          <w:sz w:val="24"/>
        </w:rPr>
      </w:pPr>
    </w:p>
    <w:p w:rsidR="0095144C" w:rsidRDefault="00187686">
      <w:pPr>
        <w:widowControl/>
        <w:spacing w:beforeLines="100" w:before="312"/>
        <w:jc w:val="center"/>
        <w:rPr>
          <w:rFonts w:ascii="宋体" w:hAnsi="宋体"/>
          <w:bCs/>
          <w:iCs/>
          <w:color w:val="000000"/>
          <w:sz w:val="36"/>
          <w:szCs w:val="36"/>
        </w:rPr>
      </w:pPr>
      <w:r>
        <w:rPr>
          <w:rFonts w:ascii="宋体" w:hAnsi="宋体" w:hint="eastAsia"/>
          <w:bCs/>
          <w:iCs/>
          <w:color w:val="000000"/>
          <w:sz w:val="36"/>
          <w:szCs w:val="36"/>
        </w:rPr>
        <w:t>盛和资源控股股份有限公司</w:t>
      </w:r>
    </w:p>
    <w:p w:rsidR="0095144C" w:rsidRDefault="00187686">
      <w:pPr>
        <w:widowControl/>
        <w:spacing w:afterLines="100" w:after="312"/>
        <w:jc w:val="center"/>
        <w:rPr>
          <w:rFonts w:ascii="宋体" w:hAnsi="宋体"/>
          <w:color w:val="000000"/>
          <w:sz w:val="36"/>
          <w:szCs w:val="36"/>
        </w:rPr>
      </w:pPr>
      <w:r>
        <w:rPr>
          <w:rFonts w:ascii="宋体" w:hAnsi="宋体" w:hint="eastAsia"/>
          <w:bCs/>
          <w:iCs/>
          <w:color w:val="000000"/>
          <w:sz w:val="36"/>
          <w:szCs w:val="36"/>
        </w:rPr>
        <w:t>投资者关系活动记录表</w:t>
      </w:r>
    </w:p>
    <w:p w:rsidR="0095144C" w:rsidRDefault="00187686">
      <w:pPr>
        <w:spacing w:line="360" w:lineRule="auto"/>
        <w:rPr>
          <w:rFonts w:ascii="宋体" w:hAnsi="宋体"/>
          <w:bCs/>
          <w:iCs/>
          <w:color w:val="000000"/>
          <w:szCs w:val="21"/>
        </w:rPr>
      </w:pPr>
      <w:r>
        <w:rPr>
          <w:rFonts w:ascii="宋体" w:hAnsi="宋体"/>
          <w:bCs/>
          <w:iCs/>
          <w:color w:val="000000"/>
          <w:szCs w:val="21"/>
        </w:rPr>
        <w:t xml:space="preserve">                                                     </w:t>
      </w:r>
      <w:r>
        <w:rPr>
          <w:rFonts w:ascii="宋体" w:hAnsi="宋体" w:hint="eastAsia"/>
          <w:bCs/>
          <w:iCs/>
          <w:color w:val="000000"/>
          <w:szCs w:val="21"/>
        </w:rPr>
        <w:t xml:space="preserve">            </w:t>
      </w:r>
      <w:r>
        <w:rPr>
          <w:rFonts w:ascii="宋体" w:hAnsi="宋体"/>
          <w:bCs/>
          <w:iCs/>
          <w:color w:val="000000"/>
          <w:szCs w:val="21"/>
        </w:rPr>
        <w:t>编号：</w:t>
      </w:r>
      <w:r>
        <w:rPr>
          <w:rFonts w:ascii="宋体" w:hAnsi="宋体" w:hint="eastAsia"/>
          <w:bCs/>
          <w:iCs/>
          <w:color w:val="000000"/>
          <w:szCs w:val="21"/>
        </w:rPr>
        <w:t>20</w:t>
      </w:r>
      <w:r>
        <w:rPr>
          <w:rFonts w:ascii="宋体" w:hAnsi="宋体"/>
          <w:bCs/>
          <w:iCs/>
          <w:color w:val="000000"/>
          <w:szCs w:val="21"/>
        </w:rPr>
        <w:t>2</w:t>
      </w:r>
      <w:r>
        <w:rPr>
          <w:rFonts w:ascii="宋体" w:hAnsi="宋体" w:hint="eastAsia"/>
          <w:bCs/>
          <w:iCs/>
          <w:color w:val="000000"/>
          <w:szCs w:val="21"/>
        </w:rPr>
        <w:t>3</w:t>
      </w:r>
      <w:r>
        <w:rPr>
          <w:rFonts w:ascii="宋体" w:hAnsi="宋体"/>
          <w:bCs/>
          <w:iCs/>
          <w:color w:val="000000"/>
          <w:szCs w:val="21"/>
        </w:rPr>
        <w:t>-0</w:t>
      </w:r>
      <w:r>
        <w:rPr>
          <w:rFonts w:ascii="宋体" w:hAnsi="宋体" w:hint="eastAsia"/>
          <w:bCs/>
          <w:iCs/>
          <w:color w:val="000000"/>
          <w:szCs w:val="21"/>
        </w:rPr>
        <w:t>6</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88"/>
      </w:tblGrid>
      <w:tr w:rsidR="0095144C">
        <w:trPr>
          <w:jc w:val="center"/>
        </w:trPr>
        <w:tc>
          <w:tcPr>
            <w:tcW w:w="2547" w:type="dxa"/>
            <w:vAlign w:val="center"/>
          </w:tcPr>
          <w:p w:rsidR="0095144C" w:rsidRDefault="00187686">
            <w:pPr>
              <w:spacing w:line="360" w:lineRule="auto"/>
              <w:rPr>
                <w:rFonts w:ascii="宋体" w:hAnsi="宋体"/>
                <w:b/>
                <w:bCs/>
                <w:iCs/>
                <w:color w:val="000000"/>
                <w:szCs w:val="21"/>
              </w:rPr>
            </w:pPr>
            <w:r>
              <w:rPr>
                <w:rFonts w:ascii="宋体" w:hAnsi="宋体"/>
                <w:b/>
                <w:bCs/>
                <w:iCs/>
                <w:color w:val="000000"/>
                <w:szCs w:val="21"/>
              </w:rPr>
              <w:t>投资者关系活动类别</w:t>
            </w:r>
            <w:r>
              <w:rPr>
                <w:rFonts w:ascii="宋体" w:hAnsi="宋体" w:hint="eastAsia"/>
                <w:b/>
                <w:bCs/>
                <w:iCs/>
                <w:color w:val="000000"/>
                <w:szCs w:val="21"/>
              </w:rPr>
              <w:t>“选中项请打√”</w:t>
            </w:r>
          </w:p>
        </w:tc>
        <w:tc>
          <w:tcPr>
            <w:tcW w:w="7088" w:type="dxa"/>
          </w:tcPr>
          <w:p w:rsidR="0095144C" w:rsidRDefault="00187686">
            <w:pPr>
              <w:spacing w:line="360" w:lineRule="auto"/>
              <w:jc w:val="left"/>
              <w:rPr>
                <w:rFonts w:ascii="宋体" w:hAnsi="宋体"/>
                <w:bCs/>
                <w:iCs/>
                <w:color w:val="000000"/>
                <w:szCs w:val="21"/>
              </w:rPr>
            </w:pPr>
            <w:r>
              <w:rPr>
                <w:rFonts w:ascii="宋体" w:hAnsi="宋体"/>
                <w:bCs/>
                <w:iCs/>
                <w:color w:val="000000"/>
                <w:szCs w:val="21"/>
              </w:rPr>
              <w:sym w:font="Wingdings 2" w:char="0052"/>
            </w:r>
            <w:r>
              <w:rPr>
                <w:rFonts w:ascii="宋体" w:hAnsi="宋体"/>
                <w:color w:val="000000"/>
                <w:szCs w:val="21"/>
              </w:rPr>
              <w:t>特定对象调研</w:t>
            </w:r>
            <w:r>
              <w:rPr>
                <w:rFonts w:ascii="宋体" w:hAnsi="宋体"/>
                <w:color w:val="000000"/>
                <w:szCs w:val="21"/>
              </w:rPr>
              <w:t xml:space="preserve">   </w:t>
            </w:r>
            <w:r>
              <w:rPr>
                <w:rFonts w:ascii="宋体" w:hAnsi="宋体"/>
                <w:bCs/>
                <w:iCs/>
                <w:color w:val="000000"/>
                <w:szCs w:val="21"/>
              </w:rPr>
              <w:sym w:font="Wingdings 2" w:char="00A3"/>
            </w:r>
            <w:r>
              <w:rPr>
                <w:rFonts w:ascii="宋体" w:hAnsi="宋体"/>
                <w:color w:val="000000"/>
                <w:szCs w:val="21"/>
              </w:rPr>
              <w:t>分析师会议</w:t>
            </w:r>
            <w:r>
              <w:rPr>
                <w:rFonts w:ascii="宋体" w:hAnsi="宋体" w:hint="eastAsia"/>
                <w:bCs/>
                <w:iCs/>
                <w:color w:val="000000"/>
                <w:szCs w:val="21"/>
              </w:rPr>
              <w:t xml:space="preserve">    </w:t>
            </w:r>
            <w:bookmarkStart w:id="1" w:name="OLE_LINK1"/>
            <w:r>
              <w:rPr>
                <w:rFonts w:ascii="宋体" w:hAnsi="宋体"/>
                <w:bCs/>
                <w:iCs/>
                <w:color w:val="000000"/>
                <w:szCs w:val="21"/>
              </w:rPr>
              <w:t>□</w:t>
            </w:r>
            <w:bookmarkEnd w:id="1"/>
            <w:r>
              <w:rPr>
                <w:rFonts w:ascii="宋体" w:hAnsi="宋体"/>
                <w:color w:val="000000"/>
                <w:szCs w:val="21"/>
              </w:rPr>
              <w:t>媒体采访</w:t>
            </w:r>
            <w:r>
              <w:rPr>
                <w:rFonts w:ascii="宋体" w:hAnsi="宋体"/>
                <w:color w:val="000000"/>
                <w:szCs w:val="21"/>
              </w:rPr>
              <w:t xml:space="preserve">   </w:t>
            </w:r>
            <w:r>
              <w:rPr>
                <w:rFonts w:ascii="宋体" w:hAnsi="宋体" w:hint="eastAsia"/>
                <w:color w:val="000000"/>
                <w:szCs w:val="21"/>
              </w:rPr>
              <w:t xml:space="preserve"> </w:t>
            </w:r>
            <w:r>
              <w:rPr>
                <w:rFonts w:ascii="宋体" w:hAnsi="宋体" w:hint="eastAsia"/>
                <w:color w:val="000000"/>
                <w:szCs w:val="21"/>
              </w:rPr>
              <w:t>□</w:t>
            </w:r>
            <w:r>
              <w:rPr>
                <w:rFonts w:ascii="宋体" w:hAnsi="宋体"/>
                <w:color w:val="000000"/>
                <w:szCs w:val="21"/>
              </w:rPr>
              <w:t>业绩说明会</w:t>
            </w:r>
            <w:r>
              <w:rPr>
                <w:rFonts w:ascii="宋体" w:hAnsi="宋体" w:hint="eastAsia"/>
                <w:bCs/>
                <w:iCs/>
                <w:color w:val="000000"/>
                <w:szCs w:val="21"/>
              </w:rPr>
              <w:t xml:space="preserve">          </w:t>
            </w:r>
            <w:r>
              <w:rPr>
                <w:rFonts w:ascii="宋体" w:hAnsi="宋体"/>
                <w:bCs/>
                <w:iCs/>
                <w:color w:val="000000"/>
                <w:szCs w:val="21"/>
              </w:rPr>
              <w:t>□</w:t>
            </w:r>
            <w:r>
              <w:rPr>
                <w:rFonts w:ascii="宋体" w:hAnsi="宋体"/>
                <w:color w:val="000000"/>
                <w:szCs w:val="21"/>
              </w:rPr>
              <w:t>新闻发布会</w:t>
            </w:r>
            <w:r>
              <w:rPr>
                <w:rFonts w:ascii="宋体" w:hAnsi="宋体"/>
                <w:color w:val="000000"/>
                <w:szCs w:val="21"/>
              </w:rPr>
              <w:t xml:space="preserve">     </w:t>
            </w:r>
            <w:r>
              <w:rPr>
                <w:rFonts w:ascii="宋体" w:hAnsi="宋体"/>
                <w:bCs/>
                <w:iCs/>
                <w:color w:val="000000"/>
                <w:szCs w:val="21"/>
              </w:rPr>
              <w:t>□</w:t>
            </w:r>
            <w:r>
              <w:rPr>
                <w:rFonts w:ascii="宋体" w:hAnsi="宋体"/>
                <w:color w:val="000000"/>
                <w:szCs w:val="21"/>
              </w:rPr>
              <w:t>路演活动</w:t>
            </w:r>
            <w:r>
              <w:rPr>
                <w:rFonts w:ascii="宋体" w:hAnsi="宋体" w:hint="eastAsia"/>
                <w:bCs/>
                <w:iCs/>
                <w:color w:val="000000"/>
                <w:szCs w:val="21"/>
              </w:rPr>
              <w:t xml:space="preserve">      </w:t>
            </w:r>
            <w:r>
              <w:rPr>
                <w:rFonts w:ascii="宋体" w:hAnsi="宋体"/>
                <w:bCs/>
                <w:iCs/>
                <w:color w:val="000000"/>
                <w:szCs w:val="21"/>
              </w:rPr>
              <w:t>□</w:t>
            </w:r>
            <w:r>
              <w:rPr>
                <w:rFonts w:ascii="宋体" w:hAnsi="宋体"/>
                <w:color w:val="000000"/>
                <w:szCs w:val="21"/>
              </w:rPr>
              <w:t>现场参观</w:t>
            </w:r>
            <w:r>
              <w:rPr>
                <w:rFonts w:ascii="宋体" w:hAnsi="宋体"/>
                <w:bCs/>
                <w:iCs/>
                <w:color w:val="000000"/>
                <w:szCs w:val="21"/>
              </w:rPr>
              <w:tab/>
            </w:r>
            <w:r>
              <w:rPr>
                <w:rFonts w:ascii="宋体" w:hAnsi="宋体" w:hint="eastAsia"/>
                <w:bCs/>
                <w:iCs/>
                <w:color w:val="000000"/>
                <w:szCs w:val="21"/>
              </w:rPr>
              <w:t xml:space="preserve">  </w:t>
            </w:r>
            <w:r>
              <w:rPr>
                <w:rFonts w:ascii="宋体" w:hAnsi="宋体" w:hint="eastAsia"/>
                <w:color w:val="000000"/>
                <w:szCs w:val="21"/>
              </w:rPr>
              <w:sym w:font="Wingdings 2" w:char="0052"/>
            </w:r>
            <w:r>
              <w:rPr>
                <w:rFonts w:ascii="宋体" w:hAnsi="宋体" w:hint="eastAsia"/>
                <w:bCs/>
                <w:iCs/>
                <w:color w:val="000000"/>
                <w:szCs w:val="21"/>
              </w:rPr>
              <w:t xml:space="preserve"> </w:t>
            </w:r>
            <w:r>
              <w:rPr>
                <w:rFonts w:ascii="宋体" w:hAnsi="宋体"/>
                <w:color w:val="000000"/>
                <w:szCs w:val="21"/>
              </w:rPr>
              <w:t>其他</w:t>
            </w:r>
            <w:r>
              <w:rPr>
                <w:rFonts w:ascii="宋体" w:hAnsi="宋体" w:hint="eastAsia"/>
                <w:color w:val="000000"/>
                <w:szCs w:val="21"/>
              </w:rPr>
              <w:t>（电话</w:t>
            </w:r>
            <w:r>
              <w:rPr>
                <w:rFonts w:ascii="宋体" w:hAnsi="宋体"/>
                <w:color w:val="000000"/>
                <w:szCs w:val="21"/>
              </w:rPr>
              <w:t>会议</w:t>
            </w:r>
            <w:r>
              <w:rPr>
                <w:rFonts w:ascii="宋体" w:hAnsi="宋体" w:hint="eastAsia"/>
                <w:color w:val="000000"/>
                <w:szCs w:val="21"/>
              </w:rPr>
              <w:t>）</w:t>
            </w:r>
          </w:p>
        </w:tc>
      </w:tr>
      <w:tr w:rsidR="0095144C">
        <w:trPr>
          <w:trHeight w:val="569"/>
          <w:jc w:val="center"/>
        </w:trPr>
        <w:tc>
          <w:tcPr>
            <w:tcW w:w="2547" w:type="dxa"/>
            <w:vAlign w:val="center"/>
          </w:tcPr>
          <w:p w:rsidR="0095144C" w:rsidRDefault="00187686">
            <w:pPr>
              <w:spacing w:line="360" w:lineRule="auto"/>
              <w:jc w:val="center"/>
              <w:rPr>
                <w:rFonts w:ascii="宋体" w:hAnsi="宋体"/>
                <w:b/>
                <w:bCs/>
                <w:iCs/>
                <w:color w:val="000000"/>
                <w:szCs w:val="21"/>
              </w:rPr>
            </w:pPr>
            <w:r>
              <w:rPr>
                <w:rFonts w:ascii="宋体" w:hAnsi="宋体"/>
                <w:b/>
                <w:bCs/>
                <w:iCs/>
                <w:color w:val="000000"/>
                <w:szCs w:val="21"/>
              </w:rPr>
              <w:t>参与单位名称</w:t>
            </w:r>
          </w:p>
        </w:tc>
        <w:tc>
          <w:tcPr>
            <w:tcW w:w="7088" w:type="dxa"/>
            <w:vAlign w:val="center"/>
          </w:tcPr>
          <w:p w:rsidR="0095144C" w:rsidRDefault="00187686" w:rsidP="007E4389">
            <w:pPr>
              <w:spacing w:line="276" w:lineRule="auto"/>
              <w:rPr>
                <w:rFonts w:ascii="宋体" w:hAnsi="宋体"/>
                <w:bCs/>
                <w:iCs/>
                <w:color w:val="000000"/>
                <w:szCs w:val="21"/>
              </w:rPr>
            </w:pPr>
            <w:r>
              <w:rPr>
                <w:rFonts w:ascii="宋体" w:hAnsi="宋体" w:hint="eastAsia"/>
                <w:bCs/>
                <w:iCs/>
                <w:color w:val="000000"/>
                <w:szCs w:val="21"/>
              </w:rPr>
              <w:t>信达证券股份有限公司、国信证券股份有限公司、中信证券股份有限公司、中国国际金融股份有限公司、国金证券股份有限公司、南京证券股份有限公司、中原证券股份有限公司、西南证券股份有限公司、海通证券股份有限公司、中泰证券股份有限公司、华安证券股份有限公司、民生证券股份有限公司、中国银河证券股份有限公司、广发证券股份有限公司、长江证券股份有限公司、财通证券股份有限公司、浙商证券股份有限公司、华福证券研究所、国盛证券有限责任公司、招商证券股份有限公司、中邮证券有限责任公司、东北证券股份有限公司、华创证券有限责任公司、金</w:t>
            </w:r>
            <w:r>
              <w:rPr>
                <w:rFonts w:ascii="宋体" w:hAnsi="宋体" w:hint="eastAsia"/>
                <w:bCs/>
                <w:iCs/>
                <w:color w:val="000000"/>
                <w:szCs w:val="21"/>
              </w:rPr>
              <w:t>股证券投资咨询广东有限公司、国信期货有限责任公司、深圳市三利谱光电科技股份有限公司、海通国际研究有限公司、上海牛乎资产管理有限公司、上海大智慧金融信息服务有限公司、邵惟波</w:t>
            </w:r>
            <w:r>
              <w:rPr>
                <w:rFonts w:ascii="宋体" w:hAnsi="宋体" w:hint="eastAsia"/>
                <w:bCs/>
                <w:iCs/>
                <w:color w:val="000000"/>
                <w:szCs w:val="21"/>
              </w:rPr>
              <w:t>、</w:t>
            </w:r>
            <w:r>
              <w:rPr>
                <w:rFonts w:ascii="宋体" w:hAnsi="宋体" w:hint="eastAsia"/>
                <w:bCs/>
                <w:iCs/>
                <w:color w:val="000000"/>
                <w:szCs w:val="21"/>
              </w:rPr>
              <w:t>蚌埠明道资产管理合伙企业</w:t>
            </w:r>
            <w:r>
              <w:rPr>
                <w:rFonts w:ascii="宋体" w:hAnsi="宋体"/>
                <w:bCs/>
                <w:iCs/>
                <w:color w:val="000000"/>
                <w:szCs w:val="21"/>
              </w:rPr>
              <w:t>、</w:t>
            </w:r>
            <w:r>
              <w:rPr>
                <w:rFonts w:ascii="宋体" w:hAnsi="宋体" w:hint="eastAsia"/>
                <w:bCs/>
                <w:iCs/>
                <w:color w:val="000000"/>
                <w:szCs w:val="21"/>
              </w:rPr>
              <w:t>汇添富基金管理股份有限公司，圆信永丰基金管理有限公司、第一北京资产管理公司、上海丰仓股权投资基金管理有限公司、上海贵源投资有限公司、北京点石汇鑫投资管理有限公司、泳诚私募基金管理</w:t>
            </w:r>
            <w:r>
              <w:rPr>
                <w:rFonts w:ascii="宋体" w:hAnsi="宋体" w:hint="eastAsia"/>
                <w:bCs/>
                <w:iCs/>
                <w:color w:val="000000"/>
                <w:szCs w:val="21"/>
              </w:rPr>
              <w:t>(</w:t>
            </w:r>
            <w:r>
              <w:rPr>
                <w:rFonts w:ascii="宋体" w:hAnsi="宋体" w:hint="eastAsia"/>
                <w:bCs/>
                <w:iCs/>
                <w:color w:val="000000"/>
                <w:szCs w:val="21"/>
              </w:rPr>
              <w:t>海南</w:t>
            </w:r>
            <w:r>
              <w:rPr>
                <w:rFonts w:ascii="宋体" w:hAnsi="宋体" w:hint="eastAsia"/>
                <w:bCs/>
                <w:iCs/>
                <w:color w:val="000000"/>
                <w:szCs w:val="21"/>
              </w:rPr>
              <w:t>)</w:t>
            </w:r>
            <w:r>
              <w:rPr>
                <w:rFonts w:ascii="宋体" w:hAnsi="宋体" w:hint="eastAsia"/>
                <w:bCs/>
                <w:iCs/>
                <w:color w:val="000000"/>
                <w:szCs w:val="21"/>
              </w:rPr>
              <w:t>有限公司、珠海市聚隆投资管理有限公司、北京鼎诺投资管理有限公司、歌斐资产管理有限公司、北京青创伯乐投资有限公司、江西铂润投资管理有限公司、上海慎知资产管理合伙企业</w:t>
            </w:r>
            <w:r>
              <w:rPr>
                <w:rFonts w:ascii="宋体" w:hAnsi="宋体" w:hint="eastAsia"/>
                <w:bCs/>
                <w:iCs/>
                <w:color w:val="000000"/>
                <w:szCs w:val="21"/>
              </w:rPr>
              <w:t>(</w:t>
            </w:r>
            <w:r>
              <w:rPr>
                <w:rFonts w:ascii="宋体" w:hAnsi="宋体" w:hint="eastAsia"/>
                <w:bCs/>
                <w:iCs/>
                <w:color w:val="000000"/>
                <w:szCs w:val="21"/>
              </w:rPr>
              <w:t>有限合伙</w:t>
            </w:r>
            <w:r>
              <w:rPr>
                <w:rFonts w:ascii="宋体" w:hAnsi="宋体" w:hint="eastAsia"/>
                <w:bCs/>
                <w:iCs/>
                <w:color w:val="000000"/>
                <w:szCs w:val="21"/>
              </w:rPr>
              <w:t>)</w:t>
            </w:r>
            <w:r>
              <w:rPr>
                <w:rFonts w:ascii="宋体" w:hAnsi="宋体" w:hint="eastAsia"/>
                <w:bCs/>
                <w:iCs/>
                <w:color w:val="000000"/>
                <w:szCs w:val="21"/>
              </w:rPr>
              <w:t>、木马牛投资、懿宽资产管理</w:t>
            </w:r>
            <w:r>
              <w:rPr>
                <w:rFonts w:ascii="宋体" w:hAnsi="宋体" w:hint="eastAsia"/>
                <w:bCs/>
                <w:iCs/>
                <w:color w:val="000000"/>
                <w:szCs w:val="21"/>
              </w:rPr>
              <w:t>(</w:t>
            </w:r>
            <w:r>
              <w:rPr>
                <w:rFonts w:ascii="宋体" w:hAnsi="宋体" w:hint="eastAsia"/>
                <w:bCs/>
                <w:iCs/>
                <w:color w:val="000000"/>
                <w:szCs w:val="21"/>
              </w:rPr>
              <w:t>上海</w:t>
            </w:r>
            <w:r>
              <w:rPr>
                <w:rFonts w:ascii="宋体" w:hAnsi="宋体" w:hint="eastAsia"/>
                <w:bCs/>
                <w:iCs/>
                <w:color w:val="000000"/>
                <w:szCs w:val="21"/>
              </w:rPr>
              <w:t>)</w:t>
            </w:r>
            <w:r>
              <w:rPr>
                <w:rFonts w:ascii="宋体" w:hAnsi="宋体" w:hint="eastAsia"/>
                <w:bCs/>
                <w:iCs/>
                <w:color w:val="000000"/>
                <w:szCs w:val="21"/>
              </w:rPr>
              <w:t>有限公司</w:t>
            </w:r>
            <w:bookmarkStart w:id="2" w:name="_GoBack"/>
            <w:bookmarkEnd w:id="2"/>
          </w:p>
        </w:tc>
      </w:tr>
      <w:tr w:rsidR="0095144C">
        <w:trPr>
          <w:jc w:val="center"/>
        </w:trPr>
        <w:tc>
          <w:tcPr>
            <w:tcW w:w="2547" w:type="dxa"/>
            <w:vAlign w:val="center"/>
          </w:tcPr>
          <w:p w:rsidR="0095144C" w:rsidRDefault="00187686">
            <w:pPr>
              <w:spacing w:line="360" w:lineRule="auto"/>
              <w:jc w:val="center"/>
              <w:rPr>
                <w:rFonts w:ascii="宋体" w:hAnsi="宋体"/>
                <w:b/>
                <w:bCs/>
                <w:iCs/>
                <w:color w:val="000000"/>
                <w:szCs w:val="21"/>
              </w:rPr>
            </w:pPr>
            <w:r>
              <w:rPr>
                <w:rFonts w:ascii="宋体" w:hAnsi="宋体"/>
                <w:b/>
                <w:bCs/>
                <w:iCs/>
                <w:color w:val="000000"/>
                <w:szCs w:val="21"/>
              </w:rPr>
              <w:t>时间</w:t>
            </w:r>
          </w:p>
        </w:tc>
        <w:tc>
          <w:tcPr>
            <w:tcW w:w="7088" w:type="dxa"/>
            <w:vAlign w:val="center"/>
          </w:tcPr>
          <w:p w:rsidR="0095144C" w:rsidRDefault="00187686">
            <w:pPr>
              <w:spacing w:line="276" w:lineRule="auto"/>
              <w:rPr>
                <w:rFonts w:ascii="宋体" w:hAnsi="宋体"/>
                <w:bCs/>
                <w:iCs/>
                <w:color w:val="000000"/>
                <w:szCs w:val="21"/>
              </w:rPr>
            </w:pPr>
            <w:r>
              <w:rPr>
                <w:rFonts w:ascii="宋体" w:hAnsi="宋体"/>
                <w:bCs/>
                <w:iCs/>
                <w:color w:val="000000"/>
                <w:szCs w:val="21"/>
              </w:rPr>
              <w:t>202</w:t>
            </w:r>
            <w:r>
              <w:rPr>
                <w:rFonts w:ascii="宋体" w:hAnsi="宋体" w:hint="eastAsia"/>
                <w:bCs/>
                <w:iCs/>
                <w:color w:val="000000"/>
                <w:szCs w:val="21"/>
              </w:rPr>
              <w:t>3</w:t>
            </w:r>
            <w:r>
              <w:rPr>
                <w:rFonts w:ascii="宋体" w:hAnsi="宋体" w:hint="eastAsia"/>
                <w:bCs/>
                <w:iCs/>
                <w:color w:val="000000"/>
                <w:szCs w:val="21"/>
              </w:rPr>
              <w:t>年</w:t>
            </w:r>
            <w:r>
              <w:rPr>
                <w:rFonts w:ascii="宋体" w:hAnsi="宋体" w:hint="eastAsia"/>
                <w:bCs/>
                <w:iCs/>
                <w:color w:val="000000"/>
                <w:szCs w:val="21"/>
              </w:rPr>
              <w:t>8</w:t>
            </w:r>
            <w:r>
              <w:rPr>
                <w:rFonts w:ascii="宋体" w:hAnsi="宋体" w:hint="eastAsia"/>
                <w:bCs/>
                <w:iCs/>
                <w:color w:val="000000"/>
                <w:szCs w:val="21"/>
              </w:rPr>
              <w:t>月</w:t>
            </w:r>
            <w:r>
              <w:rPr>
                <w:rFonts w:ascii="宋体" w:hAnsi="宋体" w:hint="eastAsia"/>
                <w:bCs/>
                <w:iCs/>
                <w:color w:val="000000"/>
                <w:szCs w:val="21"/>
              </w:rPr>
              <w:t>30</w:t>
            </w:r>
          </w:p>
        </w:tc>
      </w:tr>
      <w:tr w:rsidR="0095144C">
        <w:trPr>
          <w:jc w:val="center"/>
        </w:trPr>
        <w:tc>
          <w:tcPr>
            <w:tcW w:w="2547" w:type="dxa"/>
            <w:vAlign w:val="center"/>
          </w:tcPr>
          <w:p w:rsidR="0095144C" w:rsidRDefault="00187686">
            <w:pPr>
              <w:spacing w:line="360" w:lineRule="auto"/>
              <w:jc w:val="center"/>
              <w:rPr>
                <w:rFonts w:ascii="宋体" w:hAnsi="宋体"/>
                <w:b/>
                <w:bCs/>
                <w:iCs/>
                <w:color w:val="000000"/>
                <w:szCs w:val="21"/>
              </w:rPr>
            </w:pPr>
            <w:r>
              <w:rPr>
                <w:rFonts w:ascii="宋体" w:hAnsi="宋体" w:hint="eastAsia"/>
                <w:b/>
                <w:bCs/>
                <w:iCs/>
                <w:color w:val="000000"/>
                <w:szCs w:val="21"/>
              </w:rPr>
              <w:t>地点</w:t>
            </w:r>
          </w:p>
        </w:tc>
        <w:tc>
          <w:tcPr>
            <w:tcW w:w="7088" w:type="dxa"/>
            <w:vAlign w:val="center"/>
          </w:tcPr>
          <w:p w:rsidR="0095144C" w:rsidRDefault="00187686">
            <w:pPr>
              <w:spacing w:line="276" w:lineRule="auto"/>
              <w:rPr>
                <w:rFonts w:ascii="宋体" w:hAnsi="宋体"/>
                <w:bCs/>
                <w:iCs/>
                <w:color w:val="000000"/>
                <w:szCs w:val="21"/>
              </w:rPr>
            </w:pPr>
            <w:r>
              <w:rPr>
                <w:rFonts w:ascii="宋体" w:hAnsi="宋体" w:hint="eastAsia"/>
                <w:bCs/>
                <w:iCs/>
                <w:color w:val="000000"/>
                <w:szCs w:val="21"/>
              </w:rPr>
              <w:t>公司总部会议室</w:t>
            </w:r>
          </w:p>
        </w:tc>
      </w:tr>
      <w:tr w:rsidR="0095144C">
        <w:trPr>
          <w:jc w:val="center"/>
        </w:trPr>
        <w:tc>
          <w:tcPr>
            <w:tcW w:w="2547" w:type="dxa"/>
            <w:vAlign w:val="center"/>
          </w:tcPr>
          <w:p w:rsidR="0095144C" w:rsidRDefault="00187686">
            <w:pPr>
              <w:spacing w:line="360" w:lineRule="auto"/>
              <w:jc w:val="center"/>
              <w:rPr>
                <w:rFonts w:ascii="宋体" w:hAnsi="宋体"/>
                <w:b/>
                <w:bCs/>
                <w:iCs/>
                <w:color w:val="000000"/>
                <w:szCs w:val="21"/>
              </w:rPr>
            </w:pPr>
            <w:r>
              <w:rPr>
                <w:rFonts w:ascii="宋体" w:hAnsi="宋体"/>
                <w:b/>
                <w:bCs/>
                <w:iCs/>
                <w:color w:val="000000"/>
                <w:szCs w:val="21"/>
              </w:rPr>
              <w:t>上市公司接待人员姓名</w:t>
            </w:r>
          </w:p>
        </w:tc>
        <w:tc>
          <w:tcPr>
            <w:tcW w:w="7088" w:type="dxa"/>
            <w:vAlign w:val="center"/>
          </w:tcPr>
          <w:p w:rsidR="0095144C" w:rsidRDefault="00187686">
            <w:pPr>
              <w:spacing w:line="276" w:lineRule="auto"/>
              <w:rPr>
                <w:rFonts w:ascii="宋体" w:hAnsi="宋体"/>
                <w:bCs/>
                <w:iCs/>
                <w:color w:val="000000"/>
                <w:szCs w:val="21"/>
              </w:rPr>
            </w:pPr>
            <w:r>
              <w:rPr>
                <w:rFonts w:ascii="宋体" w:hAnsi="宋体" w:cs="宋体" w:hint="eastAsia"/>
                <w:color w:val="000000"/>
                <w:kern w:val="0"/>
                <w:szCs w:val="21"/>
              </w:rPr>
              <w:t>总经理：王晓晖</w:t>
            </w:r>
            <w:r>
              <w:rPr>
                <w:rFonts w:ascii="宋体" w:hAnsi="宋体" w:cs="宋体" w:hint="eastAsia"/>
                <w:color w:val="000000"/>
                <w:kern w:val="0"/>
                <w:szCs w:val="21"/>
              </w:rPr>
              <w:t xml:space="preserve"> </w:t>
            </w:r>
            <w:r>
              <w:rPr>
                <w:rFonts w:ascii="宋体" w:hAnsi="宋体" w:cs="宋体" w:hint="eastAsia"/>
                <w:color w:val="000000"/>
                <w:kern w:val="0"/>
                <w:szCs w:val="21"/>
              </w:rPr>
              <w:t>董事会秘书：郭晓雷</w:t>
            </w:r>
            <w:r>
              <w:rPr>
                <w:rFonts w:ascii="宋体" w:hAnsi="宋体" w:cs="宋体" w:hint="eastAsia"/>
                <w:color w:val="000000"/>
                <w:kern w:val="0"/>
                <w:szCs w:val="21"/>
              </w:rPr>
              <w:t xml:space="preserve"> </w:t>
            </w:r>
            <w:r>
              <w:rPr>
                <w:rFonts w:ascii="宋体" w:hAnsi="宋体" w:cs="宋体" w:hint="eastAsia"/>
                <w:color w:val="000000"/>
                <w:kern w:val="0"/>
                <w:szCs w:val="21"/>
              </w:rPr>
              <w:t>财务总监：李抗</w:t>
            </w:r>
            <w:r>
              <w:rPr>
                <w:rFonts w:ascii="宋体" w:hAnsi="宋体" w:cs="宋体" w:hint="eastAsia"/>
                <w:color w:val="000000"/>
                <w:kern w:val="0"/>
                <w:szCs w:val="21"/>
              </w:rPr>
              <w:t xml:space="preserve"> </w:t>
            </w:r>
            <w:r>
              <w:rPr>
                <w:rFonts w:ascii="宋体" w:hAnsi="宋体" w:cs="宋体" w:hint="eastAsia"/>
                <w:color w:val="000000"/>
                <w:kern w:val="0"/>
                <w:szCs w:val="21"/>
              </w:rPr>
              <w:t>证券事务代表：陈冬梅</w:t>
            </w:r>
          </w:p>
        </w:tc>
      </w:tr>
      <w:tr w:rsidR="0095144C">
        <w:trPr>
          <w:jc w:val="center"/>
        </w:trPr>
        <w:tc>
          <w:tcPr>
            <w:tcW w:w="2547" w:type="dxa"/>
            <w:vAlign w:val="center"/>
          </w:tcPr>
          <w:p w:rsidR="0095144C" w:rsidRDefault="00187686">
            <w:pPr>
              <w:spacing w:line="360" w:lineRule="auto"/>
              <w:jc w:val="center"/>
              <w:rPr>
                <w:rFonts w:ascii="宋体" w:hAnsi="宋体"/>
                <w:b/>
                <w:bCs/>
                <w:iCs/>
                <w:szCs w:val="21"/>
              </w:rPr>
            </w:pPr>
            <w:r>
              <w:rPr>
                <w:rFonts w:ascii="宋体" w:hAnsi="宋体" w:hint="eastAsia"/>
                <w:b/>
                <w:bCs/>
                <w:iCs/>
                <w:szCs w:val="21"/>
              </w:rPr>
              <w:t>电话会议</w:t>
            </w:r>
          </w:p>
          <w:p w:rsidR="0095144C" w:rsidRDefault="00187686">
            <w:pPr>
              <w:spacing w:line="360" w:lineRule="auto"/>
              <w:jc w:val="center"/>
              <w:rPr>
                <w:rFonts w:ascii="宋体" w:hAnsi="宋体"/>
                <w:b/>
                <w:bCs/>
                <w:iCs/>
                <w:szCs w:val="21"/>
              </w:rPr>
            </w:pPr>
            <w:r>
              <w:rPr>
                <w:rFonts w:ascii="宋体" w:hAnsi="宋体"/>
                <w:b/>
                <w:bCs/>
                <w:iCs/>
                <w:szCs w:val="21"/>
              </w:rPr>
              <w:t>主要内容介绍</w:t>
            </w:r>
          </w:p>
          <w:p w:rsidR="0095144C" w:rsidRDefault="0095144C">
            <w:pPr>
              <w:spacing w:line="360" w:lineRule="auto"/>
              <w:rPr>
                <w:rFonts w:ascii="宋体" w:hAnsi="宋体"/>
                <w:b/>
                <w:bCs/>
                <w:iCs/>
                <w:szCs w:val="21"/>
              </w:rPr>
            </w:pPr>
          </w:p>
        </w:tc>
        <w:tc>
          <w:tcPr>
            <w:tcW w:w="7088" w:type="dxa"/>
          </w:tcPr>
          <w:p w:rsidR="0095144C" w:rsidRDefault="00187686">
            <w:pPr>
              <w:spacing w:beforeLines="50" w:before="156"/>
              <w:ind w:firstLineChars="200" w:firstLine="420"/>
            </w:pPr>
            <w:r>
              <w:rPr>
                <w:rFonts w:hint="eastAsia"/>
              </w:rPr>
              <w:t>1</w:t>
            </w:r>
            <w:r>
              <w:rPr>
                <w:rFonts w:hint="eastAsia"/>
              </w:rPr>
              <w:t>、请问对于上游原材料的价格以及自身产品价格的变动，两者之间关系是怎样的？</w:t>
            </w:r>
          </w:p>
          <w:p w:rsidR="0095144C" w:rsidRDefault="00187686">
            <w:pPr>
              <w:spacing w:beforeLines="50" w:before="156"/>
              <w:ind w:firstLineChars="200" w:firstLine="420"/>
            </w:pPr>
            <w:r>
              <w:rPr>
                <w:rFonts w:hint="eastAsia"/>
              </w:rPr>
              <w:t>公司原材料的价格变动要比产品的价格变动滞后。公司的主要稀土产品以现价销售为主。而原料主要是来自于海外，在采购定价时，会参考之前一个周期的稀土产品价格确定稀土精矿的价格，加上运输的时间以及生产的时间，会导致原料成本的波动滞后于产品价格的波动。在稀土价格下行区间里，</w:t>
            </w:r>
            <w:r>
              <w:rPr>
                <w:rFonts w:hint="eastAsia"/>
              </w:rPr>
              <w:lastRenderedPageBreak/>
              <w:t>公司的毛利率会受到影响。</w:t>
            </w:r>
          </w:p>
          <w:p w:rsidR="0095144C" w:rsidRDefault="00187686">
            <w:pPr>
              <w:spacing w:beforeLines="50" w:before="156"/>
              <w:ind w:firstLineChars="200" w:firstLine="420"/>
            </w:pPr>
            <w:r>
              <w:rPr>
                <w:rFonts w:hint="eastAsia"/>
              </w:rPr>
              <w:t>2</w:t>
            </w:r>
            <w:r>
              <w:rPr>
                <w:rFonts w:hint="eastAsia"/>
              </w:rPr>
              <w:t>、请预判一下今年下半年稀土价格的趋势？</w:t>
            </w:r>
          </w:p>
          <w:p w:rsidR="0095144C" w:rsidRDefault="00187686">
            <w:pPr>
              <w:spacing w:beforeLines="50" w:before="156"/>
              <w:ind w:firstLineChars="200" w:firstLine="420"/>
            </w:pPr>
            <w:r>
              <w:rPr>
                <w:rFonts w:hint="eastAsia"/>
              </w:rPr>
              <w:t>稀土价格主要受供需影响。前两年价格上涨主要受到需求端影响，尤其是新能源汽车的爆发式增长，还有节能变频空调、风电等新能源产业的带动。今年下跌是因为供需关系出现短期错配，下游需求受宏观经济等因素影响相对较弱，上游供应增加，导致价格下跌。</w:t>
            </w:r>
          </w:p>
          <w:p w:rsidR="0095144C" w:rsidRDefault="00187686">
            <w:pPr>
              <w:spacing w:beforeLines="50" w:before="156"/>
              <w:ind w:firstLineChars="200" w:firstLine="420"/>
            </w:pPr>
            <w:r>
              <w:rPr>
                <w:rFonts w:hint="eastAsia"/>
              </w:rPr>
              <w:t>目前价格相对稳定，氧化镨钕目前的价格相对于</w:t>
            </w:r>
            <w:r>
              <w:rPr>
                <w:rFonts w:hint="eastAsia"/>
              </w:rPr>
              <w:t>2020</w:t>
            </w:r>
            <w:r>
              <w:rPr>
                <w:rFonts w:hint="eastAsia"/>
              </w:rPr>
              <w:t>年前还是有较大幅度的增长。预计下半年供需会逐渐趋于平衡，价格预期趋稳。</w:t>
            </w:r>
          </w:p>
          <w:p w:rsidR="0095144C" w:rsidRDefault="00187686">
            <w:pPr>
              <w:spacing w:beforeLines="50" w:before="156"/>
              <w:ind w:firstLineChars="200" w:firstLine="420"/>
            </w:pPr>
            <w:r>
              <w:rPr>
                <w:rFonts w:hint="eastAsia"/>
              </w:rPr>
              <w:t>3</w:t>
            </w:r>
            <w:r>
              <w:rPr>
                <w:rFonts w:hint="eastAsia"/>
              </w:rPr>
              <w:t>、格陵兰项目的仲裁进展如何？仲裁结果对公司的影响有多大？稀土价格的趋势大概如何？</w:t>
            </w:r>
            <w:r>
              <w:rPr>
                <w:rFonts w:hint="eastAsia"/>
              </w:rPr>
              <w:t xml:space="preserve"> </w:t>
            </w:r>
          </w:p>
          <w:p w:rsidR="0095144C" w:rsidRDefault="00187686">
            <w:pPr>
              <w:spacing w:beforeLines="50" w:before="156"/>
              <w:ind w:firstLineChars="200" w:firstLine="420"/>
            </w:pPr>
            <w:r>
              <w:rPr>
                <w:rFonts w:hint="eastAsia"/>
              </w:rPr>
              <w:t>格陵兰项目是公司</w:t>
            </w:r>
            <w:r>
              <w:rPr>
                <w:rFonts w:hint="eastAsia"/>
              </w:rPr>
              <w:t>2016</w:t>
            </w:r>
            <w:r>
              <w:rPr>
                <w:rFonts w:hint="eastAsia"/>
              </w:rPr>
              <w:t>年投资的，出资</w:t>
            </w:r>
            <w:r>
              <w:rPr>
                <w:rFonts w:hint="eastAsia"/>
              </w:rPr>
              <w:t>462.5</w:t>
            </w:r>
            <w:r>
              <w:rPr>
                <w:rFonts w:hint="eastAsia"/>
              </w:rPr>
              <w:t>万澳元，约合人民币</w:t>
            </w:r>
            <w:r>
              <w:rPr>
                <w:rFonts w:hint="eastAsia"/>
              </w:rPr>
              <w:t>23</w:t>
            </w:r>
            <w:r>
              <w:rPr>
                <w:rFonts w:hint="eastAsia"/>
              </w:rPr>
              <w:t>58.75</w:t>
            </w:r>
            <w:r>
              <w:rPr>
                <w:rFonts w:hint="eastAsia"/>
              </w:rPr>
              <w:t>万元人民币，目前持股比例约</w:t>
            </w:r>
            <w:r>
              <w:rPr>
                <w:rFonts w:hint="eastAsia"/>
              </w:rPr>
              <w:t>9.3%</w:t>
            </w:r>
            <w:r>
              <w:rPr>
                <w:rFonts w:hint="eastAsia"/>
              </w:rPr>
              <w:t>。公司看好这个项目资源量大、关键稀土元素含量高。但由于格陵兰法规的修改，项目暂时不能获得开采许可证。</w:t>
            </w:r>
            <w:r>
              <w:rPr>
                <w:rFonts w:hint="eastAsia"/>
              </w:rPr>
              <w:t>ETM</w:t>
            </w:r>
            <w:r>
              <w:rPr>
                <w:rFonts w:hint="eastAsia"/>
              </w:rPr>
              <w:t>公司（原格陵兰公司）今年</w:t>
            </w:r>
            <w:r>
              <w:rPr>
                <w:rFonts w:hint="eastAsia"/>
              </w:rPr>
              <w:t>7</w:t>
            </w:r>
            <w:r>
              <w:rPr>
                <w:rFonts w:hint="eastAsia"/>
              </w:rPr>
              <w:t>月份提出了仲裁申请，目前等待格陵兰政府和丹麦政府的反馈。国际仲裁事项耗时会比较久，公司会密切关注仲裁事项的进展。</w:t>
            </w:r>
          </w:p>
          <w:p w:rsidR="0095144C" w:rsidRDefault="00187686">
            <w:pPr>
              <w:spacing w:beforeLines="50" w:before="156"/>
              <w:ind w:firstLineChars="200" w:firstLine="420"/>
            </w:pPr>
            <w:r>
              <w:rPr>
                <w:rFonts w:hint="eastAsia"/>
              </w:rPr>
              <w:t>4</w:t>
            </w:r>
            <w:r>
              <w:rPr>
                <w:rFonts w:hint="eastAsia"/>
              </w:rPr>
              <w:t>、关于独居石项目的进展和盈利情况？</w:t>
            </w:r>
          </w:p>
          <w:p w:rsidR="0095144C" w:rsidRDefault="00187686">
            <w:pPr>
              <w:spacing w:beforeLines="50" w:before="156"/>
              <w:ind w:firstLineChars="200" w:firstLine="420"/>
            </w:pPr>
            <w:r>
              <w:rPr>
                <w:rFonts w:hint="eastAsia"/>
              </w:rPr>
              <w:t>公司锆钛矿选矿厂的产量在逐步释放，同时在海外也在积极开拓资源。公司去年投资了澳洲的一个锆钛矿资源项目，目前在加紧推进。一方面公司自身投资的锆钛矿资源类项目会给国内选矿厂提供一定的原料保</w:t>
            </w:r>
            <w:r>
              <w:rPr>
                <w:rFonts w:hint="eastAsia"/>
              </w:rPr>
              <w:t>障，另一方面公司也会去从市场上去采购一些资源，满足选矿厂的生产需求。独居石的产量受到原料中独居石含量的影响，公司的目标是将来独居石的产量达到</w:t>
            </w:r>
            <w:r>
              <w:rPr>
                <w:rFonts w:hint="eastAsia"/>
              </w:rPr>
              <w:t>3</w:t>
            </w:r>
            <w:r>
              <w:rPr>
                <w:rFonts w:hint="eastAsia"/>
              </w:rPr>
              <w:t>万吨以上。</w:t>
            </w:r>
          </w:p>
          <w:p w:rsidR="0095144C" w:rsidRDefault="00187686">
            <w:pPr>
              <w:spacing w:beforeLines="50" w:before="156"/>
              <w:ind w:firstLineChars="200" w:firstLine="420"/>
            </w:pPr>
            <w:r>
              <w:rPr>
                <w:rFonts w:hint="eastAsia"/>
              </w:rPr>
              <w:t>5</w:t>
            </w:r>
            <w:r>
              <w:rPr>
                <w:rFonts w:hint="eastAsia"/>
              </w:rPr>
              <w:t>、循环经济产业链中的磁材回收板块，现在牌照的限制是否有所放开？未来的竞争主要来自哪些方面？</w:t>
            </w:r>
          </w:p>
          <w:p w:rsidR="0095144C" w:rsidRDefault="00187686">
            <w:pPr>
              <w:spacing w:beforeLines="50" w:before="156"/>
              <w:ind w:firstLineChars="200" w:firstLine="420"/>
            </w:pPr>
            <w:r>
              <w:rPr>
                <w:rFonts w:hint="eastAsia"/>
              </w:rPr>
              <w:t>未来废料回收行业的竞争不是牌照的竞争，而是原材料采购渠道和企业生产工艺的竞争。稀土废料资源主要来自于两个渠道，一是磁材厂生产过程中产生的钕铁硼废料，另一来源是拆解废料。生产过程中的废料会随钕铁硼产量的增长而增长，约占钕铁硼总产量的</w:t>
            </w:r>
            <w:r>
              <w:rPr>
                <w:rFonts w:hint="eastAsia"/>
              </w:rPr>
              <w:t>20%-30%</w:t>
            </w:r>
            <w:r>
              <w:rPr>
                <w:rFonts w:hint="eastAsia"/>
              </w:rPr>
              <w:t>。拆解废料将来随着磁</w:t>
            </w:r>
            <w:r>
              <w:rPr>
                <w:rFonts w:hint="eastAsia"/>
              </w:rPr>
              <w:t>材终端产品的淘汰，增量预期较大。</w:t>
            </w:r>
          </w:p>
          <w:p w:rsidR="0095144C" w:rsidRDefault="00187686">
            <w:pPr>
              <w:spacing w:beforeLines="50" w:before="156"/>
              <w:ind w:firstLineChars="200" w:firstLine="420"/>
            </w:pPr>
            <w:r>
              <w:rPr>
                <w:rFonts w:hint="eastAsia"/>
              </w:rPr>
              <w:t>公司废料回收生产工艺在行业里面处于比较领先的位置，未来公司会着力提升收率、降低成本。</w:t>
            </w:r>
          </w:p>
          <w:p w:rsidR="0095144C" w:rsidRDefault="00187686">
            <w:pPr>
              <w:spacing w:beforeLines="50" w:before="156"/>
              <w:ind w:firstLineChars="200" w:firstLine="420"/>
            </w:pPr>
            <w:r>
              <w:rPr>
                <w:rFonts w:hint="eastAsia"/>
              </w:rPr>
              <w:t>6</w:t>
            </w:r>
            <w:r>
              <w:rPr>
                <w:rFonts w:hint="eastAsia"/>
              </w:rPr>
              <w:t>、美国矿包销情况以及</w:t>
            </w:r>
            <w:r>
              <w:rPr>
                <w:rFonts w:hint="eastAsia"/>
              </w:rPr>
              <w:t>MP</w:t>
            </w:r>
            <w:r>
              <w:rPr>
                <w:rFonts w:hint="eastAsia"/>
              </w:rPr>
              <w:t>自有分离产能建设情况如何呢？</w:t>
            </w:r>
          </w:p>
          <w:p w:rsidR="0095144C" w:rsidRDefault="00187686">
            <w:pPr>
              <w:spacing w:beforeLines="50" w:before="156"/>
              <w:ind w:firstLineChars="200" w:firstLine="420"/>
            </w:pPr>
            <w:r>
              <w:rPr>
                <w:rFonts w:hint="eastAsia"/>
              </w:rPr>
              <w:t>美国矿的包销正常进行，目前</w:t>
            </w:r>
            <w:r>
              <w:rPr>
                <w:rFonts w:hint="eastAsia"/>
              </w:rPr>
              <w:t>MP</w:t>
            </w:r>
            <w:r>
              <w:rPr>
                <w:rFonts w:hint="eastAsia"/>
              </w:rPr>
              <w:t>每年稀土精矿产量约</w:t>
            </w:r>
            <w:r>
              <w:rPr>
                <w:rFonts w:hint="eastAsia"/>
              </w:rPr>
              <w:t>4.3</w:t>
            </w:r>
            <w:r>
              <w:rPr>
                <w:rFonts w:hint="eastAsia"/>
              </w:rPr>
              <w:t>万吨，绝大部分由公司包销。公司目前与</w:t>
            </w:r>
            <w:r>
              <w:rPr>
                <w:rFonts w:hint="eastAsia"/>
              </w:rPr>
              <w:t>MP</w:t>
            </w:r>
            <w:r>
              <w:rPr>
                <w:rFonts w:hint="eastAsia"/>
              </w:rPr>
              <w:t>签订的包销协议中包销产品的范围并不局限于稀土精矿，也包括氧化物类的产品。</w:t>
            </w:r>
            <w:r>
              <w:rPr>
                <w:rFonts w:hint="eastAsia"/>
              </w:rPr>
              <w:t>MP</w:t>
            </w:r>
            <w:r>
              <w:rPr>
                <w:rFonts w:hint="eastAsia"/>
              </w:rPr>
              <w:t>公司自身分离产能的建设请关注该公司的公告。</w:t>
            </w:r>
          </w:p>
          <w:p w:rsidR="0095144C" w:rsidRDefault="00187686">
            <w:pPr>
              <w:spacing w:beforeLines="50" w:before="156"/>
              <w:ind w:firstLineChars="200" w:firstLine="420"/>
            </w:pPr>
            <w:r>
              <w:rPr>
                <w:rFonts w:hint="eastAsia"/>
              </w:rPr>
              <w:t>7</w:t>
            </w:r>
            <w:r>
              <w:rPr>
                <w:rFonts w:hint="eastAsia"/>
              </w:rPr>
              <w:t>、</w:t>
            </w:r>
            <w:r>
              <w:rPr>
                <w:rFonts w:hint="eastAsia"/>
              </w:rPr>
              <w:t>Peak</w:t>
            </w:r>
            <w:r>
              <w:rPr>
                <w:rFonts w:hint="eastAsia"/>
              </w:rPr>
              <w:t>稀土项目的进展情况？</w:t>
            </w:r>
          </w:p>
          <w:p w:rsidR="0095144C" w:rsidRDefault="00187686">
            <w:pPr>
              <w:spacing w:beforeLines="50" w:before="156"/>
              <w:ind w:firstLineChars="200" w:firstLine="420"/>
            </w:pPr>
            <w:r>
              <w:rPr>
                <w:rFonts w:hint="eastAsia"/>
              </w:rPr>
              <w:lastRenderedPageBreak/>
              <w:t>近期，公司与</w:t>
            </w:r>
            <w:r>
              <w:rPr>
                <w:rFonts w:hint="eastAsia"/>
              </w:rPr>
              <w:t>Peak</w:t>
            </w:r>
            <w:r>
              <w:rPr>
                <w:rFonts w:hint="eastAsia"/>
              </w:rPr>
              <w:t>稀土签署了包销协议，约定公司将购买</w:t>
            </w:r>
            <w:r>
              <w:rPr>
                <w:rFonts w:hint="eastAsia"/>
              </w:rPr>
              <w:t>Ngualla</w:t>
            </w:r>
            <w:r>
              <w:rPr>
                <w:rFonts w:hint="eastAsia"/>
              </w:rPr>
              <w:t>项目产出的</w:t>
            </w:r>
            <w:r>
              <w:rPr>
                <w:rFonts w:hint="eastAsia"/>
              </w:rPr>
              <w:t>100%</w:t>
            </w:r>
            <w:r>
              <w:rPr>
                <w:rFonts w:hint="eastAsia"/>
              </w:rPr>
              <w:t>稀</w:t>
            </w:r>
            <w:r>
              <w:rPr>
                <w:rFonts w:hint="eastAsia"/>
              </w:rPr>
              <w:t>土精矿、至少</w:t>
            </w:r>
            <w:r>
              <w:rPr>
                <w:rFonts w:hint="eastAsia"/>
              </w:rPr>
              <w:t>50%</w:t>
            </w:r>
            <w:r>
              <w:rPr>
                <w:rFonts w:hint="eastAsia"/>
              </w:rPr>
              <w:t>的中间稀土产品或最终分离的稀土氧化物等。</w:t>
            </w:r>
          </w:p>
          <w:p w:rsidR="0095144C" w:rsidRDefault="00187686">
            <w:pPr>
              <w:spacing w:beforeLines="50" w:before="156"/>
              <w:ind w:firstLineChars="200" w:firstLine="420"/>
            </w:pPr>
            <w:r>
              <w:rPr>
                <w:rFonts w:hint="eastAsia"/>
              </w:rPr>
              <w:t>同时，双方还签署了非约束性的谅解备忘录，</w:t>
            </w:r>
            <w:r>
              <w:rPr>
                <w:rFonts w:hint="eastAsia"/>
              </w:rPr>
              <w:t>Peak</w:t>
            </w:r>
            <w:r>
              <w:rPr>
                <w:rFonts w:hint="eastAsia"/>
              </w:rPr>
              <w:t>公司指定盛和提供</w:t>
            </w:r>
            <w:r>
              <w:rPr>
                <w:rFonts w:hint="eastAsia"/>
              </w:rPr>
              <w:t>Ngualla</w:t>
            </w:r>
            <w:r>
              <w:rPr>
                <w:rFonts w:hint="eastAsia"/>
              </w:rPr>
              <w:t>项目大部分工作的固定价格交钥匙</w:t>
            </w:r>
            <w:r>
              <w:rPr>
                <w:rFonts w:hint="eastAsia"/>
              </w:rPr>
              <w:t xml:space="preserve"> EPC</w:t>
            </w:r>
            <w:r>
              <w:rPr>
                <w:rFonts w:hint="eastAsia"/>
              </w:rPr>
              <w:t>（工程、采购、施工）方案、项目融资解决方案，各方将评估盛和认购</w:t>
            </w:r>
            <w:r>
              <w:rPr>
                <w:rFonts w:hint="eastAsia"/>
              </w:rPr>
              <w:t xml:space="preserve"> Ngualla Group UK Limited</w:t>
            </w:r>
            <w:r>
              <w:rPr>
                <w:rFonts w:hint="eastAsia"/>
              </w:rPr>
              <w:t>（</w:t>
            </w:r>
            <w:r>
              <w:rPr>
                <w:rFonts w:hint="eastAsia"/>
              </w:rPr>
              <w:t xml:space="preserve">Peak </w:t>
            </w:r>
            <w:r>
              <w:rPr>
                <w:rFonts w:hint="eastAsia"/>
              </w:rPr>
              <w:t>公司的全资子公司，</w:t>
            </w:r>
            <w:r>
              <w:rPr>
                <w:rFonts w:hint="eastAsia"/>
              </w:rPr>
              <w:t xml:space="preserve">Peak </w:t>
            </w:r>
            <w:r>
              <w:rPr>
                <w:rFonts w:hint="eastAsia"/>
              </w:rPr>
              <w:t>公司通过该公司持有</w:t>
            </w:r>
            <w:r>
              <w:rPr>
                <w:rFonts w:hint="eastAsia"/>
              </w:rPr>
              <w:t xml:space="preserve"> Ngualla </w:t>
            </w:r>
            <w:r>
              <w:rPr>
                <w:rFonts w:hint="eastAsia"/>
              </w:rPr>
              <w:t>项目选矿公司</w:t>
            </w:r>
            <w:r>
              <w:rPr>
                <w:rFonts w:hint="eastAsia"/>
              </w:rPr>
              <w:t xml:space="preserve"> Mamba Minerals Corporation Limited </w:t>
            </w:r>
            <w:r>
              <w:rPr>
                <w:rFonts w:hint="eastAsia"/>
              </w:rPr>
              <w:t>和冶炼公司</w:t>
            </w:r>
            <w:r>
              <w:rPr>
                <w:rFonts w:hint="eastAsia"/>
              </w:rPr>
              <w:t xml:space="preserve"> Mamba Refinery Corporation</w:t>
            </w:r>
            <w:r>
              <w:rPr>
                <w:rFonts w:hint="eastAsia"/>
              </w:rPr>
              <w:t xml:space="preserve"> Limited </w:t>
            </w:r>
            <w:r>
              <w:rPr>
                <w:rFonts w:hint="eastAsia"/>
              </w:rPr>
              <w:t>的股权）的显著规模的非控制性股权的可能性，并确保董事会代表权。</w:t>
            </w:r>
          </w:p>
          <w:p w:rsidR="0095144C" w:rsidRDefault="00187686">
            <w:pPr>
              <w:spacing w:beforeLines="50" w:before="156"/>
              <w:ind w:firstLineChars="200" w:firstLine="420"/>
            </w:pPr>
            <w:r>
              <w:rPr>
                <w:rFonts w:hint="eastAsia"/>
              </w:rPr>
              <w:t>根据</w:t>
            </w:r>
            <w:r>
              <w:rPr>
                <w:rFonts w:hint="eastAsia"/>
              </w:rPr>
              <w:t>Peak</w:t>
            </w:r>
            <w:r>
              <w:rPr>
                <w:rFonts w:hint="eastAsia"/>
              </w:rPr>
              <w:t>公司的公告，</w:t>
            </w:r>
            <w:r>
              <w:rPr>
                <w:rFonts w:hint="eastAsia"/>
              </w:rPr>
              <w:t>Ngualla</w:t>
            </w:r>
            <w:r>
              <w:rPr>
                <w:rFonts w:hint="eastAsia"/>
              </w:rPr>
              <w:t>项目预计将于</w:t>
            </w:r>
            <w:r>
              <w:rPr>
                <w:rFonts w:hint="eastAsia"/>
              </w:rPr>
              <w:t>2026</w:t>
            </w:r>
            <w:r>
              <w:rPr>
                <w:rFonts w:hint="eastAsia"/>
              </w:rPr>
              <w:t>年初完成建设和开发。</w:t>
            </w:r>
          </w:p>
          <w:p w:rsidR="0095144C" w:rsidRDefault="0095144C">
            <w:pPr>
              <w:spacing w:beforeLines="50" w:before="156"/>
              <w:ind w:firstLineChars="200" w:firstLine="420"/>
            </w:pPr>
          </w:p>
        </w:tc>
      </w:tr>
      <w:tr w:rsidR="0095144C">
        <w:trPr>
          <w:jc w:val="center"/>
        </w:trPr>
        <w:tc>
          <w:tcPr>
            <w:tcW w:w="2547" w:type="dxa"/>
            <w:vAlign w:val="center"/>
          </w:tcPr>
          <w:p w:rsidR="0095144C" w:rsidRDefault="00187686">
            <w:pPr>
              <w:spacing w:line="360" w:lineRule="auto"/>
              <w:jc w:val="center"/>
              <w:rPr>
                <w:rFonts w:ascii="宋体" w:hAnsi="宋体"/>
                <w:b/>
                <w:bCs/>
                <w:iCs/>
                <w:color w:val="000000"/>
                <w:szCs w:val="21"/>
              </w:rPr>
            </w:pPr>
            <w:r>
              <w:rPr>
                <w:rFonts w:ascii="宋体" w:hAnsi="宋体" w:hint="eastAsia"/>
                <w:b/>
                <w:bCs/>
                <w:iCs/>
                <w:color w:val="000000"/>
                <w:szCs w:val="21"/>
              </w:rPr>
              <w:lastRenderedPageBreak/>
              <w:t xml:space="preserve"> </w:t>
            </w:r>
            <w:r>
              <w:rPr>
                <w:rFonts w:ascii="宋体" w:hAnsi="宋体"/>
                <w:b/>
                <w:bCs/>
                <w:iCs/>
                <w:color w:val="000000"/>
                <w:szCs w:val="21"/>
              </w:rPr>
              <w:t>附件清单（如有）</w:t>
            </w:r>
          </w:p>
        </w:tc>
        <w:tc>
          <w:tcPr>
            <w:tcW w:w="7088" w:type="dxa"/>
          </w:tcPr>
          <w:p w:rsidR="0095144C" w:rsidRDefault="00187686">
            <w:pPr>
              <w:spacing w:line="360" w:lineRule="auto"/>
              <w:ind w:firstLineChars="50" w:firstLine="105"/>
              <w:jc w:val="center"/>
              <w:rPr>
                <w:rFonts w:ascii="宋体" w:hAnsi="宋体"/>
                <w:bCs/>
                <w:iCs/>
                <w:color w:val="000000"/>
                <w:szCs w:val="21"/>
              </w:rPr>
            </w:pPr>
            <w:r>
              <w:rPr>
                <w:rFonts w:ascii="宋体" w:hAnsi="宋体" w:hint="eastAsia"/>
                <w:bCs/>
                <w:iCs/>
                <w:color w:val="000000"/>
                <w:szCs w:val="21"/>
              </w:rPr>
              <w:t>无</w:t>
            </w:r>
          </w:p>
        </w:tc>
      </w:tr>
      <w:tr w:rsidR="0095144C">
        <w:trPr>
          <w:jc w:val="center"/>
        </w:trPr>
        <w:tc>
          <w:tcPr>
            <w:tcW w:w="2547" w:type="dxa"/>
            <w:vAlign w:val="center"/>
          </w:tcPr>
          <w:p w:rsidR="0095144C" w:rsidRDefault="00187686">
            <w:pPr>
              <w:spacing w:line="360" w:lineRule="auto"/>
              <w:jc w:val="center"/>
              <w:rPr>
                <w:rFonts w:ascii="宋体" w:hAnsi="宋体"/>
                <w:b/>
                <w:bCs/>
                <w:iCs/>
                <w:color w:val="000000"/>
                <w:szCs w:val="21"/>
              </w:rPr>
            </w:pPr>
            <w:r>
              <w:rPr>
                <w:rFonts w:ascii="宋体" w:hAnsi="宋体"/>
                <w:b/>
                <w:bCs/>
                <w:iCs/>
                <w:color w:val="000000"/>
                <w:szCs w:val="21"/>
              </w:rPr>
              <w:t>日期</w:t>
            </w:r>
          </w:p>
        </w:tc>
        <w:tc>
          <w:tcPr>
            <w:tcW w:w="7088" w:type="dxa"/>
          </w:tcPr>
          <w:p w:rsidR="0095144C" w:rsidRDefault="00187686">
            <w:pPr>
              <w:spacing w:line="360" w:lineRule="auto"/>
              <w:jc w:val="center"/>
              <w:rPr>
                <w:rFonts w:ascii="宋体" w:hAnsi="宋体"/>
                <w:bCs/>
                <w:iCs/>
                <w:color w:val="000000"/>
                <w:szCs w:val="21"/>
              </w:rPr>
            </w:pPr>
            <w:r>
              <w:rPr>
                <w:rFonts w:ascii="宋体" w:hAnsi="宋体"/>
                <w:bCs/>
                <w:iCs/>
                <w:color w:val="000000"/>
                <w:szCs w:val="21"/>
              </w:rPr>
              <w:t>202</w:t>
            </w:r>
            <w:r>
              <w:rPr>
                <w:rFonts w:ascii="宋体" w:hAnsi="宋体" w:hint="eastAsia"/>
                <w:bCs/>
                <w:iCs/>
                <w:color w:val="000000"/>
                <w:szCs w:val="21"/>
              </w:rPr>
              <w:t>3</w:t>
            </w:r>
            <w:r>
              <w:rPr>
                <w:rFonts w:ascii="宋体" w:hAnsi="宋体" w:hint="eastAsia"/>
                <w:bCs/>
                <w:iCs/>
                <w:color w:val="000000"/>
                <w:szCs w:val="21"/>
              </w:rPr>
              <w:t>年</w:t>
            </w:r>
            <w:r>
              <w:rPr>
                <w:rFonts w:ascii="宋体" w:hAnsi="宋体" w:hint="eastAsia"/>
                <w:bCs/>
                <w:iCs/>
                <w:color w:val="000000"/>
                <w:szCs w:val="21"/>
              </w:rPr>
              <w:t>8</w:t>
            </w:r>
            <w:r>
              <w:rPr>
                <w:rFonts w:ascii="宋体" w:hAnsi="宋体" w:hint="eastAsia"/>
                <w:bCs/>
                <w:iCs/>
                <w:color w:val="000000"/>
                <w:szCs w:val="21"/>
              </w:rPr>
              <w:t>月</w:t>
            </w:r>
            <w:r>
              <w:rPr>
                <w:rFonts w:ascii="宋体" w:hAnsi="宋体" w:hint="eastAsia"/>
                <w:bCs/>
                <w:iCs/>
                <w:color w:val="000000"/>
                <w:szCs w:val="21"/>
              </w:rPr>
              <w:t>3</w:t>
            </w:r>
            <w:r>
              <w:rPr>
                <w:rFonts w:ascii="宋体" w:hAnsi="宋体"/>
                <w:bCs/>
                <w:iCs/>
                <w:color w:val="000000"/>
                <w:szCs w:val="21"/>
              </w:rPr>
              <w:t>1</w:t>
            </w:r>
            <w:r>
              <w:rPr>
                <w:rFonts w:ascii="宋体" w:hAnsi="宋体" w:hint="eastAsia"/>
                <w:bCs/>
                <w:iCs/>
                <w:color w:val="000000"/>
                <w:szCs w:val="21"/>
              </w:rPr>
              <w:t>日</w:t>
            </w:r>
          </w:p>
        </w:tc>
      </w:tr>
      <w:bookmarkEnd w:id="0"/>
    </w:tbl>
    <w:p w:rsidR="0095144C" w:rsidRDefault="0095144C">
      <w:pPr>
        <w:widowControl/>
        <w:jc w:val="left"/>
        <w:rPr>
          <w:rFonts w:ascii="仿宋" w:eastAsia="仿宋" w:hAnsi="仿宋"/>
          <w:sz w:val="28"/>
          <w:szCs w:val="28"/>
        </w:rPr>
      </w:pPr>
    </w:p>
    <w:sectPr w:rsidR="0095144C">
      <w:footerReference w:type="even" r:id="rId6"/>
      <w:footerReference w:type="default" r:id="rId7"/>
      <w:pgSz w:w="11906" w:h="16838"/>
      <w:pgMar w:top="1701" w:right="1797" w:bottom="1134"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86" w:rsidRDefault="00187686">
      <w:r>
        <w:separator/>
      </w:r>
    </w:p>
  </w:endnote>
  <w:endnote w:type="continuationSeparator" w:id="0">
    <w:p w:rsidR="00187686" w:rsidRDefault="0018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4C" w:rsidRDefault="00187686">
    <w:pPr>
      <w:pStyle w:val="a8"/>
      <w:framePr w:wrap="around" w:vAnchor="text" w:hAnchor="margin" w:xAlign="center" w:y="1"/>
      <w:rPr>
        <w:rStyle w:val="ad"/>
      </w:rPr>
    </w:pPr>
    <w:r>
      <w:fldChar w:fldCharType="begin"/>
    </w:r>
    <w:r>
      <w:rPr>
        <w:rStyle w:val="ad"/>
      </w:rPr>
      <w:instrText xml:space="preserve">PAGE  </w:instrText>
    </w:r>
    <w:r>
      <w:fldChar w:fldCharType="end"/>
    </w:r>
  </w:p>
  <w:p w:rsidR="0095144C" w:rsidRDefault="009514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4C" w:rsidRDefault="00187686">
    <w:pPr>
      <w:pStyle w:val="a8"/>
      <w:framePr w:wrap="around" w:vAnchor="text" w:hAnchor="margin" w:xAlign="center" w:y="1"/>
      <w:rPr>
        <w:rStyle w:val="ad"/>
        <w:rFonts w:ascii="宋体" w:hAnsi="宋体"/>
        <w:sz w:val="28"/>
        <w:szCs w:val="28"/>
      </w:rPr>
    </w:pPr>
    <w:r>
      <w:rPr>
        <w:rStyle w:val="ad"/>
        <w:rFonts w:ascii="宋体" w:hAnsi="宋体" w:hint="eastAsia"/>
        <w:sz w:val="28"/>
        <w:szCs w:val="28"/>
      </w:rPr>
      <w:t>—</w:t>
    </w:r>
    <w:r>
      <w:rPr>
        <w:rFonts w:ascii="宋体" w:hAnsi="宋体" w:hint="eastAsia"/>
        <w:sz w:val="28"/>
        <w:szCs w:val="28"/>
      </w:rPr>
      <w:fldChar w:fldCharType="begin"/>
    </w:r>
    <w:r>
      <w:rPr>
        <w:rStyle w:val="ad"/>
        <w:rFonts w:ascii="宋体" w:hAnsi="宋体" w:hint="eastAsia"/>
        <w:sz w:val="28"/>
        <w:szCs w:val="28"/>
      </w:rPr>
      <w:instrText xml:space="preserve">PAGE  </w:instrText>
    </w:r>
    <w:r>
      <w:rPr>
        <w:rFonts w:ascii="宋体" w:hAnsi="宋体" w:hint="eastAsia"/>
        <w:sz w:val="28"/>
        <w:szCs w:val="28"/>
      </w:rPr>
      <w:fldChar w:fldCharType="separate"/>
    </w:r>
    <w:r w:rsidR="007E4389">
      <w:rPr>
        <w:rStyle w:val="ad"/>
        <w:rFonts w:ascii="宋体" w:hAnsi="宋体"/>
        <w:noProof/>
        <w:sz w:val="28"/>
        <w:szCs w:val="28"/>
      </w:rPr>
      <w:t>2</w:t>
    </w:r>
    <w:r>
      <w:rPr>
        <w:rFonts w:ascii="宋体" w:hAnsi="宋体" w:hint="eastAsia"/>
        <w:sz w:val="28"/>
        <w:szCs w:val="28"/>
      </w:rPr>
      <w:fldChar w:fldCharType="end"/>
    </w:r>
    <w:r>
      <w:rPr>
        <w:rStyle w:val="ad"/>
        <w:rFonts w:ascii="宋体" w:hAnsi="宋体" w:hint="eastAsia"/>
        <w:sz w:val="28"/>
        <w:szCs w:val="28"/>
      </w:rPr>
      <w:t>—</w:t>
    </w:r>
  </w:p>
  <w:p w:rsidR="0095144C" w:rsidRDefault="00951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86" w:rsidRDefault="00187686">
      <w:r>
        <w:separator/>
      </w:r>
    </w:p>
  </w:footnote>
  <w:footnote w:type="continuationSeparator" w:id="0">
    <w:p w:rsidR="00187686" w:rsidRDefault="0018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WU0ODljM2NmZjU5OGNmMjFkOGY5YmJkOTk2ODUifQ=="/>
  </w:docVars>
  <w:rsids>
    <w:rsidRoot w:val="00953981"/>
    <w:rsid w:val="000652CA"/>
    <w:rsid w:val="0007285A"/>
    <w:rsid w:val="00081574"/>
    <w:rsid w:val="00177EC3"/>
    <w:rsid w:val="00180568"/>
    <w:rsid w:val="00187686"/>
    <w:rsid w:val="001C1D99"/>
    <w:rsid w:val="00222DC3"/>
    <w:rsid w:val="00276139"/>
    <w:rsid w:val="003D3FA5"/>
    <w:rsid w:val="0040150F"/>
    <w:rsid w:val="00592C8A"/>
    <w:rsid w:val="00593A9B"/>
    <w:rsid w:val="00634C0D"/>
    <w:rsid w:val="006615C7"/>
    <w:rsid w:val="007E4389"/>
    <w:rsid w:val="009456A9"/>
    <w:rsid w:val="0095144C"/>
    <w:rsid w:val="00953981"/>
    <w:rsid w:val="00A00A0E"/>
    <w:rsid w:val="00AB19EC"/>
    <w:rsid w:val="00AB65AE"/>
    <w:rsid w:val="00B61558"/>
    <w:rsid w:val="00B62AE4"/>
    <w:rsid w:val="00B62E0B"/>
    <w:rsid w:val="00B84153"/>
    <w:rsid w:val="00C8140C"/>
    <w:rsid w:val="00C9043D"/>
    <w:rsid w:val="00CD63DE"/>
    <w:rsid w:val="00D13750"/>
    <w:rsid w:val="00F00E25"/>
    <w:rsid w:val="00F43703"/>
    <w:rsid w:val="00F536E6"/>
    <w:rsid w:val="00F639A2"/>
    <w:rsid w:val="00FF431A"/>
    <w:rsid w:val="0EAD0264"/>
    <w:rsid w:val="0ECB5A9B"/>
    <w:rsid w:val="18787809"/>
    <w:rsid w:val="222A111F"/>
    <w:rsid w:val="2DD13DB6"/>
    <w:rsid w:val="36C22E36"/>
    <w:rsid w:val="3A8638A8"/>
    <w:rsid w:val="3E33159B"/>
    <w:rsid w:val="3ED65E91"/>
    <w:rsid w:val="41C10393"/>
    <w:rsid w:val="4E4B5B88"/>
    <w:rsid w:val="5CC34FC4"/>
    <w:rsid w:val="60F224FB"/>
    <w:rsid w:val="64833355"/>
    <w:rsid w:val="658E7179"/>
    <w:rsid w:val="6AC94A9A"/>
    <w:rsid w:val="77A3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58AD26-4E08-422A-A0E7-9F0F2C0F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sz w:val="28"/>
    </w:rPr>
  </w:style>
  <w:style w:type="paragraph" w:styleId="a5">
    <w:name w:val="Date"/>
    <w:basedOn w:val="a"/>
    <w:next w:val="a"/>
    <w:qFormat/>
    <w:pPr>
      <w:ind w:leftChars="2500" w:left="100"/>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Pr>
      <w:rFonts w:ascii="Calibri" w:hAnsi="Calibri"/>
      <w:sz w:val="24"/>
    </w:rPr>
  </w:style>
  <w:style w:type="table" w:styleId="ab">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page number"/>
    <w:qFormat/>
  </w:style>
  <w:style w:type="character" w:styleId="ae">
    <w:name w:val="Emphasis"/>
    <w:qFormat/>
    <w:rPr>
      <w:i/>
    </w:rPr>
  </w:style>
  <w:style w:type="character" w:styleId="af">
    <w:name w:val="Hyperlink"/>
    <w:uiPriority w:val="99"/>
    <w:qFormat/>
    <w:rPr>
      <w:rFonts w:cs="Times New Roman"/>
      <w:color w:val="0000FF"/>
      <w:u w:val="single"/>
    </w:rPr>
  </w:style>
  <w:style w:type="character" w:customStyle="1" w:styleId="10">
    <w:name w:val="标题 1 字符"/>
    <w:link w:val="1"/>
    <w:uiPriority w:val="9"/>
    <w:qFormat/>
    <w:rPr>
      <w:rFonts w:ascii="Calibri" w:hAnsi="Calibri"/>
      <w:b/>
      <w:bCs/>
      <w:kern w:val="44"/>
      <w:sz w:val="44"/>
      <w:szCs w:val="44"/>
    </w:rPr>
  </w:style>
  <w:style w:type="character" w:customStyle="1" w:styleId="20">
    <w:name w:val="标题 2 字符"/>
    <w:link w:val="2"/>
    <w:uiPriority w:val="9"/>
    <w:qFormat/>
    <w:rPr>
      <w:rFonts w:ascii="Calibri Light" w:hAnsi="Calibri Light"/>
      <w:b/>
      <w:bCs/>
      <w:kern w:val="2"/>
      <w:sz w:val="32"/>
      <w:szCs w:val="32"/>
    </w:rPr>
  </w:style>
  <w:style w:type="character" w:customStyle="1" w:styleId="a4">
    <w:name w:val="正文文本 字符"/>
    <w:link w:val="a3"/>
    <w:qFormat/>
    <w:rPr>
      <w:kern w:val="2"/>
      <w:sz w:val="28"/>
      <w:szCs w:val="24"/>
    </w:rPr>
  </w:style>
  <w:style w:type="character" w:customStyle="1" w:styleId="a7">
    <w:name w:val="批注框文本 字符"/>
    <w:link w:val="a6"/>
    <w:qFormat/>
    <w:rPr>
      <w:kern w:val="2"/>
      <w:sz w:val="18"/>
      <w:szCs w:val="18"/>
    </w:rPr>
  </w:style>
  <w:style w:type="paragraph" w:styleId="af0">
    <w:name w:val="List Paragraph"/>
    <w:basedOn w:val="a"/>
    <w:uiPriority w:val="34"/>
    <w:qFormat/>
    <w:pPr>
      <w:ind w:firstLineChars="200" w:firstLine="420"/>
    </w:pPr>
    <w:rPr>
      <w:rFonts w:ascii="Calibri" w:hAnsi="Calibri"/>
      <w:szCs w:val="22"/>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msolistparagraph0">
    <w:name w:val="msolistparagraph"/>
    <w:basedOn w:val="a"/>
    <w:qFormat/>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2124</Characters>
  <Application>Microsoft Office Word</Application>
  <DocSecurity>0</DocSecurity>
  <Lines>17</Lines>
  <Paragraphs>4</Paragraphs>
  <ScaleCrop>false</ScaleCrop>
  <Company>SC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四川省上市公司协会文件</dc:title>
  <dc:creator>Li</dc:creator>
  <cp:lastModifiedBy>Administrator</cp:lastModifiedBy>
  <cp:revision>14</cp:revision>
  <cp:lastPrinted>2023-08-31T02:47:00Z</cp:lastPrinted>
  <dcterms:created xsi:type="dcterms:W3CDTF">2023-03-24T02:05:00Z</dcterms:created>
  <dcterms:modified xsi:type="dcterms:W3CDTF">2023-08-31T09:29:00Z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A7AFEB7F83B4479DAF7F177D504374E6_13</vt:lpwstr>
  </property>
</Properties>
</file>