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eastAsia="宋体"/>
          <w:sz w:val="24"/>
          <w:szCs w:val="24"/>
        </w:rPr>
      </w:pPr>
      <w:r>
        <w:rPr>
          <w:rFonts w:ascii="宋体" w:hAnsi="宋体" w:eastAsia="宋体"/>
          <w:sz w:val="24"/>
          <w:szCs w:val="24"/>
        </w:rPr>
        <w:t>证券代码：</w:t>
      </w:r>
      <w:r>
        <w:rPr>
          <w:rFonts w:hint="eastAsia" w:ascii="宋体" w:hAnsi="宋体" w:eastAsia="宋体"/>
          <w:sz w:val="24"/>
          <w:szCs w:val="24"/>
        </w:rPr>
        <w:t>600887</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证券简称：</w:t>
      </w:r>
      <w:r>
        <w:rPr>
          <w:rFonts w:hint="eastAsia" w:ascii="宋体" w:hAnsi="宋体" w:eastAsia="宋体"/>
          <w:sz w:val="24"/>
          <w:szCs w:val="24"/>
        </w:rPr>
        <w:t>伊利股份</w:t>
      </w:r>
    </w:p>
    <w:p>
      <w:pPr>
        <w:spacing w:line="360" w:lineRule="auto"/>
        <w:jc w:val="center"/>
        <w:rPr>
          <w:b/>
          <w:bCs/>
          <w:sz w:val="24"/>
          <w:szCs w:val="24"/>
        </w:rPr>
      </w:pPr>
      <w:r>
        <w:rPr>
          <w:rFonts w:hint="eastAsia"/>
          <w:b/>
          <w:bCs/>
          <w:sz w:val="24"/>
          <w:szCs w:val="24"/>
        </w:rPr>
        <w:t>内蒙古伊利实业集团股份有限公司</w:t>
      </w:r>
    </w:p>
    <w:p>
      <w:pPr>
        <w:spacing w:line="360" w:lineRule="auto"/>
        <w:jc w:val="center"/>
        <w:rPr>
          <w:b/>
          <w:bCs/>
          <w:sz w:val="24"/>
          <w:szCs w:val="24"/>
        </w:rPr>
      </w:pPr>
      <w:r>
        <w:rPr>
          <w:b/>
          <w:bCs/>
          <w:sz w:val="24"/>
          <w:szCs w:val="24"/>
        </w:rPr>
        <w:t>投资者关系活动记录表</w:t>
      </w:r>
    </w:p>
    <w:p>
      <w:pPr>
        <w:spacing w:line="360" w:lineRule="auto"/>
        <w:ind w:right="1200"/>
        <w:jc w:val="right"/>
        <w:rPr>
          <w:sz w:val="24"/>
          <w:szCs w:val="24"/>
        </w:rPr>
      </w:pPr>
      <w:r>
        <w:rPr>
          <w:rFonts w:hint="eastAsia"/>
          <w:sz w:val="24"/>
          <w:szCs w:val="24"/>
        </w:rPr>
        <w:t>编号：202</w:t>
      </w:r>
      <w:r>
        <w:rPr>
          <w:sz w:val="24"/>
          <w:szCs w:val="24"/>
        </w:rPr>
        <w:t>3</w:t>
      </w:r>
      <w:r>
        <w:rPr>
          <w:rFonts w:hint="eastAsia"/>
          <w:sz w:val="24"/>
          <w:szCs w:val="24"/>
        </w:rPr>
        <w:t>0</w:t>
      </w:r>
      <w:r>
        <w:rPr>
          <w:sz w:val="24"/>
          <w:szCs w:val="24"/>
        </w:rPr>
        <w:t>829</w:t>
      </w:r>
    </w:p>
    <w:tbl>
      <w:tblPr>
        <w:tblStyle w:val="9"/>
        <w:tblW w:w="8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6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0" w:hRule="atLeast"/>
          <w:jc w:val="center"/>
        </w:trPr>
        <w:tc>
          <w:tcPr>
            <w:tcW w:w="1695" w:type="dxa"/>
            <w:vAlign w:val="center"/>
          </w:tcPr>
          <w:p>
            <w:pPr>
              <w:spacing w:line="360" w:lineRule="auto"/>
              <w:jc w:val="center"/>
              <w:rPr>
                <w:rFonts w:hint="eastAsia" w:ascii="Liberation Serif" w:hAnsi="Liberation Serif" w:eastAsia="宋体" w:cs="Arial"/>
                <w:kern w:val="0"/>
                <w:sz w:val="24"/>
                <w:szCs w:val="24"/>
              </w:rPr>
            </w:pPr>
            <w:r>
              <w:rPr>
                <w:rFonts w:hint="eastAsia" w:ascii="Liberation Serif" w:hAnsi="Liberation Serif" w:eastAsia="宋体" w:cs="Arial"/>
                <w:kern w:val="0"/>
                <w:sz w:val="24"/>
                <w:szCs w:val="24"/>
              </w:rPr>
              <w:t>投资者关系</w:t>
            </w:r>
          </w:p>
          <w:p>
            <w:pPr>
              <w:spacing w:line="360" w:lineRule="auto"/>
              <w:jc w:val="center"/>
              <w:rPr>
                <w:rFonts w:hint="eastAsia" w:ascii="Liberation Serif" w:hAnsi="Liberation Serif" w:eastAsia="宋体" w:cs="Arial"/>
                <w:kern w:val="0"/>
                <w:sz w:val="24"/>
                <w:szCs w:val="24"/>
              </w:rPr>
            </w:pPr>
            <w:r>
              <w:rPr>
                <w:rFonts w:hint="eastAsia" w:ascii="Liberation Serif" w:hAnsi="Liberation Serif" w:eastAsia="宋体" w:cs="Arial"/>
                <w:kern w:val="0"/>
                <w:sz w:val="24"/>
                <w:szCs w:val="24"/>
              </w:rPr>
              <w:t>活动类别</w:t>
            </w:r>
          </w:p>
        </w:tc>
        <w:tc>
          <w:tcPr>
            <w:tcW w:w="6793" w:type="dxa"/>
            <w:vAlign w:val="center"/>
          </w:tcPr>
          <w:p>
            <w:pPr>
              <w:spacing w:line="360" w:lineRule="auto"/>
              <w:jc w:val="left"/>
              <w:rPr>
                <w:rFonts w:hint="eastAsia" w:ascii="Liberation Serif" w:hAnsi="Liberation Serif" w:eastAsia="宋体" w:cs="Arial"/>
                <w:kern w:val="0"/>
                <w:sz w:val="24"/>
                <w:szCs w:val="24"/>
              </w:rPr>
            </w:pPr>
            <w:r>
              <w:rPr>
                <w:rFonts w:hint="eastAsia" w:ascii="Liberation Serif" w:hAnsi="Liberation Serif" w:eastAsia="宋体" w:cs="Arial"/>
                <w:kern w:val="0"/>
                <w:sz w:val="24"/>
                <w:szCs w:val="24"/>
              </w:rPr>
              <w:sym w:font="Wingdings 2" w:char="00A3"/>
            </w:r>
            <w:r>
              <w:rPr>
                <w:rFonts w:hint="eastAsia" w:ascii="Liberation Serif" w:hAnsi="Liberation Serif" w:eastAsia="宋体" w:cs="Arial"/>
                <w:kern w:val="0"/>
                <w:sz w:val="24"/>
                <w:szCs w:val="24"/>
              </w:rPr>
              <w:t xml:space="preserve">特定对象调研      </w:t>
            </w:r>
            <w:r>
              <w:rPr>
                <w:rFonts w:ascii="Liberation Serif" w:hAnsi="Liberation Serif" w:eastAsia="宋体" w:cs="Arial"/>
                <w:kern w:val="0"/>
                <w:sz w:val="24"/>
                <w:szCs w:val="24"/>
              </w:rPr>
              <w:t xml:space="preserve"> </w:t>
            </w:r>
            <w:r>
              <w:rPr>
                <w:rFonts w:hint="eastAsia" w:ascii="Liberation Serif" w:hAnsi="Liberation Serif" w:eastAsia="宋体" w:cs="Arial"/>
                <w:kern w:val="0"/>
                <w:sz w:val="24"/>
                <w:szCs w:val="24"/>
              </w:rPr>
              <w:sym w:font="Wingdings 2" w:char="00A3"/>
            </w:r>
            <w:r>
              <w:rPr>
                <w:rFonts w:hint="eastAsia" w:ascii="Liberation Serif" w:hAnsi="Liberation Serif" w:eastAsia="宋体" w:cs="Arial"/>
                <w:kern w:val="0"/>
                <w:sz w:val="24"/>
                <w:szCs w:val="24"/>
              </w:rPr>
              <w:t>分析师会议</w:t>
            </w:r>
          </w:p>
          <w:p>
            <w:pPr>
              <w:spacing w:line="360" w:lineRule="auto"/>
              <w:jc w:val="left"/>
              <w:rPr>
                <w:rFonts w:hint="eastAsia" w:ascii="Liberation Serif" w:hAnsi="Liberation Serif" w:eastAsia="宋体" w:cs="Arial"/>
                <w:kern w:val="0"/>
                <w:sz w:val="24"/>
                <w:szCs w:val="24"/>
              </w:rPr>
            </w:pPr>
            <w:r>
              <w:rPr>
                <w:rFonts w:hint="eastAsia" w:ascii="Liberation Serif" w:hAnsi="Liberation Serif" w:eastAsia="宋体" w:cs="Arial"/>
                <w:kern w:val="0"/>
                <w:sz w:val="24"/>
                <w:szCs w:val="24"/>
              </w:rPr>
              <w:sym w:font="Wingdings 2" w:char="00A3"/>
            </w:r>
            <w:r>
              <w:rPr>
                <w:rFonts w:hint="eastAsia" w:ascii="Liberation Serif" w:hAnsi="Liberation Serif" w:eastAsia="宋体" w:cs="Arial"/>
                <w:kern w:val="0"/>
                <w:sz w:val="24"/>
                <w:szCs w:val="24"/>
              </w:rPr>
              <w:t xml:space="preserve">媒体采访        </w:t>
            </w:r>
            <w:r>
              <w:rPr>
                <w:rFonts w:ascii="Liberation Serif" w:hAnsi="Liberation Serif" w:eastAsia="宋体" w:cs="Arial"/>
                <w:kern w:val="0"/>
                <w:sz w:val="24"/>
                <w:szCs w:val="24"/>
              </w:rPr>
              <w:t xml:space="preserve"> </w:t>
            </w:r>
            <w:r>
              <w:rPr>
                <w:rFonts w:hint="eastAsia" w:ascii="Liberation Serif" w:hAnsi="Liberation Serif" w:eastAsia="宋体" w:cs="Arial"/>
                <w:kern w:val="0"/>
                <w:sz w:val="24"/>
                <w:szCs w:val="24"/>
              </w:rPr>
              <w:t xml:space="preserve">  </w:t>
            </w:r>
            <w:r>
              <w:rPr>
                <w:rFonts w:hint="eastAsia" w:ascii="Liberation Serif" w:hAnsi="Liberation Serif" w:eastAsia="宋体" w:cs="Arial"/>
                <w:kern w:val="0"/>
                <w:sz w:val="24"/>
                <w:szCs w:val="24"/>
              </w:rPr>
              <w:sym w:font="Wingdings 2" w:char="0052"/>
            </w:r>
            <w:r>
              <w:rPr>
                <w:rFonts w:hint="eastAsia" w:ascii="Liberation Serif" w:hAnsi="Liberation Serif" w:eastAsia="宋体" w:cs="Arial"/>
                <w:kern w:val="0"/>
                <w:sz w:val="24"/>
                <w:szCs w:val="24"/>
              </w:rPr>
              <w:t>业绩说明会</w:t>
            </w:r>
          </w:p>
          <w:p>
            <w:pPr>
              <w:spacing w:line="360" w:lineRule="auto"/>
              <w:jc w:val="left"/>
              <w:rPr>
                <w:rFonts w:hint="eastAsia" w:ascii="Liberation Serif" w:hAnsi="Liberation Serif" w:eastAsia="宋体" w:cs="Arial"/>
                <w:kern w:val="0"/>
                <w:sz w:val="24"/>
                <w:szCs w:val="24"/>
              </w:rPr>
            </w:pPr>
            <w:r>
              <w:rPr>
                <w:rFonts w:hint="eastAsia" w:ascii="Liberation Serif" w:hAnsi="Liberation Serif" w:eastAsia="宋体" w:cs="Arial"/>
                <w:kern w:val="0"/>
                <w:sz w:val="24"/>
                <w:szCs w:val="24"/>
              </w:rPr>
              <w:sym w:font="Wingdings 2" w:char="00A3"/>
            </w:r>
            <w:r>
              <w:rPr>
                <w:rFonts w:hint="eastAsia" w:ascii="Liberation Serif" w:hAnsi="Liberation Serif" w:eastAsia="宋体" w:cs="Arial"/>
                <w:kern w:val="0"/>
                <w:sz w:val="24"/>
                <w:szCs w:val="24"/>
              </w:rPr>
              <w:t xml:space="preserve">新闻发布会     </w:t>
            </w:r>
            <w:r>
              <w:rPr>
                <w:rFonts w:ascii="Liberation Serif" w:hAnsi="Liberation Serif" w:eastAsia="宋体" w:cs="Arial"/>
                <w:kern w:val="0"/>
                <w:sz w:val="24"/>
                <w:szCs w:val="24"/>
              </w:rPr>
              <w:t xml:space="preserve"> </w:t>
            </w:r>
            <w:r>
              <w:rPr>
                <w:rFonts w:hint="eastAsia" w:ascii="Liberation Serif" w:hAnsi="Liberation Serif" w:eastAsia="宋体" w:cs="Arial"/>
                <w:kern w:val="0"/>
                <w:sz w:val="24"/>
                <w:szCs w:val="24"/>
              </w:rPr>
              <w:t xml:space="preserve">   </w:t>
            </w:r>
            <w:r>
              <w:rPr>
                <w:rFonts w:hint="eastAsia" w:ascii="Liberation Serif" w:hAnsi="Liberation Serif" w:eastAsia="宋体" w:cs="Arial"/>
                <w:kern w:val="0"/>
                <w:sz w:val="24"/>
                <w:szCs w:val="24"/>
              </w:rPr>
              <w:sym w:font="Wingdings 2" w:char="00A3"/>
            </w:r>
            <w:r>
              <w:rPr>
                <w:rFonts w:hint="eastAsia" w:ascii="Liberation Serif" w:hAnsi="Liberation Serif" w:eastAsia="宋体" w:cs="Arial"/>
                <w:kern w:val="0"/>
                <w:sz w:val="24"/>
                <w:szCs w:val="24"/>
              </w:rPr>
              <w:t>路演活动</w:t>
            </w:r>
          </w:p>
          <w:p>
            <w:pPr>
              <w:spacing w:line="360" w:lineRule="auto"/>
              <w:jc w:val="left"/>
              <w:rPr>
                <w:rFonts w:hint="eastAsia" w:ascii="Liberation Serif" w:hAnsi="Liberation Serif" w:eastAsia="宋体" w:cs="Arial"/>
                <w:kern w:val="0"/>
                <w:sz w:val="24"/>
                <w:szCs w:val="24"/>
              </w:rPr>
            </w:pPr>
            <w:r>
              <w:rPr>
                <w:rFonts w:hint="eastAsia" w:ascii="Liberation Serif" w:hAnsi="Liberation Serif" w:eastAsia="宋体" w:cs="Arial"/>
                <w:kern w:val="0"/>
                <w:sz w:val="24"/>
                <w:szCs w:val="24"/>
              </w:rPr>
              <w:sym w:font="Wingdings 2" w:char="00A3"/>
            </w:r>
            <w:r>
              <w:rPr>
                <w:rFonts w:hint="eastAsia" w:ascii="Liberation Serif" w:hAnsi="Liberation Serif" w:eastAsia="宋体" w:cs="Arial"/>
                <w:kern w:val="0"/>
                <w:sz w:val="24"/>
                <w:szCs w:val="24"/>
              </w:rPr>
              <w:t xml:space="preserve">现场参观 </w:t>
            </w:r>
            <w:r>
              <w:rPr>
                <w:rFonts w:ascii="Liberation Serif" w:hAnsi="Liberation Serif" w:eastAsia="宋体" w:cs="Arial"/>
                <w:kern w:val="0"/>
                <w:sz w:val="24"/>
                <w:szCs w:val="24"/>
              </w:rPr>
              <w:t xml:space="preserve">          </w:t>
            </w:r>
            <w:r>
              <w:rPr>
                <w:rFonts w:hint="eastAsia" w:ascii="Liberation Serif" w:hAnsi="Liberation Serif" w:eastAsia="宋体" w:cs="Arial"/>
                <w:kern w:val="0"/>
                <w:sz w:val="24"/>
                <w:szCs w:val="24"/>
              </w:rPr>
              <w:sym w:font="Wingdings 2" w:char="00A3"/>
            </w:r>
            <w:r>
              <w:rPr>
                <w:rFonts w:hint="eastAsia" w:ascii="Liberation Serif" w:hAnsi="Liberation Serif" w:eastAsia="宋体" w:cs="Arial"/>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jc w:val="center"/>
        </w:trPr>
        <w:tc>
          <w:tcPr>
            <w:tcW w:w="1695" w:type="dxa"/>
            <w:vAlign w:val="center"/>
          </w:tcPr>
          <w:p>
            <w:pPr>
              <w:spacing w:line="360" w:lineRule="auto"/>
              <w:jc w:val="center"/>
              <w:rPr>
                <w:rFonts w:hint="eastAsia" w:ascii="Liberation Serif" w:hAnsi="Liberation Serif" w:eastAsia="宋体" w:cs="Arial"/>
                <w:kern w:val="0"/>
                <w:sz w:val="24"/>
                <w:szCs w:val="24"/>
              </w:rPr>
            </w:pPr>
            <w:r>
              <w:rPr>
                <w:rFonts w:hint="eastAsia" w:ascii="Liberation Serif" w:hAnsi="Liberation Serif" w:eastAsia="宋体" w:cs="Arial"/>
                <w:kern w:val="0"/>
                <w:sz w:val="24"/>
                <w:szCs w:val="24"/>
              </w:rPr>
              <w:t>参与单位名称及人员姓名</w:t>
            </w:r>
          </w:p>
        </w:tc>
        <w:tc>
          <w:tcPr>
            <w:tcW w:w="6793" w:type="dxa"/>
          </w:tcPr>
          <w:p>
            <w:pPr>
              <w:spacing w:line="360" w:lineRule="auto"/>
              <w:jc w:val="left"/>
              <w:rPr>
                <w:rFonts w:cs="Arial" w:asciiTheme="minorEastAsia" w:hAnsiTheme="minorEastAsia"/>
                <w:kern w:val="0"/>
                <w:sz w:val="24"/>
                <w:szCs w:val="24"/>
              </w:rPr>
            </w:pPr>
            <w:r>
              <w:rPr>
                <w:rFonts w:hint="eastAsia" w:cs="Arial" w:asciiTheme="minorEastAsia" w:hAnsiTheme="minorEastAsia"/>
                <w:kern w:val="0"/>
                <w:sz w:val="24"/>
                <w:szCs w:val="24"/>
              </w:rPr>
              <w:t>参与伊利股份2023年半年度业绩说明会的广大投资者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695" w:type="dxa"/>
            <w:vAlign w:val="center"/>
          </w:tcPr>
          <w:p>
            <w:pPr>
              <w:spacing w:line="360" w:lineRule="auto"/>
              <w:jc w:val="center"/>
              <w:rPr>
                <w:rFonts w:hint="eastAsia" w:ascii="Liberation Serif" w:hAnsi="Liberation Serif" w:eastAsia="宋体" w:cs="Arial"/>
                <w:kern w:val="0"/>
                <w:sz w:val="24"/>
                <w:szCs w:val="24"/>
              </w:rPr>
            </w:pPr>
            <w:r>
              <w:rPr>
                <w:rFonts w:hint="eastAsia" w:ascii="Liberation Serif" w:hAnsi="Liberation Serif" w:eastAsia="宋体" w:cs="Arial"/>
                <w:kern w:val="0"/>
                <w:sz w:val="24"/>
                <w:szCs w:val="24"/>
              </w:rPr>
              <w:t xml:space="preserve">时 </w:t>
            </w:r>
            <w:r>
              <w:rPr>
                <w:rFonts w:ascii="Liberation Serif" w:hAnsi="Liberation Serif" w:eastAsia="宋体" w:cs="Arial"/>
                <w:kern w:val="0"/>
                <w:sz w:val="24"/>
                <w:szCs w:val="24"/>
              </w:rPr>
              <w:t xml:space="preserve"> </w:t>
            </w:r>
            <w:r>
              <w:rPr>
                <w:rFonts w:hint="eastAsia" w:ascii="Liberation Serif" w:hAnsi="Liberation Serif" w:eastAsia="宋体" w:cs="Arial"/>
                <w:kern w:val="0"/>
                <w:sz w:val="24"/>
                <w:szCs w:val="24"/>
              </w:rPr>
              <w:t>间</w:t>
            </w:r>
          </w:p>
        </w:tc>
        <w:tc>
          <w:tcPr>
            <w:tcW w:w="6793" w:type="dxa"/>
          </w:tcPr>
          <w:p>
            <w:pPr>
              <w:spacing w:line="360" w:lineRule="auto"/>
              <w:jc w:val="left"/>
              <w:rPr>
                <w:rFonts w:cs="Arial" w:asciiTheme="minorEastAsia" w:hAnsiTheme="minorEastAsia"/>
                <w:kern w:val="0"/>
                <w:sz w:val="24"/>
                <w:szCs w:val="24"/>
              </w:rPr>
            </w:pPr>
            <w:r>
              <w:rPr>
                <w:rFonts w:hint="eastAsia" w:cs="Arial" w:asciiTheme="minorEastAsia" w:hAnsiTheme="minorEastAsia"/>
                <w:kern w:val="0"/>
                <w:sz w:val="24"/>
                <w:szCs w:val="24"/>
              </w:rPr>
              <w:t>202</w:t>
            </w:r>
            <w:r>
              <w:rPr>
                <w:rFonts w:cs="Arial" w:asciiTheme="minorEastAsia" w:hAnsiTheme="minorEastAsia"/>
                <w:kern w:val="0"/>
                <w:sz w:val="24"/>
                <w:szCs w:val="24"/>
              </w:rPr>
              <w:t>3</w:t>
            </w:r>
            <w:r>
              <w:rPr>
                <w:rFonts w:hint="eastAsia" w:cs="Arial" w:asciiTheme="minorEastAsia" w:hAnsiTheme="minorEastAsia"/>
                <w:kern w:val="0"/>
                <w:sz w:val="24"/>
                <w:szCs w:val="24"/>
              </w:rPr>
              <w:t>年</w:t>
            </w:r>
            <w:r>
              <w:rPr>
                <w:rFonts w:cs="Arial" w:asciiTheme="minorEastAsia" w:hAnsiTheme="minorEastAsia"/>
                <w:kern w:val="0"/>
                <w:sz w:val="24"/>
                <w:szCs w:val="24"/>
              </w:rPr>
              <w:t>8</w:t>
            </w:r>
            <w:r>
              <w:rPr>
                <w:rFonts w:hint="eastAsia" w:cs="Arial" w:asciiTheme="minorEastAsia" w:hAnsiTheme="minorEastAsia"/>
                <w:kern w:val="0"/>
                <w:sz w:val="24"/>
                <w:szCs w:val="24"/>
              </w:rPr>
              <w:t>月2</w:t>
            </w:r>
            <w:r>
              <w:rPr>
                <w:rFonts w:cs="Arial" w:asciiTheme="minorEastAsia" w:hAnsiTheme="minorEastAsia"/>
                <w:kern w:val="0"/>
                <w:sz w:val="24"/>
                <w:szCs w:val="24"/>
              </w:rPr>
              <w:t>9</w:t>
            </w:r>
            <w:r>
              <w:rPr>
                <w:rFonts w:hint="eastAsia" w:cs="Arial" w:asciiTheme="minorEastAsia" w:hAnsiTheme="minorEastAsia"/>
                <w:kern w:val="0"/>
                <w:sz w:val="24"/>
                <w:szCs w:val="24"/>
              </w:rPr>
              <w:t>日上午</w:t>
            </w:r>
            <w:r>
              <w:rPr>
                <w:rFonts w:cs="Arial" w:asciiTheme="minorEastAsia" w:hAnsiTheme="minorEastAsia"/>
                <w:kern w:val="0"/>
                <w:sz w:val="24"/>
                <w:szCs w:val="24"/>
              </w:rPr>
              <w:t>9</w:t>
            </w:r>
            <w:r>
              <w:rPr>
                <w:rFonts w:hint="eastAsia" w:cs="Arial" w:asciiTheme="minorEastAsia" w:hAnsiTheme="minorEastAsia"/>
                <w:kern w:val="0"/>
                <w:sz w:val="24"/>
                <w:szCs w:val="24"/>
              </w:rPr>
              <w:t>:</w:t>
            </w:r>
            <w:r>
              <w:rPr>
                <w:rFonts w:cs="Arial" w:asciiTheme="minorEastAsia" w:hAnsiTheme="minorEastAsia"/>
                <w:kern w:val="0"/>
                <w:sz w:val="24"/>
                <w:szCs w:val="24"/>
              </w:rPr>
              <w:t>0</w:t>
            </w:r>
            <w:r>
              <w:rPr>
                <w:rFonts w:hint="eastAsia" w:cs="Arial" w:asciiTheme="minorEastAsia" w:hAnsiTheme="minorEastAsia"/>
                <w:kern w:val="0"/>
                <w:sz w:val="24"/>
                <w:szCs w:val="24"/>
              </w:rPr>
              <w:t>0-10:30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695" w:type="dxa"/>
            <w:vAlign w:val="center"/>
          </w:tcPr>
          <w:p>
            <w:pPr>
              <w:spacing w:line="360" w:lineRule="auto"/>
              <w:jc w:val="center"/>
              <w:rPr>
                <w:rFonts w:hint="eastAsia" w:ascii="Liberation Serif" w:hAnsi="Liberation Serif" w:eastAsia="宋体" w:cs="Arial"/>
                <w:kern w:val="0"/>
                <w:sz w:val="24"/>
                <w:szCs w:val="24"/>
              </w:rPr>
            </w:pPr>
            <w:r>
              <w:rPr>
                <w:rFonts w:hint="eastAsia" w:ascii="Liberation Serif" w:hAnsi="Liberation Serif" w:eastAsia="宋体" w:cs="Arial"/>
                <w:kern w:val="0"/>
                <w:sz w:val="24"/>
                <w:szCs w:val="24"/>
              </w:rPr>
              <w:t xml:space="preserve">地 </w:t>
            </w:r>
            <w:r>
              <w:rPr>
                <w:rFonts w:ascii="Liberation Serif" w:hAnsi="Liberation Serif" w:eastAsia="宋体" w:cs="Arial"/>
                <w:kern w:val="0"/>
                <w:sz w:val="24"/>
                <w:szCs w:val="24"/>
              </w:rPr>
              <w:t xml:space="preserve"> </w:t>
            </w:r>
            <w:r>
              <w:rPr>
                <w:rFonts w:hint="eastAsia" w:ascii="Liberation Serif" w:hAnsi="Liberation Serif" w:eastAsia="宋体" w:cs="Arial"/>
                <w:kern w:val="0"/>
                <w:sz w:val="24"/>
                <w:szCs w:val="24"/>
              </w:rPr>
              <w:t>点</w:t>
            </w:r>
          </w:p>
        </w:tc>
        <w:tc>
          <w:tcPr>
            <w:tcW w:w="6793" w:type="dxa"/>
          </w:tcPr>
          <w:p>
            <w:pPr>
              <w:spacing w:line="360" w:lineRule="auto"/>
              <w:jc w:val="left"/>
              <w:rPr>
                <w:rFonts w:hint="eastAsia" w:ascii="Liberation Serif" w:hAnsi="Liberation Serif" w:eastAsia="宋体" w:cs="Arial"/>
                <w:kern w:val="0"/>
                <w:sz w:val="24"/>
                <w:szCs w:val="24"/>
              </w:rPr>
            </w:pPr>
            <w:r>
              <w:rPr>
                <w:rFonts w:hint="eastAsia" w:ascii="Liberation Serif" w:hAnsi="Liberation Serif" w:eastAsia="宋体" w:cs="Arial"/>
                <w:kern w:val="0"/>
                <w:sz w:val="24"/>
                <w:szCs w:val="24"/>
              </w:rPr>
              <w:t>电话会议及网络音频直播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1695" w:type="dxa"/>
            <w:vAlign w:val="center"/>
          </w:tcPr>
          <w:p>
            <w:pPr>
              <w:spacing w:line="360" w:lineRule="auto"/>
              <w:jc w:val="center"/>
              <w:rPr>
                <w:rFonts w:hint="eastAsia" w:ascii="Liberation Serif" w:hAnsi="Liberation Serif" w:eastAsia="宋体" w:cs="Arial"/>
                <w:kern w:val="0"/>
                <w:sz w:val="24"/>
                <w:szCs w:val="24"/>
              </w:rPr>
            </w:pPr>
            <w:r>
              <w:rPr>
                <w:rFonts w:hint="eastAsia" w:ascii="Liberation Serif" w:hAnsi="Liberation Serif" w:eastAsia="宋体" w:cs="Arial"/>
                <w:kern w:val="0"/>
                <w:sz w:val="24"/>
                <w:szCs w:val="24"/>
              </w:rPr>
              <w:t>公司接待</w:t>
            </w:r>
          </w:p>
          <w:p>
            <w:pPr>
              <w:spacing w:line="360" w:lineRule="auto"/>
              <w:jc w:val="center"/>
              <w:rPr>
                <w:rFonts w:hint="eastAsia" w:ascii="Liberation Serif" w:hAnsi="Liberation Serif" w:eastAsia="宋体" w:cs="Arial"/>
                <w:kern w:val="0"/>
                <w:sz w:val="24"/>
                <w:szCs w:val="24"/>
              </w:rPr>
            </w:pPr>
            <w:r>
              <w:rPr>
                <w:rFonts w:hint="eastAsia" w:ascii="Liberation Serif" w:hAnsi="Liberation Serif" w:eastAsia="宋体" w:cs="Arial"/>
                <w:kern w:val="0"/>
                <w:sz w:val="24"/>
                <w:szCs w:val="24"/>
              </w:rPr>
              <w:t>人员姓名</w:t>
            </w:r>
          </w:p>
        </w:tc>
        <w:tc>
          <w:tcPr>
            <w:tcW w:w="6793" w:type="dxa"/>
          </w:tcPr>
          <w:p>
            <w:pPr>
              <w:spacing w:line="360" w:lineRule="auto"/>
              <w:jc w:val="left"/>
              <w:rPr>
                <w:rFonts w:hint="eastAsia" w:ascii="Liberation Serif" w:hAnsi="Liberation Serif" w:eastAsia="宋体" w:cs="Arial"/>
                <w:kern w:val="0"/>
                <w:sz w:val="24"/>
                <w:szCs w:val="24"/>
              </w:rPr>
            </w:pPr>
            <w:r>
              <w:rPr>
                <w:rFonts w:hint="eastAsia" w:ascii="Liberation Serif" w:hAnsi="Liberation Serif" w:eastAsia="宋体" w:cs="Arial"/>
                <w:kern w:val="0"/>
                <w:sz w:val="24"/>
                <w:szCs w:val="24"/>
              </w:rPr>
              <w:t>董事会秘书邱向敏先生、投资者关系部总经理赵琳女士等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6" w:hRule="atLeast"/>
          <w:jc w:val="center"/>
        </w:trPr>
        <w:tc>
          <w:tcPr>
            <w:tcW w:w="1695" w:type="dxa"/>
            <w:vAlign w:val="center"/>
          </w:tcPr>
          <w:p>
            <w:pPr>
              <w:spacing w:line="360" w:lineRule="auto"/>
              <w:jc w:val="center"/>
              <w:rPr>
                <w:rFonts w:hint="eastAsia" w:ascii="Liberation Serif" w:hAnsi="Liberation Serif" w:eastAsia="宋体" w:cs="Arial"/>
                <w:kern w:val="0"/>
                <w:sz w:val="24"/>
                <w:szCs w:val="24"/>
              </w:rPr>
            </w:pPr>
            <w:r>
              <w:rPr>
                <w:rFonts w:hint="eastAsia" w:ascii="Liberation Serif" w:hAnsi="Liberation Serif" w:eastAsia="宋体" w:cs="Arial"/>
                <w:kern w:val="0"/>
                <w:sz w:val="24"/>
                <w:szCs w:val="24"/>
              </w:rPr>
              <w:t>投资者关系 活动主要内容</w:t>
            </w:r>
          </w:p>
        </w:tc>
        <w:tc>
          <w:tcPr>
            <w:tcW w:w="6793" w:type="dxa"/>
          </w:tcPr>
          <w:p>
            <w:pPr>
              <w:widowControl/>
              <w:shd w:val="clear" w:color="auto" w:fill="FFFFFF"/>
              <w:spacing w:line="360" w:lineRule="auto"/>
              <w:ind w:firstLine="33"/>
              <w:jc w:val="left"/>
              <w:rPr>
                <w:rFonts w:ascii="宋体" w:hAnsi="宋体"/>
                <w:color w:val="000000"/>
                <w:sz w:val="24"/>
                <w:szCs w:val="24"/>
              </w:rPr>
            </w:pPr>
            <w:r>
              <w:rPr>
                <w:rFonts w:hint="eastAsia" w:ascii="宋体" w:hAnsi="宋体" w:eastAsia="宋体" w:cs="宋体"/>
                <w:kern w:val="0"/>
                <w:sz w:val="24"/>
                <w:szCs w:val="24"/>
              </w:rPr>
              <w:t>一、</w:t>
            </w:r>
            <w:r>
              <w:rPr>
                <w:rFonts w:hint="eastAsia" w:ascii="宋体" w:hAnsi="宋体"/>
                <w:color w:val="000000"/>
                <w:sz w:val="24"/>
                <w:szCs w:val="24"/>
              </w:rPr>
              <w:t>公司</w:t>
            </w:r>
            <w:r>
              <w:rPr>
                <w:rFonts w:hint="eastAsia" w:ascii="Liberation Serif" w:hAnsi="Liberation Serif" w:eastAsia="宋体" w:cs="Arial"/>
                <w:kern w:val="0"/>
                <w:sz w:val="24"/>
                <w:szCs w:val="24"/>
              </w:rPr>
              <w:t>投资者关系部总经理赵琳女士</w:t>
            </w:r>
            <w:r>
              <w:rPr>
                <w:rFonts w:hint="eastAsia" w:ascii="宋体" w:hAnsi="宋体"/>
                <w:color w:val="000000"/>
                <w:sz w:val="24"/>
                <w:szCs w:val="24"/>
              </w:rPr>
              <w:t>对伊利股份202</w:t>
            </w:r>
            <w:r>
              <w:rPr>
                <w:rFonts w:ascii="宋体" w:hAnsi="宋体"/>
                <w:color w:val="000000"/>
                <w:sz w:val="24"/>
                <w:szCs w:val="24"/>
              </w:rPr>
              <w:t>3</w:t>
            </w:r>
            <w:r>
              <w:rPr>
                <w:rFonts w:hint="eastAsia" w:ascii="宋体" w:hAnsi="宋体"/>
                <w:color w:val="000000"/>
                <w:sz w:val="24"/>
                <w:szCs w:val="24"/>
              </w:rPr>
              <w:t>年上半年的经营情况和财务表现进行了解读；公司管理层就投资者主要关注的问题与参会者进行了互动交流，互动环节主要内容如下。</w:t>
            </w:r>
          </w:p>
          <w:p>
            <w:pPr>
              <w:pStyle w:val="10"/>
              <w:numPr>
                <w:ilvl w:val="0"/>
                <w:numId w:val="1"/>
              </w:numPr>
              <w:autoSpaceDE w:val="0"/>
              <w:autoSpaceDN w:val="0"/>
              <w:adjustRightInd w:val="0"/>
              <w:spacing w:line="360" w:lineRule="auto"/>
              <w:ind w:firstLineChars="0"/>
              <w:jc w:val="left"/>
              <w:rPr>
                <w:rFonts w:ascii="宋体" w:hAnsi="宋体" w:eastAsia="宋体" w:cs="宋体"/>
                <w:kern w:val="0"/>
                <w:sz w:val="24"/>
                <w:szCs w:val="24"/>
              </w:rPr>
            </w:pPr>
            <w:r>
              <w:rPr>
                <w:rFonts w:hint="eastAsia" w:ascii="宋体" w:hAnsi="宋体" w:eastAsia="宋体" w:cs="宋体"/>
                <w:kern w:val="0"/>
                <w:sz w:val="24"/>
                <w:szCs w:val="24"/>
              </w:rPr>
              <w:t>与投资者互动交流环节</w:t>
            </w:r>
          </w:p>
          <w:p>
            <w:pPr>
              <w:pStyle w:val="2"/>
              <w:numPr>
                <w:ilvl w:val="0"/>
                <w:numId w:val="2"/>
              </w:numPr>
              <w:spacing w:line="360" w:lineRule="auto"/>
              <w:ind w:firstLineChars="0"/>
              <w:rPr>
                <w:sz w:val="24"/>
                <w:szCs w:val="24"/>
              </w:rPr>
            </w:pPr>
            <w:r>
              <w:rPr>
                <w:rFonts w:hint="eastAsia"/>
                <w:sz w:val="24"/>
                <w:szCs w:val="24"/>
              </w:rPr>
              <w:t>公司7-8月份的经营表现如何？对全年的收入和利润指引有没有新的变化？</w:t>
            </w:r>
          </w:p>
          <w:p>
            <w:pPr>
              <w:autoSpaceDE w:val="0"/>
              <w:autoSpaceDN w:val="0"/>
              <w:adjustRightInd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回答：</w:t>
            </w:r>
          </w:p>
          <w:p>
            <w:pPr>
              <w:pStyle w:val="2"/>
              <w:numPr>
                <w:ilvl w:val="0"/>
                <w:numId w:val="3"/>
              </w:numPr>
              <w:spacing w:line="360" w:lineRule="auto"/>
              <w:ind w:firstLineChars="0"/>
              <w:rPr>
                <w:sz w:val="24"/>
                <w:szCs w:val="24"/>
              </w:rPr>
            </w:pPr>
            <w:r>
              <w:rPr>
                <w:rFonts w:hint="eastAsia"/>
                <w:sz w:val="24"/>
                <w:szCs w:val="24"/>
              </w:rPr>
              <w:t>疫情这三年累积的影响，叠加外部环境的变化，都给国内经济带来了一些短期的挑战，虽然乳制品属于偏刚需的品类，但也受到疫情一定程度的影响。今年上半年，行业需求仍处在逐步恢复的过程中，公司业绩也在逐步改善。公司的常温液奶业务二季度</w:t>
            </w:r>
            <w:r>
              <w:rPr>
                <w:rFonts w:hint="eastAsia"/>
                <w:color w:val="auto"/>
                <w:sz w:val="24"/>
                <w:szCs w:val="24"/>
                <w:lang w:val="en-US" w:eastAsia="zh-CN"/>
              </w:rPr>
              <w:t>同比增长</w:t>
            </w:r>
            <w:r>
              <w:rPr>
                <w:rFonts w:hint="eastAsia"/>
                <w:color w:val="auto"/>
                <w:sz w:val="24"/>
                <w:szCs w:val="24"/>
              </w:rPr>
              <w:t>；</w:t>
            </w:r>
            <w:r>
              <w:rPr>
                <w:rFonts w:hint="eastAsia"/>
                <w:sz w:val="24"/>
                <w:szCs w:val="24"/>
              </w:rPr>
              <w:t>受人口出生率下降以及没有通过配方注册制的奶粉企业加大促销、清理库存的影响，婴儿粉行业上半年出现了双位数以上下滑，但公司的婴儿粉业务表现远好于行业，成人粉更是保持了稳定的双位数增长。公司的冷饮业务在去年高基数的情况下，今年上半年仍实现了20%以上的增长。</w:t>
            </w:r>
          </w:p>
          <w:p>
            <w:pPr>
              <w:pStyle w:val="2"/>
              <w:numPr>
                <w:ilvl w:val="0"/>
                <w:numId w:val="3"/>
              </w:numPr>
              <w:spacing w:line="360" w:lineRule="auto"/>
              <w:ind w:firstLineChars="0"/>
              <w:rPr>
                <w:sz w:val="24"/>
                <w:szCs w:val="24"/>
              </w:rPr>
            </w:pPr>
            <w:r>
              <w:rPr>
                <w:rFonts w:hint="eastAsia"/>
                <w:sz w:val="24"/>
                <w:szCs w:val="24"/>
              </w:rPr>
              <w:t>从7-8月份来看，因为去年7月公司主动控制了一下液奶的出货节奏，今年液奶7-8月同比增速还是不错的。婴儿粉7月还存在一些企业清理库存的影响，但进入8月份，这方面的影响在逐步减弱。</w:t>
            </w:r>
          </w:p>
          <w:p>
            <w:pPr>
              <w:pStyle w:val="10"/>
              <w:numPr>
                <w:ilvl w:val="0"/>
                <w:numId w:val="3"/>
              </w:numPr>
              <w:autoSpaceDE w:val="0"/>
              <w:autoSpaceDN w:val="0"/>
              <w:adjustRightInd w:val="0"/>
              <w:spacing w:line="360" w:lineRule="auto"/>
              <w:ind w:firstLineChars="0"/>
              <w:jc w:val="left"/>
              <w:rPr>
                <w:rFonts w:ascii="宋体" w:hAnsi="宋体" w:eastAsia="宋体" w:cs="宋体"/>
                <w:kern w:val="0"/>
                <w:sz w:val="24"/>
                <w:szCs w:val="24"/>
              </w:rPr>
            </w:pPr>
            <w:r>
              <w:rPr>
                <w:rFonts w:hint="eastAsia"/>
                <w:sz w:val="24"/>
                <w:szCs w:val="24"/>
              </w:rPr>
              <w:t>展望下半年，相信随着宏观经济面的进一步改善、消费刺激政策的落地，下半年行业也会迎来持续的复苏。希望下半年，无论是收入还是利润</w:t>
            </w:r>
            <w:r>
              <w:rPr>
                <w:rFonts w:hint="eastAsia"/>
                <w:sz w:val="24"/>
                <w:szCs w:val="24"/>
                <w:lang w:eastAsia="zh-CN"/>
              </w:rPr>
              <w:t>，</w:t>
            </w:r>
            <w:r>
              <w:rPr>
                <w:rFonts w:hint="eastAsia"/>
                <w:sz w:val="24"/>
                <w:szCs w:val="24"/>
              </w:rPr>
              <w:t>公司都能取得比上半年更好的增长。</w:t>
            </w:r>
          </w:p>
          <w:p>
            <w:pPr>
              <w:pStyle w:val="2"/>
              <w:numPr>
                <w:ilvl w:val="0"/>
                <w:numId w:val="2"/>
              </w:numPr>
              <w:spacing w:line="360" w:lineRule="auto"/>
              <w:ind w:firstLineChars="0"/>
              <w:rPr>
                <w:sz w:val="24"/>
                <w:szCs w:val="24"/>
              </w:rPr>
            </w:pPr>
            <w:r>
              <w:rPr>
                <w:rFonts w:hint="eastAsia"/>
                <w:sz w:val="24"/>
                <w:szCs w:val="24"/>
              </w:rPr>
              <w:t>上半年，婴儿粉行业面临一些挑战，公司婴儿粉业务是否也受到影响？二季度公司婴儿粉的收入和毛利率表现如何？如何展望婴儿粉行业和公司未来的表现？</w:t>
            </w:r>
          </w:p>
          <w:p>
            <w:pPr>
              <w:autoSpaceDE w:val="0"/>
              <w:autoSpaceDN w:val="0"/>
              <w:adjustRightInd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回答：</w:t>
            </w:r>
          </w:p>
          <w:p>
            <w:pPr>
              <w:pStyle w:val="10"/>
              <w:numPr>
                <w:ilvl w:val="0"/>
                <w:numId w:val="4"/>
              </w:numPr>
              <w:autoSpaceDE w:val="0"/>
              <w:autoSpaceDN w:val="0"/>
              <w:adjustRightInd w:val="0"/>
              <w:spacing w:line="360" w:lineRule="auto"/>
              <w:ind w:firstLineChars="0"/>
              <w:jc w:val="left"/>
              <w:rPr>
                <w:sz w:val="24"/>
                <w:szCs w:val="24"/>
              </w:rPr>
            </w:pPr>
            <w:r>
              <w:rPr>
                <w:rFonts w:hint="eastAsia"/>
                <w:sz w:val="24"/>
                <w:szCs w:val="24"/>
              </w:rPr>
              <w:t>考虑到人口出生率下滑的影响，婴儿粉行业短期承压；上半年，行业出现双位数下滑，但公司婴儿粉表现远好于行业。根据尼尔森数据，上半年，公司内生婴儿粉份额提升2个百分点，其中一段奶粉的份额提升更快一些，说明公司品牌力不断增强，对于新客的获取能力更强。</w:t>
            </w:r>
          </w:p>
          <w:p>
            <w:pPr>
              <w:pStyle w:val="10"/>
              <w:numPr>
                <w:ilvl w:val="0"/>
                <w:numId w:val="4"/>
              </w:numPr>
              <w:autoSpaceDE w:val="0"/>
              <w:autoSpaceDN w:val="0"/>
              <w:adjustRightInd w:val="0"/>
              <w:spacing w:line="360" w:lineRule="auto"/>
              <w:ind w:firstLineChars="0"/>
              <w:jc w:val="left"/>
              <w:rPr>
                <w:sz w:val="24"/>
                <w:szCs w:val="24"/>
              </w:rPr>
            </w:pPr>
            <w:r>
              <w:rPr>
                <w:rFonts w:hint="eastAsia"/>
                <w:sz w:val="24"/>
                <w:szCs w:val="24"/>
              </w:rPr>
              <w:t>进入二季度后，行业竞争阶段性加大，但为了保持良好的价值链体系，公司主动控制了婴儿粉的出货节奏，报表端收入因此受到一些影响；但终端动销情况良好，渠道库存水平健康，为后续更好的增长垫定了基础。上半年，奶粉及奶制品毛利率下降，主要有两方面原因：一是原料粉成本上涨，二是因为成人粉的增速比婴儿粉更快一些，但其毛利率比婴儿粉更低，所以对整体奶粉及奶制品的毛利率带来一定影响。</w:t>
            </w:r>
          </w:p>
          <w:p>
            <w:pPr>
              <w:pStyle w:val="10"/>
              <w:numPr>
                <w:ilvl w:val="0"/>
                <w:numId w:val="4"/>
              </w:numPr>
              <w:autoSpaceDE w:val="0"/>
              <w:autoSpaceDN w:val="0"/>
              <w:adjustRightInd w:val="0"/>
              <w:spacing w:line="360" w:lineRule="auto"/>
              <w:ind w:firstLineChars="0"/>
              <w:jc w:val="left"/>
              <w:rPr>
                <w:sz w:val="24"/>
                <w:szCs w:val="24"/>
              </w:rPr>
            </w:pPr>
            <w:r>
              <w:rPr>
                <w:rFonts w:hint="eastAsia"/>
                <w:sz w:val="24"/>
                <w:szCs w:val="24"/>
              </w:rPr>
              <w:t>预计未来几个月行业竞争会有所减弱，从8月份我们就看到市场上老配方产品有了明显减少，行业集中度预计会持续提升。对于公司而言，我们会在继续丰富现有产品的基础上，陆续上市一些新品，这些都为我们下半年更好的市场表现打下基础。</w:t>
            </w:r>
          </w:p>
          <w:p>
            <w:pPr>
              <w:pStyle w:val="2"/>
              <w:numPr>
                <w:ilvl w:val="0"/>
                <w:numId w:val="2"/>
              </w:numPr>
              <w:spacing w:line="360" w:lineRule="auto"/>
              <w:ind w:firstLineChars="0"/>
              <w:rPr>
                <w:sz w:val="24"/>
                <w:szCs w:val="24"/>
              </w:rPr>
            </w:pPr>
            <w:r>
              <w:rPr>
                <w:rFonts w:hint="eastAsia"/>
                <w:sz w:val="24"/>
                <w:szCs w:val="24"/>
              </w:rPr>
              <w:t>今年以来，原奶价格下降和产品促销对公司毛利率的影响有多大？如何展望下半年原奶价格和公司毛利率表现？</w:t>
            </w:r>
          </w:p>
          <w:p>
            <w:pPr>
              <w:autoSpaceDE w:val="0"/>
              <w:autoSpaceDN w:val="0"/>
              <w:adjustRightInd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回答：</w:t>
            </w:r>
          </w:p>
          <w:p>
            <w:pPr>
              <w:pStyle w:val="2"/>
              <w:numPr>
                <w:ilvl w:val="0"/>
                <w:numId w:val="5"/>
              </w:numPr>
              <w:spacing w:line="360" w:lineRule="auto"/>
              <w:ind w:firstLineChars="0"/>
              <w:rPr>
                <w:sz w:val="24"/>
                <w:szCs w:val="24"/>
              </w:rPr>
            </w:pPr>
            <w:r>
              <w:rPr>
                <w:rFonts w:hint="eastAsia"/>
                <w:sz w:val="24"/>
                <w:szCs w:val="24"/>
              </w:rPr>
              <w:t>上半年，公司原奶价格大概有中个位数下降，有助于缓解成本端压力，让公司有更多资源去拉动终端消费需求，但是公司在资源投入上，会掌握好尺度和方式，从产品、品牌和渠道等各个方面一起发力，在价格促销上是非常理性的。</w:t>
            </w:r>
          </w:p>
          <w:p>
            <w:pPr>
              <w:pStyle w:val="10"/>
              <w:numPr>
                <w:ilvl w:val="0"/>
                <w:numId w:val="5"/>
              </w:numPr>
              <w:autoSpaceDE w:val="0"/>
              <w:autoSpaceDN w:val="0"/>
              <w:adjustRightInd w:val="0"/>
              <w:spacing w:line="360" w:lineRule="auto"/>
              <w:ind w:firstLineChars="0"/>
              <w:jc w:val="left"/>
              <w:rPr>
                <w:rFonts w:ascii="宋体" w:hAnsi="宋体" w:eastAsia="宋体" w:cs="宋体"/>
                <w:kern w:val="0"/>
                <w:sz w:val="24"/>
                <w:szCs w:val="24"/>
              </w:rPr>
            </w:pPr>
            <w:r>
              <w:rPr>
                <w:rFonts w:hint="eastAsia"/>
                <w:sz w:val="24"/>
                <w:szCs w:val="24"/>
              </w:rPr>
              <w:t>上半年，公司毛利率略有下降。一方面，由于今年春节错配的原因，公司一季度的产品结构会受到一定影响；另一方面，奶粉业务结构的变化（毛利更低的成人粉增速更快）对公司整体毛利率也有一定影响；但液体乳业务毛利率是提升的</w:t>
            </w:r>
            <w:r>
              <w:rPr>
                <w:rFonts w:hint="eastAsia"/>
                <w:sz w:val="24"/>
                <w:szCs w:val="24"/>
                <w:lang w:eastAsia="zh-CN"/>
              </w:rPr>
              <w:t>。</w:t>
            </w:r>
          </w:p>
          <w:p>
            <w:pPr>
              <w:pStyle w:val="10"/>
              <w:numPr>
                <w:ilvl w:val="0"/>
                <w:numId w:val="5"/>
              </w:numPr>
              <w:autoSpaceDE w:val="0"/>
              <w:autoSpaceDN w:val="0"/>
              <w:adjustRightInd w:val="0"/>
              <w:spacing w:line="360" w:lineRule="auto"/>
              <w:ind w:firstLineChars="0"/>
              <w:jc w:val="left"/>
              <w:rPr>
                <w:rFonts w:ascii="宋体" w:hAnsi="宋体" w:eastAsia="宋体" w:cs="宋体"/>
                <w:kern w:val="0"/>
                <w:sz w:val="24"/>
                <w:szCs w:val="24"/>
              </w:rPr>
            </w:pPr>
            <w:r>
              <w:rPr>
                <w:rFonts w:hint="eastAsia"/>
                <w:sz w:val="24"/>
                <w:szCs w:val="24"/>
              </w:rPr>
              <w:t>下半年，考虑到中秋和国庆双节礼赠等方面因素的影响，预计原奶供需情况将有所改善。</w:t>
            </w:r>
          </w:p>
          <w:p>
            <w:pPr>
              <w:pStyle w:val="2"/>
              <w:numPr>
                <w:ilvl w:val="0"/>
                <w:numId w:val="2"/>
              </w:numPr>
              <w:spacing w:line="360" w:lineRule="auto"/>
              <w:ind w:firstLineChars="0"/>
              <w:rPr>
                <w:sz w:val="24"/>
                <w:szCs w:val="24"/>
              </w:rPr>
            </w:pPr>
            <w:r>
              <w:rPr>
                <w:rFonts w:hint="eastAsia"/>
                <w:sz w:val="24"/>
                <w:szCs w:val="24"/>
              </w:rPr>
              <w:t>上半年，公司销售费用率下降的原因是什么？下半年是否还会维持销售费用率下降的趋势？未来公司品牌投入的方向和规划是怎样的？</w:t>
            </w:r>
          </w:p>
          <w:p>
            <w:pPr>
              <w:autoSpaceDE w:val="0"/>
              <w:autoSpaceDN w:val="0"/>
              <w:adjustRightInd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回答：</w:t>
            </w:r>
          </w:p>
          <w:p>
            <w:pPr>
              <w:pStyle w:val="2"/>
              <w:numPr>
                <w:ilvl w:val="0"/>
                <w:numId w:val="6"/>
              </w:numPr>
              <w:spacing w:line="360" w:lineRule="auto"/>
              <w:ind w:firstLineChars="0"/>
              <w:rPr>
                <w:sz w:val="24"/>
                <w:szCs w:val="24"/>
              </w:rPr>
            </w:pPr>
            <w:r>
              <w:rPr>
                <w:rFonts w:hint="eastAsia"/>
                <w:sz w:val="24"/>
                <w:szCs w:val="24"/>
              </w:rPr>
              <w:t>上半年，面对行业需求弱复苏的情况，公司主动积极采取各种提高费用使用效率、降本增效的举措，带来了销售费用率的下降。一方面，对于终端渠道推行“燃脂”行动，不断梳理和优化终端的费用支出，提升终端费用的投放效率。另一方面，在媒体投放上，我们的费用投放既多元又聚焦。多元指的是通过多样化的渠道和媒介投放，触达更多消费者；聚焦指的是根据品牌的目标消费群体进行差异化投放。此外，我们通过数字化赋能，也有效提升了费用使用效率</w:t>
            </w:r>
            <w:r>
              <w:rPr>
                <w:rFonts w:hint="eastAsia"/>
                <w:sz w:val="24"/>
                <w:szCs w:val="24"/>
                <w:lang w:eastAsia="zh-CN"/>
              </w:rPr>
              <w:t>；</w:t>
            </w:r>
            <w:r>
              <w:rPr>
                <w:rFonts w:hint="eastAsia"/>
                <w:sz w:val="24"/>
                <w:szCs w:val="24"/>
              </w:rPr>
              <w:t>根据用户的消费场景和互动情况，最大限度地洞察消费者需求，并为其匹配相应的产品和服务。在这个过程中，品牌传播更具有针对性，品牌营销的效率也会大大提升。</w:t>
            </w:r>
          </w:p>
          <w:p>
            <w:pPr>
              <w:pStyle w:val="2"/>
              <w:numPr>
                <w:ilvl w:val="0"/>
                <w:numId w:val="6"/>
              </w:numPr>
              <w:spacing w:line="360" w:lineRule="auto"/>
              <w:ind w:firstLineChars="0"/>
              <w:rPr>
                <w:sz w:val="24"/>
                <w:szCs w:val="24"/>
              </w:rPr>
            </w:pPr>
            <w:r>
              <w:rPr>
                <w:rFonts w:hint="eastAsia"/>
                <w:sz w:val="24"/>
                <w:szCs w:val="24"/>
              </w:rPr>
              <w:t>未来，公司还会沿用这种模式，通过多元且精准的营销以及数字化赋能来不断提升公司的费用使用效率。下半年，公司也会聚焦一些体育运动赛事和航天方面的营销，比如杭州亚运会和男篮世界杯，持续打造伊利国民品牌的形象。</w:t>
            </w:r>
          </w:p>
          <w:p>
            <w:pPr>
              <w:pStyle w:val="2"/>
              <w:numPr>
                <w:ilvl w:val="0"/>
                <w:numId w:val="2"/>
              </w:numPr>
              <w:spacing w:line="360" w:lineRule="auto"/>
              <w:ind w:firstLineChars="0"/>
              <w:rPr>
                <w:sz w:val="24"/>
                <w:szCs w:val="24"/>
              </w:rPr>
            </w:pPr>
            <w:r>
              <w:rPr>
                <w:rFonts w:hint="eastAsia"/>
                <w:sz w:val="24"/>
                <w:szCs w:val="24"/>
              </w:rPr>
              <w:t>上半年，公司金典、安慕希这些主要大单品的表现如何？另外，如何展望常温液奶全年的表现？</w:t>
            </w:r>
          </w:p>
          <w:p>
            <w:pPr>
              <w:pStyle w:val="2"/>
              <w:spacing w:line="360" w:lineRule="auto"/>
              <w:ind w:firstLine="0" w:firstLineChars="0"/>
              <w:rPr>
                <w:sz w:val="24"/>
                <w:szCs w:val="24"/>
              </w:rPr>
            </w:pPr>
            <w:r>
              <w:rPr>
                <w:rFonts w:hint="eastAsia"/>
                <w:sz w:val="24"/>
                <w:szCs w:val="24"/>
              </w:rPr>
              <w:t>回答：</w:t>
            </w:r>
          </w:p>
          <w:p>
            <w:pPr>
              <w:pStyle w:val="2"/>
              <w:numPr>
                <w:ilvl w:val="0"/>
                <w:numId w:val="7"/>
              </w:numPr>
              <w:spacing w:line="360" w:lineRule="auto"/>
              <w:ind w:firstLineChars="0"/>
              <w:rPr>
                <w:sz w:val="24"/>
                <w:szCs w:val="24"/>
              </w:rPr>
            </w:pPr>
            <w:r>
              <w:rPr>
                <w:rFonts w:hint="eastAsia"/>
                <w:sz w:val="24"/>
                <w:szCs w:val="24"/>
              </w:rPr>
              <w:t>今年以来，公司液体乳业务表现逐季向好，7-8月份表现也延续了这一趋势。</w:t>
            </w:r>
          </w:p>
          <w:p>
            <w:pPr>
              <w:pStyle w:val="2"/>
              <w:numPr>
                <w:ilvl w:val="0"/>
                <w:numId w:val="7"/>
              </w:numPr>
              <w:spacing w:line="360" w:lineRule="auto"/>
              <w:ind w:firstLineChars="0"/>
              <w:rPr>
                <w:sz w:val="24"/>
                <w:szCs w:val="24"/>
              </w:rPr>
            </w:pPr>
            <w:r>
              <w:rPr>
                <w:rFonts w:hint="eastAsia"/>
                <w:sz w:val="24"/>
                <w:szCs w:val="24"/>
              </w:rPr>
              <w:t>上半年，白奶品类整体表现较好；其中，高端产品表现更好。二季度，金典实现了双位数的增长。在金典品牌下，我们会在已构建的有机平台上，通过精准创新打造更多细分子品类，来满足消费者对于高端白奶的需求。预计下半年金典仍然会继续保持上半年的增长势头。</w:t>
            </w:r>
          </w:p>
          <w:p>
            <w:pPr>
              <w:pStyle w:val="2"/>
              <w:numPr>
                <w:ilvl w:val="0"/>
                <w:numId w:val="7"/>
              </w:numPr>
              <w:spacing w:line="360" w:lineRule="auto"/>
              <w:ind w:firstLineChars="0"/>
              <w:rPr>
                <w:sz w:val="24"/>
                <w:szCs w:val="24"/>
              </w:rPr>
            </w:pPr>
            <w:r>
              <w:rPr>
                <w:rFonts w:hint="eastAsia"/>
                <w:sz w:val="24"/>
                <w:szCs w:val="24"/>
              </w:rPr>
              <w:t>安慕希这两年处于新老产品交替的平台期，再加上整体消费环境还处在逐步复苏的过程中，所以今年上半年收入还有一些下降，但二季度降幅有所收窄。对于安慕希这个品牌，我们未来还是要坚持创新驱动增长。一方面，突破技术壁垒，继续推出新产品；另一方面，积极拓展新渠道和新场景。通过各种创新举措，继续延续安慕希高品质的品牌形象。</w:t>
            </w:r>
          </w:p>
          <w:p>
            <w:pPr>
              <w:pStyle w:val="2"/>
              <w:numPr>
                <w:ilvl w:val="0"/>
                <w:numId w:val="7"/>
              </w:numPr>
              <w:spacing w:line="360" w:lineRule="auto"/>
              <w:ind w:firstLineChars="0"/>
              <w:rPr>
                <w:sz w:val="24"/>
                <w:szCs w:val="24"/>
              </w:rPr>
            </w:pPr>
            <w:r>
              <w:rPr>
                <w:rFonts w:hint="eastAsia"/>
                <w:sz w:val="24"/>
                <w:szCs w:val="24"/>
              </w:rPr>
              <w:t>除了金典、安慕希之外，公司一直也在做多品类、多品牌的均衡布局。在儿童奶品类、功能奶品类、谷物奶品类、乳酸菌品类，包括在培养中的植物蛋白品类、矿泉水品类等等，公司都有布局。均衡布局将助力公司对更多人群、更多场景进行精准覆盖，避免依靠单一品类增长的风险，这也是液奶业务未来长期持续健康发展的动力源之一。</w:t>
            </w:r>
          </w:p>
          <w:p>
            <w:pPr>
              <w:pStyle w:val="2"/>
              <w:numPr>
                <w:ilvl w:val="0"/>
                <w:numId w:val="2"/>
              </w:numPr>
              <w:spacing w:line="360" w:lineRule="auto"/>
              <w:ind w:firstLineChars="0"/>
              <w:rPr>
                <w:sz w:val="24"/>
                <w:szCs w:val="24"/>
              </w:rPr>
            </w:pPr>
            <w:r>
              <w:rPr>
                <w:rFonts w:hint="eastAsia"/>
                <w:sz w:val="24"/>
                <w:szCs w:val="24"/>
              </w:rPr>
              <w:t>今年上半年，奶酪行业2C端表现持续低迷，公司认为这是短期阵痛还是长期趋势？</w:t>
            </w:r>
          </w:p>
          <w:p>
            <w:pPr>
              <w:pStyle w:val="2"/>
              <w:spacing w:line="360" w:lineRule="auto"/>
              <w:ind w:firstLine="0" w:firstLineChars="0"/>
              <w:rPr>
                <w:sz w:val="24"/>
                <w:szCs w:val="24"/>
              </w:rPr>
            </w:pPr>
            <w:r>
              <w:rPr>
                <w:rFonts w:hint="eastAsia"/>
                <w:sz w:val="24"/>
                <w:szCs w:val="24"/>
              </w:rPr>
              <w:t>回答：</w:t>
            </w:r>
          </w:p>
          <w:p>
            <w:pPr>
              <w:pStyle w:val="2"/>
              <w:numPr>
                <w:ilvl w:val="0"/>
                <w:numId w:val="8"/>
              </w:numPr>
              <w:spacing w:line="360" w:lineRule="auto"/>
              <w:ind w:firstLineChars="0"/>
              <w:rPr>
                <w:sz w:val="24"/>
                <w:szCs w:val="24"/>
              </w:rPr>
            </w:pPr>
            <w:r>
              <w:rPr>
                <w:rFonts w:hint="eastAsia"/>
                <w:sz w:val="24"/>
                <w:szCs w:val="24"/>
              </w:rPr>
              <w:t>今年上半年，在消费弱复苏的情况下，奶酪业务也面临了一定压力。但长期来看，奶酪品类作为较高端的固态类乳品，仍然有很大的发展空间。</w:t>
            </w:r>
          </w:p>
          <w:p>
            <w:pPr>
              <w:pStyle w:val="2"/>
              <w:numPr>
                <w:ilvl w:val="0"/>
                <w:numId w:val="8"/>
              </w:numPr>
              <w:spacing w:line="360" w:lineRule="auto"/>
              <w:ind w:firstLineChars="0"/>
              <w:rPr>
                <w:sz w:val="24"/>
                <w:szCs w:val="24"/>
              </w:rPr>
            </w:pPr>
            <w:r>
              <w:rPr>
                <w:rFonts w:hint="eastAsia"/>
                <w:sz w:val="24"/>
                <w:szCs w:val="24"/>
              </w:rPr>
              <w:t>公司自身的奶酪业务也受到了一定影响，收入同比略有下降，但占公司整体收入的比重不大，且整体表现优于行业。其中，面向终端消费的奶酪业务，线下零售额市占份额约17.2%，同比提升了1.5个百分点。上半年，公司还推出了多支新品，在产品形态、消费人群及食用场景方面做了拓展，包括低温奶酪首创新品高钙奶酪弹、夹心奶酪棒、双色奶酪棒、早餐挤挤涂抹奶酪等，以及常温的酪酪杯和乳酪条等产品，扩大了常低温渠道的产品组合。另外，结合餐饮企业的需求和定位，我们对原有的马苏产品进行了升级，也推出了稀奶油等产品；随着上半年餐饮、烘焙行业的逐步恢复，公司奶酪2B业务实现了稳步增长，进一步拓展了应用场景及销售渠道。</w:t>
            </w:r>
          </w:p>
          <w:p>
            <w:pPr>
              <w:pStyle w:val="2"/>
              <w:numPr>
                <w:ilvl w:val="0"/>
                <w:numId w:val="8"/>
              </w:numPr>
              <w:spacing w:line="360" w:lineRule="auto"/>
              <w:ind w:firstLineChars="0"/>
              <w:rPr>
                <w:sz w:val="24"/>
                <w:szCs w:val="24"/>
              </w:rPr>
            </w:pPr>
            <w:r>
              <w:rPr>
                <w:rFonts w:hint="eastAsia"/>
                <w:sz w:val="24"/>
                <w:szCs w:val="24"/>
              </w:rPr>
              <w:t>未来，公司会继续探索奶酪业务的盈利模式，并推出更多深加工的奶酪制品。此外，随着健康谷奶酪新工厂的正式投产运行以及海外供应链的布局，供应链优势逐步形成，产能利用率的提升也将改善奶酪业务的盈利能力。</w:t>
            </w:r>
          </w:p>
          <w:p>
            <w:pPr>
              <w:pStyle w:val="2"/>
              <w:numPr>
                <w:ilvl w:val="0"/>
                <w:numId w:val="2"/>
              </w:numPr>
              <w:spacing w:line="360" w:lineRule="auto"/>
              <w:ind w:firstLineChars="0"/>
              <w:rPr>
                <w:sz w:val="24"/>
                <w:szCs w:val="24"/>
              </w:rPr>
            </w:pPr>
            <w:r>
              <w:rPr>
                <w:rFonts w:hint="eastAsia"/>
                <w:sz w:val="24"/>
                <w:szCs w:val="24"/>
              </w:rPr>
              <w:t>低温行业今年是否已经看到复苏的趋势？公司低温业务下半年能否取得更快的增长？未来公司在低温业务方面还会采取哪些举措？</w:t>
            </w:r>
          </w:p>
          <w:p>
            <w:pPr>
              <w:pStyle w:val="2"/>
              <w:spacing w:line="360" w:lineRule="auto"/>
              <w:ind w:firstLine="0" w:firstLineChars="0"/>
              <w:rPr>
                <w:sz w:val="24"/>
                <w:szCs w:val="24"/>
              </w:rPr>
            </w:pPr>
            <w:r>
              <w:rPr>
                <w:rFonts w:hint="eastAsia"/>
                <w:sz w:val="24"/>
                <w:szCs w:val="24"/>
              </w:rPr>
              <w:t>回答：</w:t>
            </w:r>
          </w:p>
          <w:p>
            <w:pPr>
              <w:pStyle w:val="2"/>
              <w:numPr>
                <w:ilvl w:val="0"/>
                <w:numId w:val="9"/>
              </w:numPr>
              <w:spacing w:line="360" w:lineRule="auto"/>
              <w:ind w:firstLineChars="0"/>
              <w:rPr>
                <w:sz w:val="24"/>
                <w:szCs w:val="24"/>
              </w:rPr>
            </w:pPr>
            <w:r>
              <w:rPr>
                <w:rFonts w:hint="eastAsia"/>
                <w:sz w:val="24"/>
                <w:szCs w:val="24"/>
              </w:rPr>
              <w:t>疫情以来，受到线下消费及外出场景的限制，低温行业整体表现偏弱。今年开始，随着消费环境的逐步稳定、线下实体的恢复、细分场景需求的增长、以及下沉市场和近场渠道的机会拓展，行业整体已经有了一个复苏的迹象。今年上半年，公司通过持续加强产品功能属性创新，强化全渠道运营能力，提升近场渠道和社区生鲜店等资源的掌控力，整体低温业务整体实现了正增长，金典低温鲜奶更是实现了翻倍增长。</w:t>
            </w:r>
          </w:p>
          <w:p>
            <w:pPr>
              <w:pStyle w:val="2"/>
              <w:numPr>
                <w:ilvl w:val="0"/>
                <w:numId w:val="9"/>
              </w:numPr>
              <w:spacing w:line="360" w:lineRule="auto"/>
              <w:ind w:firstLineChars="0"/>
              <w:rPr>
                <w:sz w:val="24"/>
                <w:szCs w:val="24"/>
              </w:rPr>
            </w:pPr>
            <w:r>
              <w:rPr>
                <w:rFonts w:hint="eastAsia"/>
                <w:sz w:val="24"/>
                <w:szCs w:val="24"/>
              </w:rPr>
              <w:t>长期来看，消费者在营养强化、美味解馋、功能属性等方面仍有很大需求，随着消费者对低温产品的功能认知逐步深入，冷链建设的逐步完善，行业未来也还是有比较大的成长空间。公司将继续把握行业中的发展机会，实现低温业务的高质量发展；希望收入实现增长的同时，盈利能力持续改善。</w:t>
            </w:r>
          </w:p>
          <w:p>
            <w:pPr>
              <w:pStyle w:val="2"/>
              <w:numPr>
                <w:ilvl w:val="0"/>
                <w:numId w:val="2"/>
              </w:numPr>
              <w:spacing w:line="360" w:lineRule="auto"/>
              <w:ind w:firstLineChars="0"/>
              <w:rPr>
                <w:sz w:val="24"/>
                <w:szCs w:val="24"/>
              </w:rPr>
            </w:pPr>
            <w:r>
              <w:rPr>
                <w:rFonts w:hint="eastAsia"/>
                <w:sz w:val="24"/>
                <w:szCs w:val="24"/>
              </w:rPr>
              <w:t>公司对未来的分红率如何展望？</w:t>
            </w:r>
          </w:p>
          <w:p>
            <w:pPr>
              <w:pStyle w:val="2"/>
              <w:spacing w:line="360" w:lineRule="auto"/>
              <w:ind w:firstLine="0" w:firstLineChars="0"/>
              <w:rPr>
                <w:sz w:val="24"/>
                <w:szCs w:val="24"/>
              </w:rPr>
            </w:pPr>
            <w:r>
              <w:rPr>
                <w:rFonts w:hint="eastAsia"/>
                <w:sz w:val="24"/>
                <w:szCs w:val="24"/>
              </w:rPr>
              <w:t>回答：</w:t>
            </w:r>
          </w:p>
          <w:p>
            <w:pPr>
              <w:pStyle w:val="2"/>
              <w:spacing w:line="360" w:lineRule="auto"/>
              <w:ind w:firstLine="0" w:firstLineChars="0"/>
              <w:rPr>
                <w:sz w:val="24"/>
                <w:szCs w:val="24"/>
              </w:rPr>
            </w:pPr>
            <w:r>
              <w:rPr>
                <w:rFonts w:hint="eastAsia"/>
                <w:sz w:val="24"/>
                <w:szCs w:val="24"/>
              </w:rPr>
              <w:t>依据2</w:t>
            </w:r>
            <w:r>
              <w:rPr>
                <w:sz w:val="24"/>
                <w:szCs w:val="24"/>
              </w:rPr>
              <w:t>019</w:t>
            </w:r>
            <w:r>
              <w:rPr>
                <w:rFonts w:hint="eastAsia"/>
                <w:sz w:val="24"/>
                <w:szCs w:val="24"/>
              </w:rPr>
              <w:t>年实施的限制性股票激励解锁条件要求，2023年公司分红率需不低于70%。未来，</w:t>
            </w:r>
            <w:r>
              <w:rPr>
                <w:rFonts w:hint="eastAsia"/>
                <w:sz w:val="24"/>
                <w:szCs w:val="24"/>
                <w:lang w:eastAsia="zh-CN"/>
              </w:rPr>
              <w:t>在</w:t>
            </w:r>
            <w:r>
              <w:rPr>
                <w:rFonts w:hint="eastAsia"/>
                <w:sz w:val="24"/>
                <w:szCs w:val="24"/>
              </w:rPr>
              <w:t>公司逐步过了产能集中投产期</w:t>
            </w:r>
            <w:r>
              <w:rPr>
                <w:rFonts w:hint="eastAsia"/>
                <w:sz w:val="24"/>
                <w:szCs w:val="24"/>
                <w:lang w:val="en-US" w:eastAsia="zh-CN"/>
              </w:rPr>
              <w:t>后</w:t>
            </w:r>
            <w:r>
              <w:rPr>
                <w:rFonts w:hint="eastAsia"/>
                <w:sz w:val="24"/>
                <w:szCs w:val="24"/>
              </w:rPr>
              <w:t>，期望仍然能够维持较好的分红水平。</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695" w:type="dxa"/>
            <w:vAlign w:val="center"/>
          </w:tcPr>
          <w:p>
            <w:pPr>
              <w:spacing w:line="360" w:lineRule="auto"/>
              <w:jc w:val="center"/>
              <w:rPr>
                <w:rFonts w:hint="eastAsia" w:ascii="Liberation Serif" w:hAnsi="Liberation Serif" w:eastAsia="宋体" w:cs="Arial"/>
                <w:kern w:val="0"/>
                <w:sz w:val="24"/>
                <w:szCs w:val="24"/>
              </w:rPr>
            </w:pPr>
            <w:r>
              <w:rPr>
                <w:rFonts w:hint="eastAsia" w:ascii="Liberation Serif" w:hAnsi="Liberation Serif" w:eastAsia="宋体" w:cs="Arial"/>
                <w:kern w:val="0"/>
                <w:sz w:val="24"/>
                <w:szCs w:val="24"/>
              </w:rPr>
              <w:t>附件清单</w:t>
            </w:r>
          </w:p>
          <w:p>
            <w:pPr>
              <w:spacing w:line="360" w:lineRule="auto"/>
              <w:jc w:val="center"/>
              <w:rPr>
                <w:rFonts w:hint="eastAsia" w:ascii="Liberation Serif" w:hAnsi="Liberation Serif" w:eastAsia="宋体" w:cs="Arial"/>
                <w:kern w:val="0"/>
                <w:sz w:val="24"/>
                <w:szCs w:val="24"/>
              </w:rPr>
            </w:pPr>
            <w:r>
              <w:rPr>
                <w:rFonts w:hint="eastAsia" w:ascii="Liberation Serif" w:hAnsi="Liberation Serif" w:eastAsia="宋体" w:cs="Arial"/>
                <w:kern w:val="0"/>
                <w:sz w:val="24"/>
                <w:szCs w:val="24"/>
              </w:rPr>
              <w:t>（如有）</w:t>
            </w:r>
          </w:p>
        </w:tc>
        <w:tc>
          <w:tcPr>
            <w:tcW w:w="6793" w:type="dxa"/>
          </w:tcPr>
          <w:p>
            <w:pPr>
              <w:spacing w:line="360" w:lineRule="auto"/>
              <w:jc w:val="left"/>
              <w:rPr>
                <w:rFonts w:hint="eastAsia" w:ascii="Liberation Serif" w:hAnsi="Liberation Serif" w:eastAsia="宋体" w:cs="Arial"/>
                <w:kern w:val="0"/>
                <w:sz w:val="24"/>
                <w:szCs w:val="24"/>
              </w:rPr>
            </w:pPr>
            <w:r>
              <w:rPr>
                <w:rFonts w:hint="eastAsia" w:ascii="Liberation Serif" w:hAnsi="Liberation Serif" w:eastAsia="宋体" w:cs="Arial"/>
                <w:kern w:val="0"/>
                <w:sz w:val="24"/>
                <w:szCs w:val="24"/>
              </w:rPr>
              <w:t>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iberation Serif">
    <w:altName w:val="Segoe Print"/>
    <w:panose1 w:val="00000000000000000000"/>
    <w:charset w:val="01"/>
    <w:family w:val="roman"/>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1"/>
    <w:family w:val="roman"/>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372"/>
    <w:multiLevelType w:val="multilevel"/>
    <w:tmpl w:val="06023372"/>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2520211"/>
    <w:multiLevelType w:val="multilevel"/>
    <w:tmpl w:val="12520211"/>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29B94716"/>
    <w:multiLevelType w:val="multilevel"/>
    <w:tmpl w:val="29B94716"/>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34D74F11"/>
    <w:multiLevelType w:val="multilevel"/>
    <w:tmpl w:val="34D74F11"/>
    <w:lvl w:ilvl="0" w:tentative="0">
      <w:start w:val="1"/>
      <w:numFmt w:val="decimal"/>
      <w:lvlText w:val="%1）"/>
      <w:lvlJc w:val="left"/>
      <w:pPr>
        <w:ind w:left="350" w:hanging="35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3B0A384F"/>
    <w:multiLevelType w:val="multilevel"/>
    <w:tmpl w:val="3B0A384F"/>
    <w:lvl w:ilvl="0" w:tentative="0">
      <w:start w:val="1"/>
      <w:numFmt w:val="decimal"/>
      <w:lvlText w:val="%1）"/>
      <w:lvlJc w:val="left"/>
      <w:pPr>
        <w:ind w:left="350" w:hanging="35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51DD5CE1"/>
    <w:multiLevelType w:val="multilevel"/>
    <w:tmpl w:val="51DD5CE1"/>
    <w:lvl w:ilvl="0" w:tentative="0">
      <w:start w:val="2"/>
      <w:numFmt w:val="japaneseCounting"/>
      <w:lvlText w:val="%1、"/>
      <w:lvlJc w:val="left"/>
      <w:pPr>
        <w:ind w:left="480" w:hanging="48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54CCD182"/>
    <w:multiLevelType w:val="multilevel"/>
    <w:tmpl w:val="54CCD182"/>
    <w:lvl w:ilvl="0" w:tentative="0">
      <w:start w:val="1"/>
      <w:numFmt w:val="decimal"/>
      <w:lvlText w:val="%1）"/>
      <w:lvlJc w:val="left"/>
      <w:pPr>
        <w:ind w:left="350" w:hanging="35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66D41341"/>
    <w:multiLevelType w:val="multilevel"/>
    <w:tmpl w:val="66D41341"/>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6C7E91BD"/>
    <w:multiLevelType w:val="multilevel"/>
    <w:tmpl w:val="6C7E91BD"/>
    <w:lvl w:ilvl="0" w:tentative="0">
      <w:start w:val="1"/>
      <w:numFmt w:val="decimal"/>
      <w:lvlText w:val="%1）"/>
      <w:lvlJc w:val="left"/>
      <w:pPr>
        <w:ind w:left="350" w:hanging="35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5"/>
  </w:num>
  <w:num w:numId="2">
    <w:abstractNumId w:val="1"/>
  </w:num>
  <w:num w:numId="3">
    <w:abstractNumId w:val="3"/>
  </w:num>
  <w:num w:numId="4">
    <w:abstractNumId w:val="4"/>
  </w:num>
  <w:num w:numId="5">
    <w:abstractNumId w:val="6"/>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JjNTViZDJlMzUzYWZhOTIxYzA0YjAwNjY1MzVkNjYifQ=="/>
  </w:docVars>
  <w:rsids>
    <w:rsidRoot w:val="2E635145"/>
    <w:rsid w:val="00044F71"/>
    <w:rsid w:val="00083D45"/>
    <w:rsid w:val="000B316F"/>
    <w:rsid w:val="000C667E"/>
    <w:rsid w:val="001200A4"/>
    <w:rsid w:val="00130964"/>
    <w:rsid w:val="00132C3E"/>
    <w:rsid w:val="00144AE9"/>
    <w:rsid w:val="001E444B"/>
    <w:rsid w:val="00230030"/>
    <w:rsid w:val="00281D15"/>
    <w:rsid w:val="002F5122"/>
    <w:rsid w:val="003836A3"/>
    <w:rsid w:val="003F7216"/>
    <w:rsid w:val="00483B76"/>
    <w:rsid w:val="00496971"/>
    <w:rsid w:val="00555E01"/>
    <w:rsid w:val="00595F3B"/>
    <w:rsid w:val="005B7E4E"/>
    <w:rsid w:val="00606CAC"/>
    <w:rsid w:val="0064520F"/>
    <w:rsid w:val="00662925"/>
    <w:rsid w:val="006842C2"/>
    <w:rsid w:val="006941A8"/>
    <w:rsid w:val="006B4C14"/>
    <w:rsid w:val="0075484A"/>
    <w:rsid w:val="007958F4"/>
    <w:rsid w:val="007977EE"/>
    <w:rsid w:val="007A1A36"/>
    <w:rsid w:val="007F3AA6"/>
    <w:rsid w:val="00877614"/>
    <w:rsid w:val="00881EA3"/>
    <w:rsid w:val="009262CC"/>
    <w:rsid w:val="00993646"/>
    <w:rsid w:val="009A624F"/>
    <w:rsid w:val="009A7A91"/>
    <w:rsid w:val="009B67C7"/>
    <w:rsid w:val="009C2105"/>
    <w:rsid w:val="009E5D0D"/>
    <w:rsid w:val="00AB68D4"/>
    <w:rsid w:val="00AD5A98"/>
    <w:rsid w:val="00AE1B4C"/>
    <w:rsid w:val="00AF2E5A"/>
    <w:rsid w:val="00B32804"/>
    <w:rsid w:val="00B401DC"/>
    <w:rsid w:val="00B47669"/>
    <w:rsid w:val="00B56A99"/>
    <w:rsid w:val="00BA5D2F"/>
    <w:rsid w:val="00BB1E39"/>
    <w:rsid w:val="00C67F1E"/>
    <w:rsid w:val="00CE0D84"/>
    <w:rsid w:val="00D10315"/>
    <w:rsid w:val="00D124C7"/>
    <w:rsid w:val="00D402C8"/>
    <w:rsid w:val="00DF5E1C"/>
    <w:rsid w:val="00E310F9"/>
    <w:rsid w:val="00E75DD5"/>
    <w:rsid w:val="00EE5E15"/>
    <w:rsid w:val="00F03D2C"/>
    <w:rsid w:val="00F261E0"/>
    <w:rsid w:val="00F32D12"/>
    <w:rsid w:val="00F34208"/>
    <w:rsid w:val="00F35810"/>
    <w:rsid w:val="00F933A0"/>
    <w:rsid w:val="00F95B88"/>
    <w:rsid w:val="00FA542C"/>
    <w:rsid w:val="038F26A8"/>
    <w:rsid w:val="064F5E39"/>
    <w:rsid w:val="06987993"/>
    <w:rsid w:val="06A04E02"/>
    <w:rsid w:val="07C95CF0"/>
    <w:rsid w:val="090A732E"/>
    <w:rsid w:val="09395F07"/>
    <w:rsid w:val="0C2D18F6"/>
    <w:rsid w:val="0C74502C"/>
    <w:rsid w:val="0C9E435B"/>
    <w:rsid w:val="0E2424C2"/>
    <w:rsid w:val="0E4D5FDC"/>
    <w:rsid w:val="0E920D59"/>
    <w:rsid w:val="0EF6378D"/>
    <w:rsid w:val="0F4B438A"/>
    <w:rsid w:val="108F72CF"/>
    <w:rsid w:val="131045CF"/>
    <w:rsid w:val="13C93A11"/>
    <w:rsid w:val="15B90D9B"/>
    <w:rsid w:val="16D1773D"/>
    <w:rsid w:val="171F23D0"/>
    <w:rsid w:val="172140B1"/>
    <w:rsid w:val="18407749"/>
    <w:rsid w:val="18605DE5"/>
    <w:rsid w:val="198E5D7A"/>
    <w:rsid w:val="19AE65EC"/>
    <w:rsid w:val="1AE828E6"/>
    <w:rsid w:val="1B80768D"/>
    <w:rsid w:val="1B934FF1"/>
    <w:rsid w:val="1C4645D0"/>
    <w:rsid w:val="1CC00DAD"/>
    <w:rsid w:val="1FB83C86"/>
    <w:rsid w:val="23191664"/>
    <w:rsid w:val="24F757CD"/>
    <w:rsid w:val="28AB0525"/>
    <w:rsid w:val="292F1545"/>
    <w:rsid w:val="2A6D642C"/>
    <w:rsid w:val="2B121403"/>
    <w:rsid w:val="2B627ADB"/>
    <w:rsid w:val="2B7620B2"/>
    <w:rsid w:val="2B7F7663"/>
    <w:rsid w:val="2BF116F8"/>
    <w:rsid w:val="2C10540C"/>
    <w:rsid w:val="2CC6737D"/>
    <w:rsid w:val="2DC248E6"/>
    <w:rsid w:val="2DEE0CB6"/>
    <w:rsid w:val="2DF728E0"/>
    <w:rsid w:val="2E635145"/>
    <w:rsid w:val="2F327D37"/>
    <w:rsid w:val="3000208D"/>
    <w:rsid w:val="3068017B"/>
    <w:rsid w:val="316D5879"/>
    <w:rsid w:val="31731DEB"/>
    <w:rsid w:val="32BE4D29"/>
    <w:rsid w:val="32C30A6D"/>
    <w:rsid w:val="33FB321D"/>
    <w:rsid w:val="34F41330"/>
    <w:rsid w:val="351C2CE5"/>
    <w:rsid w:val="3595191B"/>
    <w:rsid w:val="3788046B"/>
    <w:rsid w:val="3A0A3491"/>
    <w:rsid w:val="3B174B7D"/>
    <w:rsid w:val="3B8F4524"/>
    <w:rsid w:val="3CCE34CE"/>
    <w:rsid w:val="3D0362BE"/>
    <w:rsid w:val="3DF91E60"/>
    <w:rsid w:val="3F0516CF"/>
    <w:rsid w:val="41393424"/>
    <w:rsid w:val="41C71EA2"/>
    <w:rsid w:val="41C85B1F"/>
    <w:rsid w:val="43BB2110"/>
    <w:rsid w:val="45796A8A"/>
    <w:rsid w:val="45852BBC"/>
    <w:rsid w:val="46E134C6"/>
    <w:rsid w:val="48846629"/>
    <w:rsid w:val="48B64424"/>
    <w:rsid w:val="48BC1AE9"/>
    <w:rsid w:val="4938627E"/>
    <w:rsid w:val="4B0C2D59"/>
    <w:rsid w:val="4D773D37"/>
    <w:rsid w:val="4DC7795F"/>
    <w:rsid w:val="4DCD24F0"/>
    <w:rsid w:val="4E8E2CB9"/>
    <w:rsid w:val="4F4B5663"/>
    <w:rsid w:val="4FE84502"/>
    <w:rsid w:val="50DA06FD"/>
    <w:rsid w:val="53B63635"/>
    <w:rsid w:val="54F72FD6"/>
    <w:rsid w:val="558E7E27"/>
    <w:rsid w:val="57E029F3"/>
    <w:rsid w:val="58E306E1"/>
    <w:rsid w:val="59050C34"/>
    <w:rsid w:val="591F1927"/>
    <w:rsid w:val="5A0929FE"/>
    <w:rsid w:val="5A3B24DB"/>
    <w:rsid w:val="5B4D7F11"/>
    <w:rsid w:val="5D6B01A3"/>
    <w:rsid w:val="5DB226B9"/>
    <w:rsid w:val="5E005444"/>
    <w:rsid w:val="5EA73109"/>
    <w:rsid w:val="5F5A1C09"/>
    <w:rsid w:val="61B7774F"/>
    <w:rsid w:val="62D47345"/>
    <w:rsid w:val="62FB5527"/>
    <w:rsid w:val="646060B2"/>
    <w:rsid w:val="64A02626"/>
    <w:rsid w:val="654A165E"/>
    <w:rsid w:val="68D53B49"/>
    <w:rsid w:val="69B17059"/>
    <w:rsid w:val="6A0466C0"/>
    <w:rsid w:val="6A635367"/>
    <w:rsid w:val="6BC62D80"/>
    <w:rsid w:val="6BFB4E88"/>
    <w:rsid w:val="6C8379B0"/>
    <w:rsid w:val="6CD64211"/>
    <w:rsid w:val="6D5879DB"/>
    <w:rsid w:val="6F07071C"/>
    <w:rsid w:val="6F506472"/>
    <w:rsid w:val="70DE2E4E"/>
    <w:rsid w:val="7136141D"/>
    <w:rsid w:val="72AB6C13"/>
    <w:rsid w:val="72ED1C9C"/>
    <w:rsid w:val="730C1FAE"/>
    <w:rsid w:val="7338392C"/>
    <w:rsid w:val="73A03F55"/>
    <w:rsid w:val="7424676D"/>
    <w:rsid w:val="74961D43"/>
    <w:rsid w:val="7502130E"/>
    <w:rsid w:val="757F6CCB"/>
    <w:rsid w:val="77B51626"/>
    <w:rsid w:val="798B2326"/>
    <w:rsid w:val="79A008A4"/>
    <w:rsid w:val="7AF80033"/>
    <w:rsid w:val="7D790212"/>
    <w:rsid w:val="7FF78E8B"/>
    <w:rsid w:val="DFEEAC96"/>
    <w:rsid w:val="F7FAD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列表段落1"/>
    <w:basedOn w:val="1"/>
    <w:qFormat/>
    <w:uiPriority w:val="34"/>
    <w:pPr>
      <w:ind w:firstLine="420" w:firstLineChars="200"/>
    </w:pPr>
    <w:rPr>
      <w:rFonts w:ascii="Calibri" w:hAnsi="Calibri" w:eastAsia="宋体" w:cs="Times New Roman"/>
      <w:szCs w:val="21"/>
    </w:rPr>
  </w:style>
  <w:style w:type="paragraph" w:styleId="4">
    <w:name w:val="annotation text"/>
    <w:basedOn w:val="1"/>
    <w:qFormat/>
    <w:uiPriority w:val="0"/>
    <w:pPr>
      <w:jc w:val="left"/>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0">
    <w:name w:val="List Paragraph"/>
    <w:basedOn w:val="1"/>
    <w:qFormat/>
    <w:uiPriority w:val="34"/>
    <w:pPr>
      <w:ind w:firstLine="420" w:firstLineChars="200"/>
    </w:pPr>
  </w:style>
  <w:style w:type="character" w:customStyle="1" w:styleId="11">
    <w:name w:val="页眉 字符"/>
    <w:basedOn w:val="7"/>
    <w:link w:val="6"/>
    <w:qFormat/>
    <w:uiPriority w:val="0"/>
    <w:rPr>
      <w:kern w:val="2"/>
      <w:sz w:val="18"/>
      <w:szCs w:val="18"/>
    </w:rPr>
  </w:style>
  <w:style w:type="character" w:customStyle="1" w:styleId="12">
    <w:name w:val="页脚 字符"/>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602</Words>
  <Characters>3436</Characters>
  <Lines>28</Lines>
  <Paragraphs>8</Paragraphs>
  <TotalTime>361</TotalTime>
  <ScaleCrop>false</ScaleCrop>
  <LinksUpToDate>false</LinksUpToDate>
  <CharactersWithSpaces>4030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2023-05-02T13:15:00Z</dcterms:created>
  <dc:creator>夏海燕</dc:creator>
  <cp:lastModifiedBy>刘茁</cp:lastModifiedBy>
  <dcterms:modified xsi:type="dcterms:W3CDTF">2023-08-31T09:16:56Z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C047120211A16BDE0CB25F637EB194B6</vt:lpwstr>
  </property>
</Properties>
</file>