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重庆望变电气（集团）股份有限公司</w:t>
      </w:r>
    </w:p>
    <w:p>
      <w:pPr>
        <w:pStyle w:val="2"/>
        <w:jc w:val="center"/>
      </w:pPr>
      <w:r>
        <w:rPr>
          <w:rFonts w:hint="eastAsia"/>
        </w:rPr>
        <w:t>投资者关系活动记录表</w:t>
      </w:r>
    </w:p>
    <w:tbl>
      <w:tblPr>
        <w:tblStyle w:val="9"/>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2879"/>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64" w:type="dxa"/>
            <w:tcBorders>
              <w:right w:val="single" w:color="auto" w:sz="4" w:space="0"/>
            </w:tcBorders>
          </w:tcPr>
          <w:p>
            <w:pPr>
              <w:jc w:val="center"/>
              <w:rPr>
                <w:b/>
                <w:bCs/>
                <w:sz w:val="24"/>
                <w:szCs w:val="32"/>
              </w:rPr>
            </w:pPr>
          </w:p>
          <w:p>
            <w:pPr>
              <w:jc w:val="center"/>
              <w:rPr>
                <w:b/>
                <w:bCs/>
                <w:sz w:val="24"/>
                <w:szCs w:val="32"/>
              </w:rPr>
            </w:pPr>
          </w:p>
          <w:p>
            <w:pPr>
              <w:jc w:val="center"/>
              <w:rPr>
                <w:b/>
                <w:bCs/>
                <w:sz w:val="24"/>
                <w:szCs w:val="32"/>
              </w:rPr>
            </w:pPr>
          </w:p>
          <w:p>
            <w:pPr>
              <w:jc w:val="center"/>
              <w:rPr>
                <w:b/>
                <w:bCs/>
                <w:sz w:val="24"/>
                <w:szCs w:val="32"/>
              </w:rPr>
            </w:pPr>
          </w:p>
          <w:p>
            <w:pPr>
              <w:jc w:val="center"/>
              <w:rPr>
                <w:b/>
                <w:bCs/>
                <w:sz w:val="24"/>
                <w:szCs w:val="32"/>
              </w:rPr>
            </w:pPr>
          </w:p>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投资者关系</w:t>
            </w:r>
          </w:p>
          <w:p>
            <w:pPr>
              <w:jc w:val="center"/>
              <w:rPr>
                <w:b/>
                <w:bCs/>
                <w:sz w:val="24"/>
                <w:szCs w:val="32"/>
              </w:rPr>
            </w:pPr>
            <w:r>
              <w:rPr>
                <w:rFonts w:hint="eastAsia" w:ascii="仿宋" w:hAnsi="仿宋" w:eastAsia="仿宋" w:cs="仿宋"/>
                <w:b/>
                <w:bCs/>
                <w:spacing w:val="-2"/>
                <w:sz w:val="28"/>
                <w:szCs w:val="28"/>
              </w:rPr>
              <w:t>活动类别</w:t>
            </w:r>
          </w:p>
        </w:tc>
        <w:tc>
          <w:tcPr>
            <w:tcW w:w="2879" w:type="dxa"/>
            <w:tcBorders>
              <w:top w:val="single" w:color="auto" w:sz="4" w:space="0"/>
              <w:left w:val="single" w:color="auto" w:sz="4" w:space="0"/>
              <w:bottom w:val="single" w:color="auto" w:sz="4" w:space="0"/>
              <w:right w:val="nil"/>
            </w:tcBorders>
          </w:tcPr>
          <w:p>
            <w:pPr>
              <w:spacing w:before="57"/>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6"/>
                <w:position w:val="7"/>
                <w:sz w:val="28"/>
                <w:szCs w:val="28"/>
              </w:rPr>
              <w:t>特定对象调</w:t>
            </w:r>
            <w:r>
              <w:rPr>
                <w:rFonts w:hint="eastAsia" w:ascii="仿宋" w:hAnsi="仿宋" w:eastAsia="仿宋" w:cs="仿宋"/>
                <w:spacing w:val="5"/>
                <w:position w:val="7"/>
                <w:sz w:val="28"/>
                <w:szCs w:val="28"/>
              </w:rPr>
              <w:t>研</w:t>
            </w:r>
          </w:p>
          <w:p>
            <w:pPr>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媒体采访</w:t>
            </w:r>
          </w:p>
          <w:p>
            <w:pPr>
              <w:spacing w:before="66"/>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新闻发布会</w:t>
            </w:r>
          </w:p>
          <w:p>
            <w:pPr>
              <w:spacing w:before="69"/>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现场参观</w:t>
            </w:r>
          </w:p>
          <w:p>
            <w:pPr>
              <w:spacing w:before="69"/>
              <w:jc w:val="left"/>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其他</w:t>
            </w:r>
          </w:p>
        </w:tc>
        <w:tc>
          <w:tcPr>
            <w:tcW w:w="3307" w:type="dxa"/>
            <w:tcBorders>
              <w:top w:val="single" w:color="auto" w:sz="4" w:space="0"/>
              <w:left w:val="nil"/>
              <w:bottom w:val="single" w:color="auto" w:sz="4" w:space="0"/>
              <w:right w:val="single" w:color="auto" w:sz="4" w:space="0"/>
            </w:tcBorders>
          </w:tcPr>
          <w:p>
            <w:pPr>
              <w:spacing w:before="57"/>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position w:val="7"/>
                <w:sz w:val="28"/>
                <w:szCs w:val="28"/>
              </w:rPr>
              <w:t>分析师会议</w:t>
            </w:r>
          </w:p>
          <w:p>
            <w:pPr>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业绩说明会</w:t>
            </w:r>
          </w:p>
          <w:p>
            <w:pPr>
              <w:spacing w:before="69"/>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路演活动</w:t>
            </w:r>
          </w:p>
          <w:p>
            <w:pPr>
              <w:jc w:val="left"/>
            </w:pPr>
            <w:r>
              <w:rPr>
                <w:rFonts w:hint="eastAsia" w:ascii="仿宋" w:hAnsi="仿宋" w:eastAsia="仿宋" w:cs="仿宋"/>
                <w:spacing w:val="5"/>
                <w:sz w:val="28"/>
                <w:szCs w:val="28"/>
              </w:rPr>
              <w:sym w:font="Wingdings 2" w:char="0052"/>
            </w:r>
            <w:r>
              <w:rPr>
                <w:rFonts w:hint="eastAsia" w:ascii="仿宋" w:hAnsi="仿宋" w:eastAsia="仿宋" w:cs="仿宋"/>
                <w:spacing w:val="5"/>
                <w:sz w:val="28"/>
                <w:szCs w:val="28"/>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64" w:type="dxa"/>
          </w:tcPr>
          <w:p>
            <w:pPr>
              <w:jc w:val="center"/>
              <w:rPr>
                <w:rFonts w:ascii="仿宋" w:hAnsi="仿宋" w:eastAsia="仿宋" w:cs="仿宋"/>
                <w:spacing w:val="-2"/>
                <w:sz w:val="28"/>
                <w:szCs w:val="28"/>
              </w:rPr>
            </w:pPr>
            <w:r>
              <w:rPr>
                <w:rFonts w:hint="eastAsia" w:ascii="仿宋" w:hAnsi="仿宋" w:eastAsia="仿宋" w:cs="仿宋"/>
                <w:b/>
                <w:bCs/>
                <w:spacing w:val="-2"/>
                <w:sz w:val="28"/>
                <w:szCs w:val="28"/>
              </w:rPr>
              <w:t>调研人员（单位）</w:t>
            </w:r>
          </w:p>
        </w:tc>
        <w:tc>
          <w:tcPr>
            <w:tcW w:w="6186" w:type="dxa"/>
            <w:gridSpan w:val="2"/>
            <w:tcBorders>
              <w:top w:val="single" w:color="auto" w:sz="4" w:space="0"/>
            </w:tcBorders>
            <w:vAlign w:val="center"/>
          </w:tcPr>
          <w:p>
            <w:pPr>
              <w:widowControl/>
              <w:jc w:val="left"/>
              <w:textAlignment w:val="center"/>
              <w:rPr>
                <w:rFonts w:ascii="宋体" w:hAnsi="宋体" w:eastAsia="仿宋" w:cs="宋体"/>
                <w:color w:val="000000"/>
                <w:sz w:val="28"/>
                <w:szCs w:val="28"/>
              </w:rPr>
            </w:pPr>
            <w:r>
              <w:rPr>
                <w:rFonts w:hint="eastAsia" w:ascii="宋体" w:hAnsi="宋体" w:eastAsia="仿宋" w:cs="宋体"/>
                <w:color w:val="000000"/>
                <w:sz w:val="28"/>
                <w:szCs w:val="28"/>
              </w:rPr>
              <w:t>华创证券 富国基金 汇添富基金 长江证券 南方基金 华宝基金 朱雀基金 国泰基金 信泰人寿 交银康联 中信建投 中金证券 中海基金 长城财富保险 沙钢投资控股 南京钢铁股份 嘉实基金 华夏财富创新资管 华泰资管 博时基金 广发证券 申万菱信 工银瑞信 东方基金 太平养老 景顺长城 东吴基金 国盛证券 山西证券 民生证券 西部证券 华御基金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64" w:type="dxa"/>
          </w:tcPr>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调研时间</w:t>
            </w:r>
          </w:p>
        </w:tc>
        <w:tc>
          <w:tcPr>
            <w:tcW w:w="6186" w:type="dxa"/>
            <w:gridSpan w:val="2"/>
          </w:tcPr>
          <w:p>
            <w:pPr>
              <w:rPr>
                <w:rFonts w:ascii="仿宋" w:hAnsi="仿宋" w:eastAsia="仿宋" w:cs="仿宋"/>
                <w:spacing w:val="-2"/>
                <w:sz w:val="28"/>
                <w:szCs w:val="28"/>
              </w:rPr>
            </w:pPr>
            <w:r>
              <w:rPr>
                <w:rFonts w:hint="eastAsia" w:ascii="仿宋" w:hAnsi="仿宋" w:eastAsia="仿宋" w:cs="仿宋"/>
                <w:spacing w:val="-2"/>
                <w:sz w:val="28"/>
                <w:szCs w:val="28"/>
              </w:rPr>
              <w:t>2023年8月2日—2023年8月30日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64" w:type="dxa"/>
          </w:tcPr>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调研地点</w:t>
            </w:r>
          </w:p>
        </w:tc>
        <w:tc>
          <w:tcPr>
            <w:tcW w:w="6186" w:type="dxa"/>
            <w:gridSpan w:val="2"/>
          </w:tcPr>
          <w:p>
            <w:pPr>
              <w:rPr>
                <w:rFonts w:ascii="仿宋" w:hAnsi="仿宋" w:eastAsia="仿宋" w:cs="仿宋"/>
                <w:spacing w:val="-2"/>
                <w:sz w:val="28"/>
                <w:szCs w:val="28"/>
              </w:rPr>
            </w:pPr>
            <w:r>
              <w:rPr>
                <w:rFonts w:hint="eastAsia" w:ascii="仿宋" w:hAnsi="仿宋" w:eastAsia="仿宋" w:cs="仿宋"/>
                <w:spacing w:val="-2"/>
                <w:sz w:val="28"/>
                <w:szCs w:val="28"/>
              </w:rPr>
              <w:t>线上、长寿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64" w:type="dxa"/>
          </w:tcPr>
          <w:p>
            <w:pPr>
              <w:rPr>
                <w:b/>
                <w:bCs/>
                <w:sz w:val="24"/>
                <w:szCs w:val="32"/>
              </w:rPr>
            </w:pPr>
            <w:r>
              <w:rPr>
                <w:rFonts w:hint="eastAsia" w:ascii="仿宋" w:hAnsi="仿宋" w:eastAsia="仿宋" w:cs="仿宋"/>
                <w:b/>
                <w:bCs/>
                <w:spacing w:val="-2"/>
                <w:sz w:val="28"/>
                <w:szCs w:val="28"/>
              </w:rPr>
              <w:t>上市公司接待人员</w:t>
            </w:r>
          </w:p>
        </w:tc>
        <w:tc>
          <w:tcPr>
            <w:tcW w:w="6186" w:type="dxa"/>
            <w:gridSpan w:val="2"/>
          </w:tcPr>
          <w:p>
            <w:pPr>
              <w:jc w:val="left"/>
              <w:rPr>
                <w:rFonts w:ascii="仿宋" w:hAnsi="仿宋" w:eastAsia="仿宋" w:cs="仿宋"/>
                <w:spacing w:val="-2"/>
                <w:sz w:val="28"/>
                <w:szCs w:val="28"/>
              </w:rPr>
            </w:pPr>
            <w:r>
              <w:rPr>
                <w:rFonts w:hint="eastAsia" w:ascii="仿宋" w:hAnsi="仿宋" w:eastAsia="仿宋" w:cs="仿宋"/>
                <w:spacing w:val="-2"/>
                <w:sz w:val="28"/>
                <w:szCs w:val="28"/>
              </w:rPr>
              <w:t>董秘兼财务负责人 李代萍、证券部相关人员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64" w:type="dxa"/>
          </w:tcPr>
          <w:p>
            <w:pPr>
              <w:jc w:val="center"/>
              <w:rPr>
                <w:rFonts w:eastAsia="仿宋"/>
                <w:b/>
                <w:bCs/>
                <w:sz w:val="24"/>
                <w:szCs w:val="32"/>
              </w:rPr>
            </w:pPr>
            <w:r>
              <w:rPr>
                <w:rFonts w:hint="eastAsia" w:ascii="仿宋" w:hAnsi="仿宋" w:eastAsia="仿宋" w:cs="仿宋"/>
                <w:b/>
                <w:bCs/>
                <w:spacing w:val="-2"/>
                <w:sz w:val="28"/>
                <w:szCs w:val="28"/>
              </w:rPr>
              <w:t>投资者关系活动主要内容</w:t>
            </w:r>
          </w:p>
        </w:tc>
        <w:tc>
          <w:tcPr>
            <w:tcW w:w="6186" w:type="dxa"/>
            <w:gridSpan w:val="2"/>
          </w:tcPr>
          <w:p>
            <w:pPr>
              <w:pStyle w:val="3"/>
              <w:rPr>
                <w:rFonts w:ascii="仿宋" w:hAnsi="仿宋" w:eastAsia="仿宋" w:cs="仿宋"/>
                <w:color w:val="FF0000"/>
                <w:sz w:val="28"/>
                <w:szCs w:val="28"/>
              </w:rPr>
            </w:pPr>
            <w:r>
              <w:rPr>
                <w:rFonts w:hint="eastAsia" w:ascii="仿宋" w:hAnsi="仿宋" w:eastAsia="仿宋" w:cs="仿宋"/>
                <w:b/>
                <w:bCs/>
                <w:sz w:val="28"/>
                <w:szCs w:val="28"/>
              </w:rPr>
              <w:t>1、公司上半年两大主营业务的基本经营情况？</w:t>
            </w:r>
            <w:r>
              <w:rPr>
                <w:rFonts w:hint="eastAsia" w:ascii="仿宋" w:hAnsi="仿宋" w:eastAsia="仿宋" w:cs="仿宋"/>
                <w:b/>
                <w:bCs/>
                <w:sz w:val="28"/>
                <w:szCs w:val="28"/>
              </w:rPr>
              <w:br w:type="textWrapping"/>
            </w:r>
            <w:r>
              <w:rPr>
                <w:rFonts w:hint="eastAsia" w:ascii="仿宋" w:hAnsi="仿宋" w:eastAsia="仿宋" w:cs="仿宋"/>
                <w:sz w:val="28"/>
                <w:szCs w:val="28"/>
                <w:highlight w:val="none"/>
              </w:rPr>
              <w:t>答：上半年公司取向硅钢版块</w:t>
            </w:r>
            <w:r>
              <w:rPr>
                <w:rFonts w:hint="eastAsia" w:ascii="仿宋" w:hAnsi="仿宋" w:eastAsia="仿宋" w:cs="仿宋"/>
                <w:sz w:val="28"/>
                <w:szCs w:val="28"/>
                <w:highlight w:val="none"/>
                <w:lang w:val="en-US" w:eastAsia="zh-CN"/>
              </w:rPr>
              <w:t>平均价格同比提高，带来毛利率提升</w:t>
            </w:r>
            <w:r>
              <w:rPr>
                <w:rFonts w:hint="eastAsia" w:ascii="仿宋" w:hAnsi="仿宋" w:eastAsia="仿宋" w:cs="仿宋"/>
                <w:sz w:val="28"/>
                <w:szCs w:val="28"/>
                <w:highlight w:val="none"/>
              </w:rPr>
              <w:t>，整体经营正常；输配电及控制设备版块同整个行业增速一致。</w:t>
            </w:r>
            <w:r>
              <w:rPr>
                <w:rFonts w:hint="eastAsia" w:ascii="仿宋" w:hAnsi="仿宋" w:eastAsia="仿宋" w:cs="仿宋"/>
                <w:sz w:val="28"/>
                <w:szCs w:val="28"/>
              </w:rPr>
              <w:br w:type="textWrapping"/>
            </w:r>
            <w:r>
              <w:rPr>
                <w:rFonts w:hint="eastAsia" w:ascii="仿宋" w:hAnsi="仿宋" w:eastAsia="仿宋" w:cs="仿宋"/>
                <w:b/>
                <w:bCs/>
                <w:sz w:val="28"/>
                <w:szCs w:val="28"/>
              </w:rPr>
              <w:t>2、公司上半年出口占比缩小的原因是？下半年是否会加大出口？</w:t>
            </w:r>
            <w:r>
              <w:rPr>
                <w:rFonts w:hint="eastAsia" w:ascii="仿宋" w:hAnsi="仿宋" w:eastAsia="仿宋" w:cs="仿宋"/>
                <w:sz w:val="28"/>
                <w:szCs w:val="28"/>
              </w:rPr>
              <w:br w:type="textWrapping"/>
            </w:r>
            <w:r>
              <w:rPr>
                <w:rFonts w:hint="eastAsia" w:ascii="仿宋" w:hAnsi="仿宋" w:eastAsia="仿宋" w:cs="仿宋"/>
                <w:sz w:val="28"/>
                <w:szCs w:val="28"/>
              </w:rPr>
              <w:t>答：公司上半年出口占比缩小系海外市场价格优势减弱，公司会根据国际国内市场行情适时调整战略布局。</w:t>
            </w:r>
            <w:r>
              <w:rPr>
                <w:rFonts w:hint="eastAsia" w:ascii="仿宋" w:hAnsi="仿宋" w:eastAsia="仿宋" w:cs="仿宋"/>
                <w:sz w:val="28"/>
                <w:szCs w:val="28"/>
              </w:rPr>
              <w:br w:type="textWrapping"/>
            </w:r>
            <w:r>
              <w:rPr>
                <w:rFonts w:hint="eastAsia" w:ascii="仿宋" w:hAnsi="仿宋" w:eastAsia="仿宋" w:cs="仿宋"/>
                <w:b/>
                <w:bCs/>
                <w:sz w:val="28"/>
                <w:szCs w:val="28"/>
              </w:rPr>
              <w:t>3、低铁损高磁感硅钢铁心智能制造项目收入展望？</w:t>
            </w:r>
            <w:r>
              <w:rPr>
                <w:rFonts w:hint="eastAsia" w:ascii="仿宋" w:hAnsi="仿宋" w:eastAsia="仿宋" w:cs="仿宋"/>
                <w:sz w:val="28"/>
                <w:szCs w:val="28"/>
              </w:rPr>
              <w:br w:type="textWrapping"/>
            </w:r>
            <w:r>
              <w:rPr>
                <w:rFonts w:hint="eastAsia" w:ascii="仿宋" w:hAnsi="仿宋" w:eastAsia="仿宋" w:cs="仿宋"/>
                <w:sz w:val="28"/>
                <w:szCs w:val="28"/>
              </w:rPr>
              <w:t>答：低铁损高磁感硅钢铁心智能制造项目初步建成，部分产线在调试中</w:t>
            </w:r>
            <w:r>
              <w:rPr>
                <w:rFonts w:hint="eastAsia" w:ascii="仿宋" w:hAnsi="仿宋" w:eastAsia="仿宋" w:cs="仿宋"/>
                <w:sz w:val="28"/>
                <w:szCs w:val="28"/>
                <w:lang w:eastAsia="zh-CN"/>
              </w:rPr>
              <w:t>，</w:t>
            </w:r>
            <w:r>
              <w:rPr>
                <w:rFonts w:hint="eastAsia" w:ascii="仿宋" w:hAnsi="仿宋" w:eastAsia="仿宋" w:cs="仿宋"/>
                <w:sz w:val="28"/>
                <w:szCs w:val="28"/>
              </w:rPr>
              <w:t>具体业绩以相关公告为准。</w:t>
            </w:r>
            <w:r>
              <w:rPr>
                <w:rFonts w:hint="eastAsia" w:ascii="仿宋" w:hAnsi="仿宋" w:eastAsia="仿宋" w:cs="仿宋"/>
                <w:sz w:val="28"/>
                <w:szCs w:val="28"/>
              </w:rPr>
              <w:br w:type="textWrapping"/>
            </w:r>
            <w:r>
              <w:rPr>
                <w:rFonts w:hint="eastAsia" w:ascii="仿宋" w:hAnsi="仿宋" w:eastAsia="仿宋" w:cs="仿宋"/>
                <w:b/>
                <w:bCs/>
                <w:sz w:val="28"/>
                <w:szCs w:val="28"/>
              </w:rPr>
              <w:t>4、公司取向硅钢出口收入是否有分区域的拆分数据？</w:t>
            </w:r>
            <w:r>
              <w:rPr>
                <w:rFonts w:hint="eastAsia" w:ascii="仿宋" w:hAnsi="仿宋" w:eastAsia="仿宋" w:cs="仿宋"/>
                <w:b/>
                <w:bCs/>
                <w:sz w:val="28"/>
                <w:szCs w:val="28"/>
              </w:rPr>
              <w:br w:type="textWrapping"/>
            </w:r>
            <w:r>
              <w:rPr>
                <w:rFonts w:hint="eastAsia" w:ascii="仿宋" w:hAnsi="仿宋" w:eastAsia="仿宋" w:cs="仿宋"/>
                <w:sz w:val="28"/>
                <w:szCs w:val="28"/>
              </w:rPr>
              <w:t>答：公司取向硅钢出口主要区域是东南亚，具体数据相关公告为准。</w:t>
            </w:r>
            <w:r>
              <w:rPr>
                <w:rFonts w:hint="eastAsia" w:ascii="仿宋" w:hAnsi="仿宋" w:eastAsia="仿宋" w:cs="仿宋"/>
                <w:sz w:val="28"/>
                <w:szCs w:val="28"/>
              </w:rPr>
              <w:br w:type="textWrapping"/>
            </w:r>
            <w:r>
              <w:rPr>
                <w:rFonts w:hint="eastAsia" w:ascii="仿宋" w:hAnsi="仿宋" w:eastAsia="仿宋" w:cs="仿宋"/>
                <w:b/>
                <w:bCs/>
                <w:sz w:val="28"/>
                <w:szCs w:val="28"/>
              </w:rPr>
              <w:t>5、八万吨高端磁性新材料项目的高牌号产出规划？</w:t>
            </w:r>
            <w:r>
              <w:rPr>
                <w:rFonts w:hint="eastAsia" w:ascii="仿宋" w:hAnsi="仿宋" w:eastAsia="仿宋" w:cs="仿宋"/>
                <w:b/>
                <w:bCs/>
                <w:sz w:val="28"/>
                <w:szCs w:val="28"/>
              </w:rPr>
              <w:br w:type="textWrapping"/>
            </w:r>
            <w:r>
              <w:rPr>
                <w:rFonts w:hint="eastAsia" w:ascii="仿宋" w:hAnsi="仿宋" w:eastAsia="仿宋" w:cs="仿宋"/>
                <w:sz w:val="28"/>
                <w:szCs w:val="28"/>
              </w:rPr>
              <w:t>答：八万吨高端磁性新材料项目计划于2024年6月30日全线投产，旨在生产85及以上的高牌号取向硅钢</w:t>
            </w:r>
            <w:r>
              <w:rPr>
                <w:rFonts w:hint="eastAsia" w:ascii="仿宋" w:hAnsi="仿宋" w:eastAsia="仿宋" w:cs="仿宋"/>
                <w:sz w:val="28"/>
                <w:szCs w:val="28"/>
              </w:rPr>
              <w:t>，具体数据以实际产出为准。</w:t>
            </w:r>
            <w:r>
              <w:rPr>
                <w:rFonts w:hint="eastAsia" w:ascii="仿宋" w:hAnsi="仿宋" w:eastAsia="仿宋" w:cs="仿宋"/>
                <w:sz w:val="28"/>
                <w:szCs w:val="28"/>
              </w:rPr>
              <w:br w:type="textWrapping"/>
            </w:r>
            <w:r>
              <w:rPr>
                <w:rFonts w:hint="eastAsia" w:ascii="仿宋" w:hAnsi="仿宋" w:eastAsia="仿宋" w:cs="仿宋"/>
                <w:b/>
                <w:bCs/>
                <w:sz w:val="28"/>
                <w:szCs w:val="28"/>
              </w:rPr>
              <w:t>6、取向硅钢占变压器成本占比？</w:t>
            </w:r>
            <w:r>
              <w:rPr>
                <w:rFonts w:hint="eastAsia" w:ascii="仿宋" w:hAnsi="仿宋" w:eastAsia="仿宋" w:cs="仿宋"/>
                <w:b/>
                <w:bCs/>
                <w:sz w:val="28"/>
                <w:szCs w:val="28"/>
              </w:rPr>
              <w:br w:type="textWrapping"/>
            </w:r>
            <w:r>
              <w:rPr>
                <w:rFonts w:hint="eastAsia" w:ascii="仿宋" w:hAnsi="仿宋" w:eastAsia="仿宋" w:cs="仿宋"/>
                <w:sz w:val="28"/>
                <w:szCs w:val="28"/>
              </w:rPr>
              <w:t>答：取向硅钢占变压器成本与变压器能效等级、变压器容量、其他主材如铜材单价等多种因素影响，一般占比在25-35%左右。</w:t>
            </w:r>
          </w:p>
          <w:p>
            <w:pPr>
              <w:pStyle w:val="3"/>
              <w:rPr>
                <w:rFonts w:ascii="仿宋" w:hAnsi="仿宋" w:eastAsia="仿宋" w:cs="仿宋"/>
                <w:sz w:val="28"/>
                <w:szCs w:val="28"/>
              </w:rPr>
            </w:pPr>
            <w:r>
              <w:rPr>
                <w:rFonts w:hint="eastAsia" w:ascii="仿宋" w:hAnsi="仿宋" w:eastAsia="仿宋" w:cs="仿宋"/>
                <w:b/>
                <w:bCs/>
                <w:sz w:val="28"/>
                <w:szCs w:val="28"/>
                <w:highlight w:val="none"/>
              </w:rPr>
              <w:t>7、现目前非晶变压器市场占比？</w:t>
            </w:r>
            <w:r>
              <w:rPr>
                <w:rFonts w:hint="eastAsia" w:ascii="仿宋" w:hAnsi="仿宋" w:eastAsia="仿宋" w:cs="仿宋"/>
                <w:b/>
                <w:bCs/>
                <w:sz w:val="28"/>
                <w:szCs w:val="28"/>
                <w:highlight w:val="none"/>
              </w:rPr>
              <w:br w:type="textWrapping"/>
            </w:r>
            <w:r>
              <w:rPr>
                <w:rFonts w:hint="eastAsia" w:ascii="仿宋" w:hAnsi="仿宋" w:eastAsia="仿宋" w:cs="仿宋"/>
                <w:sz w:val="28"/>
                <w:szCs w:val="28"/>
                <w:highlight w:val="none"/>
              </w:rPr>
              <w:t>答：今年两网招标10kV非晶变压器占比有一定幅度提升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但由于其本身加工性能问题，目前仅用于200KVA和400KVA的小型变压器。</w:t>
            </w:r>
            <w:bookmarkStart w:id="0" w:name="_GoBack"/>
            <w:bookmarkEnd w:id="0"/>
            <w:r>
              <w:rPr>
                <w:rFonts w:hint="eastAsia" w:ascii="仿宋" w:hAnsi="仿宋" w:eastAsia="仿宋" w:cs="仿宋"/>
                <w:sz w:val="28"/>
                <w:szCs w:val="28"/>
              </w:rPr>
              <w:br w:type="textWrapping"/>
            </w:r>
            <w:r>
              <w:rPr>
                <w:rFonts w:hint="eastAsia" w:ascii="仿宋" w:hAnsi="仿宋" w:eastAsia="仿宋" w:cs="仿宋"/>
                <w:b/>
                <w:bCs/>
                <w:sz w:val="28"/>
                <w:szCs w:val="28"/>
              </w:rPr>
              <w:t>8、美国等国外变压器行业的现状和未来对中国变压器、取向硅钢需求的影响？</w:t>
            </w:r>
            <w:r>
              <w:rPr>
                <w:rFonts w:hint="eastAsia" w:ascii="仿宋" w:hAnsi="仿宋" w:eastAsia="仿宋" w:cs="仿宋"/>
                <w:b/>
                <w:bCs/>
                <w:sz w:val="28"/>
                <w:szCs w:val="28"/>
              </w:rPr>
              <w:br w:type="textWrapping"/>
            </w:r>
            <w:r>
              <w:rPr>
                <w:rFonts w:hint="eastAsia" w:ascii="仿宋" w:hAnsi="仿宋" w:eastAsia="仿宋" w:cs="仿宋"/>
                <w:sz w:val="28"/>
                <w:szCs w:val="28"/>
              </w:rPr>
              <w:t>答：全球能源转型以及用电量提升带动了电网建设需求，以变压器为代表的电力设备出口增速上行，预期对国内取向硅钢出口利好。</w:t>
            </w:r>
            <w:r>
              <w:rPr>
                <w:rFonts w:hint="eastAsia" w:ascii="仿宋" w:hAnsi="仿宋" w:eastAsia="仿宋" w:cs="仿宋"/>
                <w:sz w:val="28"/>
                <w:szCs w:val="28"/>
              </w:rPr>
              <w:br w:type="textWrapping"/>
            </w:r>
            <w:r>
              <w:rPr>
                <w:rFonts w:hint="eastAsia" w:ascii="仿宋" w:hAnsi="仿宋" w:eastAsia="仿宋" w:cs="仿宋"/>
                <w:sz w:val="28"/>
                <w:szCs w:val="28"/>
              </w:rPr>
              <w:t>9、</w:t>
            </w:r>
            <w:r>
              <w:rPr>
                <w:rFonts w:hint="eastAsia" w:ascii="仿宋" w:hAnsi="仿宋" w:eastAsia="仿宋" w:cs="仿宋"/>
                <w:b/>
                <w:bCs/>
                <w:sz w:val="28"/>
                <w:szCs w:val="28"/>
              </w:rPr>
              <w:t>如何看待公司输配电版块与同行业的毛利差异？</w:t>
            </w:r>
            <w:r>
              <w:rPr>
                <w:rFonts w:hint="eastAsia" w:ascii="仿宋" w:hAnsi="仿宋" w:eastAsia="仿宋" w:cs="仿宋"/>
                <w:b/>
                <w:bCs/>
                <w:sz w:val="28"/>
                <w:szCs w:val="28"/>
              </w:rPr>
              <w:br w:type="textWrapping"/>
            </w:r>
            <w:r>
              <w:rPr>
                <w:rFonts w:hint="eastAsia" w:ascii="仿宋" w:hAnsi="仿宋" w:eastAsia="仿宋" w:cs="仿宋"/>
                <w:b/>
                <w:bCs/>
                <w:sz w:val="28"/>
                <w:szCs w:val="28"/>
              </w:rPr>
              <w:t>答：</w:t>
            </w:r>
            <w:r>
              <w:rPr>
                <w:rFonts w:hint="eastAsia" w:ascii="仿宋" w:hAnsi="仿宋" w:eastAsia="仿宋" w:cs="仿宋"/>
                <w:sz w:val="28"/>
                <w:szCs w:val="28"/>
              </w:rPr>
              <w:t>公司输配电毛利率与同行业一致；毛利率存在个性化差异基于输配电设备行业电压等级不同、客户不同、能效等级不同、运用领域差异、技术配置差异、成本地区差异等多方面原因</w:t>
            </w:r>
            <w:r>
              <w:rPr>
                <w:rFonts w:hint="eastAsia" w:ascii="仿宋" w:hAnsi="仿宋" w:eastAsia="仿宋" w:cs="仿宋"/>
                <w:sz w:val="28"/>
                <w:szCs w:val="28"/>
                <w:lang w:eastAsia="zh-CN"/>
              </w:rPr>
              <w:t>，</w:t>
            </w:r>
            <w:r>
              <w:rPr>
                <w:rFonts w:hint="eastAsia" w:ascii="仿宋" w:hAnsi="仿宋" w:eastAsia="仿宋" w:cs="仿宋"/>
                <w:sz w:val="28"/>
                <w:szCs w:val="28"/>
              </w:rPr>
              <w:t>我们认为有差异是正常的。</w:t>
            </w:r>
          </w:p>
          <w:p>
            <w:pPr>
              <w:pStyle w:val="3"/>
              <w:rPr>
                <w:rFonts w:ascii="仿宋" w:hAnsi="仿宋" w:eastAsia="仿宋" w:cs="仿宋"/>
                <w:sz w:val="28"/>
                <w:szCs w:val="28"/>
              </w:rPr>
            </w:pPr>
            <w:r>
              <w:rPr>
                <w:rFonts w:hint="eastAsia" w:ascii="仿宋" w:hAnsi="仿宋" w:eastAsia="仿宋" w:cs="仿宋"/>
                <w:b/>
                <w:bCs/>
                <w:sz w:val="28"/>
                <w:szCs w:val="28"/>
              </w:rPr>
              <w:t>10、国家提出农网配电深化改造，预计对于我国变压器行业的容量提升有多少?</w:t>
            </w:r>
            <w:r>
              <w:rPr>
                <w:rFonts w:hint="eastAsia" w:ascii="仿宋" w:hAnsi="仿宋" w:eastAsia="仿宋" w:cs="仿宋"/>
                <w:b/>
                <w:bCs/>
                <w:sz w:val="28"/>
                <w:szCs w:val="28"/>
              </w:rPr>
              <w:br w:type="textWrapping"/>
            </w:r>
            <w:r>
              <w:rPr>
                <w:rFonts w:hint="eastAsia" w:ascii="仿宋" w:hAnsi="仿宋" w:eastAsia="仿宋" w:cs="仿宋"/>
                <w:sz w:val="28"/>
                <w:szCs w:val="28"/>
              </w:rPr>
              <w:t>答：整体而言，国家农网配电深化改造会增加用电负荷，同步会提高变压器使用容量。</w:t>
            </w:r>
          </w:p>
          <w:p>
            <w:pPr>
              <w:numPr>
                <w:ilvl w:val="255"/>
                <w:numId w:val="0"/>
              </w:numPr>
              <w:rPr>
                <w:rFonts w:ascii="仿宋" w:hAnsi="仿宋" w:eastAsia="仿宋" w:cs="仿宋"/>
                <w:sz w:val="28"/>
                <w:szCs w:val="28"/>
              </w:rPr>
            </w:pPr>
            <w:r>
              <w:rPr>
                <w:rFonts w:hint="eastAsia" w:ascii="仿宋" w:hAnsi="仿宋" w:eastAsia="仿宋" w:cs="仿宋"/>
                <w:b/>
                <w:bCs/>
                <w:sz w:val="28"/>
                <w:szCs w:val="28"/>
              </w:rPr>
              <w:t>11、请公司从专业角度对取向硅钢未来价格走势及需求做个预判？</w:t>
            </w:r>
            <w:r>
              <w:rPr>
                <w:rFonts w:hint="eastAsia" w:ascii="仿宋" w:hAnsi="仿宋" w:eastAsia="仿宋" w:cs="仿宋"/>
                <w:b/>
                <w:bCs/>
                <w:sz w:val="28"/>
                <w:szCs w:val="28"/>
              </w:rPr>
              <w:br w:type="textWrapping"/>
            </w:r>
            <w:r>
              <w:rPr>
                <w:rFonts w:hint="eastAsia" w:ascii="仿宋" w:hAnsi="仿宋" w:eastAsia="仿宋" w:cs="仿宋"/>
                <w:sz w:val="28"/>
                <w:szCs w:val="28"/>
              </w:rPr>
              <w:t>答：公司预期取向硅钢硅钢价格在2023年第三季度逐步趋于平稳状态，预计2023年第四季度价格回暖。总体而言，随着国家的“双碳”和“变压器能效升级”政策以及一些列推进“电力装备绿色低碳”的政策发布，高牌号取向硅钢的需求因节能变压器的需求增加而增加，一般取向硅钢的需求因两网外和国外客户的需求保持相对稳定。</w:t>
            </w:r>
            <w:r>
              <w:rPr>
                <w:rFonts w:hint="eastAsia" w:ascii="仿宋" w:hAnsi="仿宋" w:eastAsia="仿宋" w:cs="仿宋"/>
                <w:sz w:val="28"/>
                <w:szCs w:val="28"/>
              </w:rPr>
              <w:br w:type="textWrapping"/>
            </w:r>
            <w:r>
              <w:rPr>
                <w:rFonts w:hint="eastAsia" w:ascii="仿宋" w:hAnsi="仿宋" w:eastAsia="仿宋" w:cs="仿宋"/>
                <w:b/>
                <w:bCs/>
                <w:sz w:val="28"/>
                <w:szCs w:val="28"/>
              </w:rPr>
              <w:t>12、公司是否会布局储能等相关产业？是否考虑覆盖特高压等级？</w:t>
            </w:r>
            <w:r>
              <w:rPr>
                <w:rFonts w:hint="eastAsia" w:ascii="仿宋" w:hAnsi="仿宋" w:eastAsia="仿宋" w:cs="仿宋"/>
                <w:b/>
                <w:bCs/>
                <w:sz w:val="28"/>
                <w:szCs w:val="28"/>
              </w:rPr>
              <w:br w:type="textWrapping"/>
            </w:r>
            <w:r>
              <w:rPr>
                <w:rFonts w:hint="eastAsia" w:ascii="仿宋" w:hAnsi="仿宋" w:eastAsia="仿宋" w:cs="仿宋"/>
                <w:sz w:val="28"/>
                <w:szCs w:val="28"/>
              </w:rPr>
              <w:t>答：</w:t>
            </w:r>
            <w:r>
              <w:rPr>
                <w:rFonts w:hint="eastAsia" w:ascii="仿宋" w:hAnsi="仿宋" w:eastAsia="仿宋" w:cs="仿宋"/>
                <w:sz w:val="28"/>
                <w:szCs w:val="28"/>
                <w:highlight w:val="none"/>
              </w:rPr>
              <w:t>公司输配电相关产品可以运用到储能产业，公司关于储能产业规划目前在研究中</w:t>
            </w:r>
            <w:r>
              <w:rPr>
                <w:rFonts w:hint="eastAsia" w:ascii="仿宋" w:hAnsi="仿宋" w:eastAsia="仿宋" w:cs="仿宋"/>
                <w:sz w:val="28"/>
                <w:szCs w:val="28"/>
              </w:rPr>
              <w:t>；公司输配电版块暂未涉及特高压等级</w:t>
            </w:r>
            <w:r>
              <w:rPr>
                <w:rFonts w:hint="eastAsia" w:ascii="仿宋" w:hAnsi="仿宋" w:eastAsia="仿宋" w:cs="仿宋"/>
                <w:sz w:val="28"/>
                <w:szCs w:val="28"/>
                <w:highlight w:val="none"/>
              </w:rPr>
              <w:t>；</w:t>
            </w:r>
            <w:r>
              <w:rPr>
                <w:rFonts w:hint="eastAsia" w:ascii="仿宋" w:hAnsi="仿宋" w:eastAsia="仿宋" w:cs="仿宋"/>
                <w:sz w:val="28"/>
                <w:szCs w:val="28"/>
              </w:rPr>
              <w:t>重大投资战略布局请以相关公告为准。</w:t>
            </w:r>
          </w:p>
          <w:p>
            <w:pPr>
              <w:rPr>
                <w:rFonts w:ascii="仿宋" w:hAnsi="仿宋" w:eastAsia="仿宋" w:cs="仿宋"/>
                <w:b/>
                <w:sz w:val="28"/>
                <w:szCs w:val="28"/>
              </w:rPr>
            </w:pPr>
            <w:r>
              <w:rPr>
                <w:rFonts w:hint="eastAsia" w:ascii="仿宋" w:hAnsi="仿宋" w:eastAsia="仿宋" w:cs="仿宋"/>
                <w:b/>
                <w:sz w:val="28"/>
                <w:szCs w:val="28"/>
              </w:rPr>
              <w:t>13、取向硅钢的技术壁垒和公司的行业地位如何？</w:t>
            </w:r>
          </w:p>
          <w:p>
            <w:pPr>
              <w:numPr>
                <w:ilvl w:val="255"/>
                <w:numId w:val="0"/>
              </w:numPr>
              <w:rPr>
                <w:rFonts w:ascii="仿宋" w:hAnsi="仿宋" w:eastAsia="仿宋" w:cs="仿宋"/>
                <w:sz w:val="28"/>
                <w:szCs w:val="28"/>
                <w:highlight w:val="none"/>
              </w:rPr>
            </w:pPr>
            <w:r>
              <w:rPr>
                <w:rFonts w:hint="eastAsia" w:ascii="仿宋" w:hAnsi="仿宋" w:eastAsia="仿宋" w:cs="仿宋"/>
                <w:sz w:val="28"/>
                <w:szCs w:val="28"/>
              </w:rPr>
              <w:t>答：取向硅钢，尤其是高磁感取向硅钢，因工艺窗口参数控制技术壁垒较高，国内能够生产高磁感取向硅钢的企业较少，行业内企业主要集中在大型的国有钢铁企业和较少数的民营企业</w:t>
            </w:r>
            <w:r>
              <w:rPr>
                <w:rFonts w:hint="eastAsia" w:ascii="仿宋" w:hAnsi="仿宋" w:eastAsia="仿宋" w:cs="仿宋"/>
                <w:sz w:val="28"/>
                <w:szCs w:val="28"/>
                <w:lang w:eastAsia="zh-CN"/>
              </w:rPr>
              <w:t>，</w:t>
            </w:r>
            <w:r>
              <w:rPr>
                <w:rFonts w:hint="eastAsia" w:ascii="仿宋" w:hAnsi="仿宋" w:eastAsia="仿宋" w:cs="仿宋"/>
                <w:sz w:val="28"/>
                <w:szCs w:val="28"/>
                <w:highlight w:val="none"/>
              </w:rPr>
              <w:t>公司产量排名处于行业前列。</w:t>
            </w:r>
          </w:p>
          <w:p>
            <w:pPr>
              <w:numPr>
                <w:ilvl w:val="255"/>
                <w:numId w:val="0"/>
              </w:numPr>
              <w:rPr>
                <w:rFonts w:ascii="仿宋" w:hAnsi="仿宋" w:eastAsia="仿宋" w:cs="仿宋"/>
                <w:b/>
                <w:bCs/>
                <w:sz w:val="28"/>
                <w:szCs w:val="28"/>
              </w:rPr>
            </w:pPr>
            <w:r>
              <w:rPr>
                <w:rFonts w:hint="eastAsia" w:ascii="仿宋" w:hAnsi="仿宋" w:eastAsia="仿宋" w:cs="仿宋"/>
                <w:b/>
                <w:bCs/>
                <w:sz w:val="28"/>
                <w:szCs w:val="28"/>
              </w:rPr>
              <w:t>14、取向硅钢原料卷的供应情况？华菱涟源在原料供应端占比多少？</w:t>
            </w:r>
          </w:p>
          <w:p>
            <w:pPr>
              <w:numPr>
                <w:ilvl w:val="255"/>
                <w:numId w:val="0"/>
              </w:numPr>
              <w:rPr>
                <w:rFonts w:ascii="仿宋" w:hAnsi="仿宋" w:eastAsia="仿宋" w:cs="仿宋"/>
                <w:sz w:val="28"/>
                <w:szCs w:val="28"/>
              </w:rPr>
            </w:pPr>
            <w:r>
              <w:rPr>
                <w:rFonts w:hint="eastAsia" w:ascii="仿宋" w:hAnsi="仿宋" w:eastAsia="仿宋" w:cs="仿宋"/>
                <w:sz w:val="28"/>
                <w:szCs w:val="28"/>
              </w:rPr>
              <w:t>答：能生产高磁感取向硅钢原料卷的企业主要有</w:t>
            </w:r>
          </w:p>
          <w:p>
            <w:pPr>
              <w:numPr>
                <w:ilvl w:val="255"/>
                <w:numId w:val="0"/>
              </w:num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sz w:val="28"/>
                <w:szCs w:val="28"/>
              </w:rPr>
              <w:t>宝钢、首钢、太钢、华菱涟源和安阳钢铁等钢企。现目前公司采取主辅供应的模式，华菱涟源为公司取向硅钢原料卷主要供应商之一，具体占比公司会根据成本等相关综合因素适时调整。</w:t>
            </w:r>
            <w:r>
              <w:rPr>
                <w:rFonts w:hint="eastAsia" w:ascii="仿宋" w:hAnsi="仿宋" w:eastAsia="仿宋" w:cs="仿宋"/>
                <w:sz w:val="28"/>
                <w:szCs w:val="28"/>
              </w:rPr>
              <w:br w:type="textWrapping"/>
            </w:r>
            <w:r>
              <w:rPr>
                <w:rFonts w:hint="eastAsia" w:ascii="仿宋" w:hAnsi="仿宋" w:eastAsia="仿宋" w:cs="仿宋"/>
                <w:b/>
                <w:bCs/>
                <w:color w:val="000000" w:themeColor="text1"/>
                <w:sz w:val="28"/>
                <w:szCs w:val="28"/>
                <w14:textFill>
                  <w14:solidFill>
                    <w14:schemeClr w14:val="tx1"/>
                  </w14:solidFill>
                </w14:textFill>
              </w:rPr>
              <w:t>15、请问未来宝钢、首钢、太钢产能释放后，高牌号取向硅钢会出现产能过剩的情况吗？</w:t>
            </w:r>
          </w:p>
          <w:p>
            <w:pPr>
              <w:numPr>
                <w:ilvl w:val="255"/>
                <w:numId w:val="0"/>
              </w:numPr>
              <w:rPr>
                <w:rFonts w:ascii="仿宋" w:hAnsi="仿宋" w:eastAsia="仿宋" w:cs="仿宋"/>
                <w:sz w:val="28"/>
                <w:szCs w:val="28"/>
              </w:rPr>
            </w:pPr>
            <w:r>
              <w:rPr>
                <w:rFonts w:hint="eastAsia" w:ascii="仿宋" w:hAnsi="仿宋" w:eastAsia="仿宋" w:cs="仿宋"/>
                <w:sz w:val="28"/>
                <w:szCs w:val="28"/>
              </w:rPr>
              <w:t>答：在“双碳”经济的影响及新能源行业高速发展的情况下，对于变压器能效升级的大规模推广，高牌号取向硅钢产品的市场需求也会随之提升，我们预估不会出现高牌号取向硅钢产能过剩的情况。</w:t>
            </w:r>
          </w:p>
          <w:p>
            <w:pPr>
              <w:numPr>
                <w:ilvl w:val="255"/>
                <w:numId w:val="0"/>
              </w:numPr>
              <w:rPr>
                <w:rFonts w:ascii="仿宋" w:hAnsi="仿宋" w:eastAsia="仿宋" w:cs="仿宋"/>
                <w:b/>
                <w:bCs/>
                <w:sz w:val="28"/>
                <w:szCs w:val="28"/>
              </w:rPr>
            </w:pPr>
            <w:r>
              <w:rPr>
                <w:rFonts w:hint="eastAsia" w:ascii="仿宋" w:hAnsi="仿宋" w:eastAsia="仿宋" w:cs="仿宋"/>
                <w:b/>
                <w:bCs/>
                <w:sz w:val="28"/>
                <w:szCs w:val="28"/>
              </w:rPr>
              <w:t>16、公司近期订单如何，新能源方面光伏和风电行业装机速度对公司的业务有明显的影响吗？</w:t>
            </w:r>
          </w:p>
          <w:p>
            <w:pPr>
              <w:numPr>
                <w:ilvl w:val="255"/>
                <w:numId w:val="0"/>
              </w:numPr>
              <w:rPr>
                <w:rFonts w:ascii="仿宋" w:hAnsi="仿宋" w:eastAsia="仿宋" w:cs="仿宋"/>
                <w:sz w:val="28"/>
                <w:szCs w:val="28"/>
              </w:rPr>
            </w:pPr>
            <w:r>
              <w:rPr>
                <w:rFonts w:hint="eastAsia" w:ascii="仿宋" w:hAnsi="仿宋" w:eastAsia="仿宋" w:cs="仿宋"/>
                <w:sz w:val="28"/>
                <w:szCs w:val="28"/>
              </w:rPr>
              <w:t>答：公司目前订单饱和，特别是输配电及控制设备订单超出公司的产能，主要原因系光伏和风电行业的增速发展，直接使用公司生产的输配电及控制设备，公司生产的取向硅钢产品终端也包括光伏和风电领域客户；因此这两个行业的发展均会促进对我司业务发展。</w:t>
            </w:r>
          </w:p>
          <w:p>
            <w:pPr>
              <w:rPr>
                <w:rFonts w:ascii="仿宋" w:hAnsi="仿宋" w:eastAsia="仿宋" w:cs="仿宋"/>
                <w:sz w:val="28"/>
                <w:szCs w:val="28"/>
              </w:rPr>
            </w:pPr>
            <w:r>
              <w:rPr>
                <w:rFonts w:hint="eastAsia" w:ascii="仿宋" w:hAnsi="仿宋" w:eastAsia="仿宋" w:cs="仿宋"/>
                <w:b/>
                <w:bCs/>
                <w:sz w:val="28"/>
                <w:szCs w:val="28"/>
              </w:rPr>
              <w:t>17、非晶变压器和硅钢变压器的差别？</w:t>
            </w:r>
            <w:r>
              <w:rPr>
                <w:rFonts w:hint="eastAsia" w:ascii="仿宋" w:hAnsi="仿宋" w:eastAsia="仿宋" w:cs="仿宋"/>
                <w:sz w:val="28"/>
                <w:szCs w:val="28"/>
              </w:rPr>
              <w:br w:type="textWrapping"/>
            </w:r>
            <w:r>
              <w:rPr>
                <w:rFonts w:hint="eastAsia" w:ascii="仿宋" w:hAnsi="仿宋" w:eastAsia="仿宋" w:cs="仿宋"/>
                <w:sz w:val="28"/>
                <w:szCs w:val="28"/>
              </w:rPr>
              <w:t>答：非晶带材的优势是铁损低，只有0.2~0.4w/kg,但其劣势也较为明显，其一是加工难度大，目前还未突破大容量变压器的铁芯加工，其二是磁感低，其三是不具可回收性。取向硅钢铁损略高于非晶带材，但其加工性能、磁感和可回收性均优于非晶带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tcPr>
          <w:p>
            <w:pPr>
              <w:jc w:val="center"/>
              <w:rPr>
                <w:b/>
                <w:bCs/>
                <w:sz w:val="24"/>
                <w:szCs w:val="32"/>
              </w:rPr>
            </w:pPr>
            <w:r>
              <w:rPr>
                <w:rFonts w:hint="eastAsia" w:ascii="仿宋" w:hAnsi="仿宋" w:eastAsia="仿宋" w:cs="仿宋"/>
                <w:b/>
                <w:bCs/>
                <w:spacing w:val="-2"/>
                <w:sz w:val="28"/>
                <w:szCs w:val="28"/>
              </w:rPr>
              <w:t>-附件清单 (如有)</w:t>
            </w:r>
          </w:p>
        </w:tc>
        <w:tc>
          <w:tcPr>
            <w:tcW w:w="6186" w:type="dxa"/>
            <w:gridSpan w:val="2"/>
          </w:tcPr>
          <w:p>
            <w:pPr>
              <w:jc w:val="center"/>
            </w:pPr>
          </w:p>
        </w:tc>
      </w:tr>
    </w:tbl>
    <w:p>
      <w:r>
        <w:rPr>
          <w:rFonts w:hint="eastAsi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2YjRkYmQ2OWYyZmExYmI3YzYyM2M1YmRjODRiMDUifQ=="/>
  </w:docVars>
  <w:rsids>
    <w:rsidRoot w:val="00172A27"/>
    <w:rsid w:val="00013F2A"/>
    <w:rsid w:val="00025CC2"/>
    <w:rsid w:val="00065631"/>
    <w:rsid w:val="00065EB1"/>
    <w:rsid w:val="000D4D80"/>
    <w:rsid w:val="000F3D26"/>
    <w:rsid w:val="00172A27"/>
    <w:rsid w:val="00174AF0"/>
    <w:rsid w:val="00194169"/>
    <w:rsid w:val="001B4E56"/>
    <w:rsid w:val="001D4EFA"/>
    <w:rsid w:val="002005EA"/>
    <w:rsid w:val="00254BBC"/>
    <w:rsid w:val="002655E7"/>
    <w:rsid w:val="0027620F"/>
    <w:rsid w:val="002A5024"/>
    <w:rsid w:val="003368B2"/>
    <w:rsid w:val="00336BA3"/>
    <w:rsid w:val="003534BF"/>
    <w:rsid w:val="003A73B3"/>
    <w:rsid w:val="003B1706"/>
    <w:rsid w:val="003D1413"/>
    <w:rsid w:val="003E5AA6"/>
    <w:rsid w:val="00403D34"/>
    <w:rsid w:val="00414BB4"/>
    <w:rsid w:val="00456294"/>
    <w:rsid w:val="004B0A7B"/>
    <w:rsid w:val="004E5ABD"/>
    <w:rsid w:val="004F5749"/>
    <w:rsid w:val="00515EDE"/>
    <w:rsid w:val="005F416C"/>
    <w:rsid w:val="00601749"/>
    <w:rsid w:val="006227BD"/>
    <w:rsid w:val="006464D5"/>
    <w:rsid w:val="0067780C"/>
    <w:rsid w:val="006A0B21"/>
    <w:rsid w:val="006A68BB"/>
    <w:rsid w:val="006C3C21"/>
    <w:rsid w:val="006D3243"/>
    <w:rsid w:val="00714693"/>
    <w:rsid w:val="007E6D44"/>
    <w:rsid w:val="00814B2F"/>
    <w:rsid w:val="0088017F"/>
    <w:rsid w:val="008818C9"/>
    <w:rsid w:val="008A69FD"/>
    <w:rsid w:val="008C10A9"/>
    <w:rsid w:val="008C60AF"/>
    <w:rsid w:val="00976954"/>
    <w:rsid w:val="009A6D94"/>
    <w:rsid w:val="009F6404"/>
    <w:rsid w:val="00A5380F"/>
    <w:rsid w:val="00A74073"/>
    <w:rsid w:val="00A90D34"/>
    <w:rsid w:val="00AB456F"/>
    <w:rsid w:val="00B27AB7"/>
    <w:rsid w:val="00B4710E"/>
    <w:rsid w:val="00B96C36"/>
    <w:rsid w:val="00BA5812"/>
    <w:rsid w:val="00BB67A9"/>
    <w:rsid w:val="00C15888"/>
    <w:rsid w:val="00C46D12"/>
    <w:rsid w:val="00C505DD"/>
    <w:rsid w:val="00C5503C"/>
    <w:rsid w:val="00CE55C5"/>
    <w:rsid w:val="00CE6ED0"/>
    <w:rsid w:val="00D21930"/>
    <w:rsid w:val="00DA4071"/>
    <w:rsid w:val="00DE6EC6"/>
    <w:rsid w:val="00DF24CE"/>
    <w:rsid w:val="00EA2274"/>
    <w:rsid w:val="00EC1EEE"/>
    <w:rsid w:val="00ED7DCB"/>
    <w:rsid w:val="00F02C55"/>
    <w:rsid w:val="00F16D0B"/>
    <w:rsid w:val="00F17782"/>
    <w:rsid w:val="00F3330A"/>
    <w:rsid w:val="00F63F50"/>
    <w:rsid w:val="00F765A5"/>
    <w:rsid w:val="00FA00A3"/>
    <w:rsid w:val="00FA0617"/>
    <w:rsid w:val="00FA51AD"/>
    <w:rsid w:val="00FD1CC3"/>
    <w:rsid w:val="00FF4099"/>
    <w:rsid w:val="01284E1B"/>
    <w:rsid w:val="013E75F8"/>
    <w:rsid w:val="02134CB8"/>
    <w:rsid w:val="02F32E0C"/>
    <w:rsid w:val="03986CEB"/>
    <w:rsid w:val="03BE368D"/>
    <w:rsid w:val="03C74BB5"/>
    <w:rsid w:val="04574920"/>
    <w:rsid w:val="04F16AB7"/>
    <w:rsid w:val="051B0D6D"/>
    <w:rsid w:val="0536650D"/>
    <w:rsid w:val="069468A4"/>
    <w:rsid w:val="07293D6D"/>
    <w:rsid w:val="079239C5"/>
    <w:rsid w:val="079C3C62"/>
    <w:rsid w:val="07B94BDA"/>
    <w:rsid w:val="07C54B4B"/>
    <w:rsid w:val="07FF4FEA"/>
    <w:rsid w:val="083F6263"/>
    <w:rsid w:val="08B13535"/>
    <w:rsid w:val="08BD0334"/>
    <w:rsid w:val="09873FB3"/>
    <w:rsid w:val="0A2911E1"/>
    <w:rsid w:val="0AA52A4B"/>
    <w:rsid w:val="0B416CC0"/>
    <w:rsid w:val="0B482792"/>
    <w:rsid w:val="0B7C0033"/>
    <w:rsid w:val="0B9A2D2D"/>
    <w:rsid w:val="0CA2437E"/>
    <w:rsid w:val="0CC65D86"/>
    <w:rsid w:val="0CE813E4"/>
    <w:rsid w:val="0D1B1ACD"/>
    <w:rsid w:val="0D244E26"/>
    <w:rsid w:val="0D5355B7"/>
    <w:rsid w:val="0D553692"/>
    <w:rsid w:val="0D613090"/>
    <w:rsid w:val="0D9123B3"/>
    <w:rsid w:val="0D984241"/>
    <w:rsid w:val="0DA66F51"/>
    <w:rsid w:val="0E4478C6"/>
    <w:rsid w:val="0E460794"/>
    <w:rsid w:val="0E637FDA"/>
    <w:rsid w:val="0EA15698"/>
    <w:rsid w:val="0F056591"/>
    <w:rsid w:val="0F080F08"/>
    <w:rsid w:val="0F585187"/>
    <w:rsid w:val="0F7D2198"/>
    <w:rsid w:val="10072271"/>
    <w:rsid w:val="10583A7A"/>
    <w:rsid w:val="10BB519D"/>
    <w:rsid w:val="110A7E8F"/>
    <w:rsid w:val="1114107F"/>
    <w:rsid w:val="11710A28"/>
    <w:rsid w:val="11BB1862"/>
    <w:rsid w:val="120224E3"/>
    <w:rsid w:val="1221208B"/>
    <w:rsid w:val="127C6B6A"/>
    <w:rsid w:val="13566077"/>
    <w:rsid w:val="136046DE"/>
    <w:rsid w:val="13FE2086"/>
    <w:rsid w:val="16302145"/>
    <w:rsid w:val="16791831"/>
    <w:rsid w:val="174B04D5"/>
    <w:rsid w:val="1771193C"/>
    <w:rsid w:val="17887D5F"/>
    <w:rsid w:val="18057602"/>
    <w:rsid w:val="18756BA8"/>
    <w:rsid w:val="189A2BFA"/>
    <w:rsid w:val="18D41224"/>
    <w:rsid w:val="18EA4FC5"/>
    <w:rsid w:val="18F97D87"/>
    <w:rsid w:val="19252D8F"/>
    <w:rsid w:val="193B413F"/>
    <w:rsid w:val="1A506DCE"/>
    <w:rsid w:val="1B0D155D"/>
    <w:rsid w:val="1B3D709A"/>
    <w:rsid w:val="1BE2740F"/>
    <w:rsid w:val="1C164930"/>
    <w:rsid w:val="1C385050"/>
    <w:rsid w:val="1C3927D6"/>
    <w:rsid w:val="1CA05B4B"/>
    <w:rsid w:val="1D100F23"/>
    <w:rsid w:val="1D232A04"/>
    <w:rsid w:val="1D4B6CB9"/>
    <w:rsid w:val="1DBD4D7F"/>
    <w:rsid w:val="1E5953A7"/>
    <w:rsid w:val="1F690F58"/>
    <w:rsid w:val="20382140"/>
    <w:rsid w:val="20452672"/>
    <w:rsid w:val="20653548"/>
    <w:rsid w:val="207842BC"/>
    <w:rsid w:val="20A35799"/>
    <w:rsid w:val="20A8063A"/>
    <w:rsid w:val="21245CDD"/>
    <w:rsid w:val="213B6D8D"/>
    <w:rsid w:val="225A2C43"/>
    <w:rsid w:val="2279283A"/>
    <w:rsid w:val="227D0076"/>
    <w:rsid w:val="22993768"/>
    <w:rsid w:val="22C8294E"/>
    <w:rsid w:val="22DA54E7"/>
    <w:rsid w:val="22DE6CDF"/>
    <w:rsid w:val="23163A8F"/>
    <w:rsid w:val="2322550C"/>
    <w:rsid w:val="23242738"/>
    <w:rsid w:val="233D19B4"/>
    <w:rsid w:val="235B35D0"/>
    <w:rsid w:val="23A324C0"/>
    <w:rsid w:val="24101808"/>
    <w:rsid w:val="253D070B"/>
    <w:rsid w:val="255363D8"/>
    <w:rsid w:val="259B1AA7"/>
    <w:rsid w:val="27D259A3"/>
    <w:rsid w:val="27E9286C"/>
    <w:rsid w:val="289E62C6"/>
    <w:rsid w:val="28BB5582"/>
    <w:rsid w:val="28D61962"/>
    <w:rsid w:val="2A3B763C"/>
    <w:rsid w:val="2A99107E"/>
    <w:rsid w:val="2AA1140C"/>
    <w:rsid w:val="2AE11247"/>
    <w:rsid w:val="2AE4326A"/>
    <w:rsid w:val="2B74156D"/>
    <w:rsid w:val="2BB459BA"/>
    <w:rsid w:val="2C0E531F"/>
    <w:rsid w:val="2CEF2903"/>
    <w:rsid w:val="2CF63EA5"/>
    <w:rsid w:val="2D412918"/>
    <w:rsid w:val="2DE80973"/>
    <w:rsid w:val="2DEF266F"/>
    <w:rsid w:val="2E0E4369"/>
    <w:rsid w:val="2E617528"/>
    <w:rsid w:val="2E805365"/>
    <w:rsid w:val="2E913E63"/>
    <w:rsid w:val="2F623869"/>
    <w:rsid w:val="2F857D67"/>
    <w:rsid w:val="2FE2647C"/>
    <w:rsid w:val="30385986"/>
    <w:rsid w:val="30BE5A67"/>
    <w:rsid w:val="314B2DA7"/>
    <w:rsid w:val="31B77767"/>
    <w:rsid w:val="31CB61DD"/>
    <w:rsid w:val="31D86852"/>
    <w:rsid w:val="322375EB"/>
    <w:rsid w:val="325A1988"/>
    <w:rsid w:val="32843012"/>
    <w:rsid w:val="33015C82"/>
    <w:rsid w:val="337D071D"/>
    <w:rsid w:val="33F97BC3"/>
    <w:rsid w:val="349B1368"/>
    <w:rsid w:val="34A05977"/>
    <w:rsid w:val="350543B6"/>
    <w:rsid w:val="354107BC"/>
    <w:rsid w:val="35672E55"/>
    <w:rsid w:val="35934A0F"/>
    <w:rsid w:val="35AD18B2"/>
    <w:rsid w:val="35D07322"/>
    <w:rsid w:val="36A52284"/>
    <w:rsid w:val="370E17C2"/>
    <w:rsid w:val="372806CC"/>
    <w:rsid w:val="376D444E"/>
    <w:rsid w:val="37B620E2"/>
    <w:rsid w:val="37FA6FA7"/>
    <w:rsid w:val="380E7807"/>
    <w:rsid w:val="38336ACB"/>
    <w:rsid w:val="388F0AF6"/>
    <w:rsid w:val="38AE38A9"/>
    <w:rsid w:val="38AF62FB"/>
    <w:rsid w:val="38BC1488"/>
    <w:rsid w:val="39333B77"/>
    <w:rsid w:val="398E0301"/>
    <w:rsid w:val="3A7B6A9F"/>
    <w:rsid w:val="3AA30888"/>
    <w:rsid w:val="3B331C0C"/>
    <w:rsid w:val="3B9A1C8B"/>
    <w:rsid w:val="3C487939"/>
    <w:rsid w:val="3CA04076"/>
    <w:rsid w:val="3CF63A53"/>
    <w:rsid w:val="3DE9412E"/>
    <w:rsid w:val="3DF169B0"/>
    <w:rsid w:val="3E170F3B"/>
    <w:rsid w:val="3EAE2E24"/>
    <w:rsid w:val="3EB27BA5"/>
    <w:rsid w:val="3F141D55"/>
    <w:rsid w:val="3F6708E2"/>
    <w:rsid w:val="40403448"/>
    <w:rsid w:val="41105DF3"/>
    <w:rsid w:val="411E4B7E"/>
    <w:rsid w:val="41486274"/>
    <w:rsid w:val="41D62EBD"/>
    <w:rsid w:val="4272634B"/>
    <w:rsid w:val="42E42BC9"/>
    <w:rsid w:val="43C628AC"/>
    <w:rsid w:val="43EE4CC7"/>
    <w:rsid w:val="44A1445C"/>
    <w:rsid w:val="44B65017"/>
    <w:rsid w:val="44CA3141"/>
    <w:rsid w:val="44DE5295"/>
    <w:rsid w:val="450F48DF"/>
    <w:rsid w:val="456D3C36"/>
    <w:rsid w:val="462705C0"/>
    <w:rsid w:val="46393B5F"/>
    <w:rsid w:val="46DB13AA"/>
    <w:rsid w:val="47D33A8B"/>
    <w:rsid w:val="488E4926"/>
    <w:rsid w:val="4929619B"/>
    <w:rsid w:val="492D57AE"/>
    <w:rsid w:val="492E4EFC"/>
    <w:rsid w:val="49BB3561"/>
    <w:rsid w:val="49C600F0"/>
    <w:rsid w:val="4A0E0038"/>
    <w:rsid w:val="4A6F2AC4"/>
    <w:rsid w:val="4B021694"/>
    <w:rsid w:val="4BB96A04"/>
    <w:rsid w:val="4BC41C91"/>
    <w:rsid w:val="4C3C26CF"/>
    <w:rsid w:val="4C4A7997"/>
    <w:rsid w:val="4C4F2E23"/>
    <w:rsid w:val="4D072F6F"/>
    <w:rsid w:val="4D4001B9"/>
    <w:rsid w:val="4D8D73BE"/>
    <w:rsid w:val="4DA51E86"/>
    <w:rsid w:val="4DD40B5B"/>
    <w:rsid w:val="4E5715CC"/>
    <w:rsid w:val="51B57115"/>
    <w:rsid w:val="51E14A36"/>
    <w:rsid w:val="52126329"/>
    <w:rsid w:val="52470583"/>
    <w:rsid w:val="52E602D1"/>
    <w:rsid w:val="533453A9"/>
    <w:rsid w:val="539A209A"/>
    <w:rsid w:val="53B3096B"/>
    <w:rsid w:val="53D505E2"/>
    <w:rsid w:val="53EE6EF4"/>
    <w:rsid w:val="5432079C"/>
    <w:rsid w:val="54777864"/>
    <w:rsid w:val="54B87904"/>
    <w:rsid w:val="55772575"/>
    <w:rsid w:val="557D4CE3"/>
    <w:rsid w:val="55985C34"/>
    <w:rsid w:val="571A1A7B"/>
    <w:rsid w:val="57BB500C"/>
    <w:rsid w:val="57D66975"/>
    <w:rsid w:val="57DC2701"/>
    <w:rsid w:val="58134E48"/>
    <w:rsid w:val="58A843C6"/>
    <w:rsid w:val="59554E3B"/>
    <w:rsid w:val="597C4D04"/>
    <w:rsid w:val="59A10231"/>
    <w:rsid w:val="5A1E7263"/>
    <w:rsid w:val="5A4F7C8D"/>
    <w:rsid w:val="5A561049"/>
    <w:rsid w:val="5A7F55EC"/>
    <w:rsid w:val="5ADD3AB9"/>
    <w:rsid w:val="5B1C014C"/>
    <w:rsid w:val="5B673C31"/>
    <w:rsid w:val="5B765CFE"/>
    <w:rsid w:val="5C2D2CA7"/>
    <w:rsid w:val="5CA87D85"/>
    <w:rsid w:val="5CCC76A3"/>
    <w:rsid w:val="5CDD1CAA"/>
    <w:rsid w:val="5CFF1C77"/>
    <w:rsid w:val="5D156F6C"/>
    <w:rsid w:val="5D2A4E86"/>
    <w:rsid w:val="5D2C2FFF"/>
    <w:rsid w:val="5E467271"/>
    <w:rsid w:val="5E745CD6"/>
    <w:rsid w:val="5E754F3D"/>
    <w:rsid w:val="5EA17BBA"/>
    <w:rsid w:val="5EC30CE3"/>
    <w:rsid w:val="5EFE4B3A"/>
    <w:rsid w:val="5F237F75"/>
    <w:rsid w:val="606C06C2"/>
    <w:rsid w:val="60F5274C"/>
    <w:rsid w:val="614D033F"/>
    <w:rsid w:val="622938BA"/>
    <w:rsid w:val="622946BC"/>
    <w:rsid w:val="624928CA"/>
    <w:rsid w:val="629D2A1F"/>
    <w:rsid w:val="62FD6687"/>
    <w:rsid w:val="63076D99"/>
    <w:rsid w:val="63860BC4"/>
    <w:rsid w:val="63A64A02"/>
    <w:rsid w:val="63A92E44"/>
    <w:rsid w:val="63CA23DA"/>
    <w:rsid w:val="643636A3"/>
    <w:rsid w:val="64587300"/>
    <w:rsid w:val="648512ED"/>
    <w:rsid w:val="65D442A0"/>
    <w:rsid w:val="65FF3F09"/>
    <w:rsid w:val="68353326"/>
    <w:rsid w:val="687E75D9"/>
    <w:rsid w:val="68E90A30"/>
    <w:rsid w:val="69232A11"/>
    <w:rsid w:val="69855FE9"/>
    <w:rsid w:val="69877951"/>
    <w:rsid w:val="69F83958"/>
    <w:rsid w:val="6A1A08A5"/>
    <w:rsid w:val="6A462E5B"/>
    <w:rsid w:val="6AF77660"/>
    <w:rsid w:val="6B51584D"/>
    <w:rsid w:val="6B832956"/>
    <w:rsid w:val="6B8754D9"/>
    <w:rsid w:val="6C242858"/>
    <w:rsid w:val="6C8E1655"/>
    <w:rsid w:val="6C90660F"/>
    <w:rsid w:val="6CCB19FA"/>
    <w:rsid w:val="6DCF6E1E"/>
    <w:rsid w:val="6E950837"/>
    <w:rsid w:val="6F2F2727"/>
    <w:rsid w:val="6F6A3147"/>
    <w:rsid w:val="6F83464F"/>
    <w:rsid w:val="703B4EA9"/>
    <w:rsid w:val="70C920F0"/>
    <w:rsid w:val="71655E64"/>
    <w:rsid w:val="71B457F4"/>
    <w:rsid w:val="72EA55A2"/>
    <w:rsid w:val="735B629C"/>
    <w:rsid w:val="736D3206"/>
    <w:rsid w:val="743364C0"/>
    <w:rsid w:val="74675EA7"/>
    <w:rsid w:val="74AD26CC"/>
    <w:rsid w:val="74F87B4C"/>
    <w:rsid w:val="75006204"/>
    <w:rsid w:val="75207934"/>
    <w:rsid w:val="76147DED"/>
    <w:rsid w:val="7618410B"/>
    <w:rsid w:val="763921B6"/>
    <w:rsid w:val="770370DE"/>
    <w:rsid w:val="771E1BA7"/>
    <w:rsid w:val="7744501C"/>
    <w:rsid w:val="776C4A2B"/>
    <w:rsid w:val="77752FD1"/>
    <w:rsid w:val="78273E7E"/>
    <w:rsid w:val="78CC2A74"/>
    <w:rsid w:val="790330FE"/>
    <w:rsid w:val="796C5D0E"/>
    <w:rsid w:val="79715375"/>
    <w:rsid w:val="799F35DD"/>
    <w:rsid w:val="7A401BAE"/>
    <w:rsid w:val="7A7A220B"/>
    <w:rsid w:val="7BFA1CF7"/>
    <w:rsid w:val="7C38637B"/>
    <w:rsid w:val="7CD460A4"/>
    <w:rsid w:val="7CE1144E"/>
    <w:rsid w:val="7D7D2D75"/>
    <w:rsid w:val="7D935417"/>
    <w:rsid w:val="7E1C06D7"/>
    <w:rsid w:val="7E9706B7"/>
    <w:rsid w:val="7F64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character" w:customStyle="1" w:styleId="17">
    <w:name w:val="批注框文本 字符"/>
    <w:basedOn w:val="10"/>
    <w:link w:val="4"/>
    <w:qFormat/>
    <w:uiPriority w:val="0"/>
    <w:rPr>
      <w:kern w:val="2"/>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2009</Words>
  <Characters>2064</Characters>
  <Lines>15</Lines>
  <Paragraphs>4</Paragraphs>
  <TotalTime>38</TotalTime>
  <ScaleCrop>false</ScaleCrop>
  <LinksUpToDate>false</LinksUpToDate>
  <CharactersWithSpaces>2097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Y.    Miss</cp:lastModifiedBy>
  <cp:lastPrinted>2022-07-08T01:10:00Z</cp:lastPrinted>
  <dcterms:modified xsi:type="dcterms:W3CDTF">2023-09-01T06:16:14Z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EA262EC290444F68865D6BE731956AF6_13</vt:lpwstr>
  </property>
</Properties>
</file>