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36F2" w:rsidRDefault="004436F2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91366A">
        <w:rPr>
          <w:rFonts w:ascii="宋体" w:hAnsi="宋体" w:hint="eastAsia"/>
          <w:bCs/>
          <w:iCs/>
          <w:color w:val="000000"/>
          <w:sz w:val="24"/>
        </w:rPr>
        <w:t>601828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证券简称：</w:t>
      </w:r>
      <w:r w:rsidR="0091366A">
        <w:rPr>
          <w:rFonts w:ascii="宋体" w:hAnsi="宋体" w:hint="eastAsia"/>
          <w:bCs/>
          <w:iCs/>
          <w:color w:val="000000"/>
          <w:sz w:val="24"/>
        </w:rPr>
        <w:t>美凯龙</w:t>
      </w:r>
    </w:p>
    <w:p w:rsidR="004436F2" w:rsidRDefault="004436F2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4436F2" w:rsidRDefault="0091366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红星美凯龙家居</w:t>
      </w:r>
      <w:r w:rsidR="004436F2">
        <w:rPr>
          <w:rFonts w:ascii="宋体" w:hAnsi="宋体" w:hint="eastAsia"/>
          <w:b/>
          <w:bCs/>
          <w:iCs/>
          <w:color w:val="000000"/>
          <w:sz w:val="32"/>
          <w:szCs w:val="32"/>
        </w:rPr>
        <w:t>集团股份有限公司投资者关系活动记录表</w:t>
      </w:r>
    </w:p>
    <w:p w:rsidR="004436F2" w:rsidRDefault="004436F2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242C08">
        <w:rPr>
          <w:rFonts w:ascii="宋体" w:hAnsi="宋体" w:hint="eastAsia"/>
          <w:bCs/>
          <w:iCs/>
          <w:color w:val="000000"/>
          <w:sz w:val="24"/>
        </w:rPr>
        <w:t>202</w:t>
      </w:r>
      <w:r w:rsidR="00242C08">
        <w:rPr>
          <w:rFonts w:ascii="宋体" w:hAnsi="宋体"/>
          <w:bCs/>
          <w:iCs/>
          <w:color w:val="000000"/>
          <w:sz w:val="24"/>
        </w:rPr>
        <w:t>3</w:t>
      </w:r>
      <w:r w:rsidR="00242C08">
        <w:rPr>
          <w:rFonts w:ascii="宋体" w:hAnsi="宋体" w:hint="eastAsia"/>
          <w:bCs/>
          <w:iCs/>
          <w:color w:val="000000"/>
          <w:sz w:val="24"/>
        </w:rPr>
        <w:t>0</w:t>
      </w:r>
      <w:r w:rsidR="000E02A5">
        <w:rPr>
          <w:rFonts w:ascii="宋体" w:hAnsi="宋体"/>
          <w:bCs/>
          <w:iCs/>
          <w:color w:val="000000"/>
          <w:sz w:val="24"/>
        </w:rPr>
        <w:t>831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4436F2" w:rsidTr="00AE644F">
        <w:tc>
          <w:tcPr>
            <w:tcW w:w="1908" w:type="dxa"/>
            <w:vAlign w:val="center"/>
          </w:tcPr>
          <w:p w:rsidR="004436F2" w:rsidRDefault="004436F2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:rsidR="004436F2" w:rsidRDefault="004436F2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</w:tcPr>
          <w:p w:rsidR="004436F2" w:rsidRDefault="0091366A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D216A7" w:rsidRPr="00AB1020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4436F2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="00C14838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4436F2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4436F2" w:rsidRDefault="004436F2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C14838" w:rsidRPr="00AB1020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4436F2" w:rsidRPr="00D216A7" w:rsidRDefault="004436F2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="00D216A7" w:rsidRPr="00AB1020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D216A7" w:rsidRPr="00AB1020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4436F2" w:rsidRDefault="00327A29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4436F2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4436F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4436F2" w:rsidRDefault="001C7A3C" w:rsidP="001C7A3C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4436F2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4436F2" w:rsidTr="00B17AE0">
        <w:trPr>
          <w:trHeight w:val="971"/>
        </w:trPr>
        <w:tc>
          <w:tcPr>
            <w:tcW w:w="1908" w:type="dxa"/>
            <w:vAlign w:val="center"/>
          </w:tcPr>
          <w:p w:rsidR="004436F2" w:rsidRDefault="004436F2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64A5F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83089B" w:rsidRPr="00EA0D84" w:rsidRDefault="00C4360C" w:rsidP="005315EB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招商证券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东北证券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中信建投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中信证券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、中金公司、兴业证券、华创证券、国海证券、天风证券、安信证券、德邦证券、浙商证券、申万宏源、长江证券、高盛证券</w:t>
            </w:r>
            <w:r w:rsidR="00C32B7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等约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40</w:t>
            </w:r>
            <w:r w:rsidR="00C32B7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家</w:t>
            </w:r>
            <w:r w:rsidR="00C32B7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券商及机构投资者</w:t>
            </w:r>
          </w:p>
        </w:tc>
      </w:tr>
      <w:tr w:rsidR="004436F2" w:rsidTr="00AE644F">
        <w:tc>
          <w:tcPr>
            <w:tcW w:w="1908" w:type="dxa"/>
            <w:vAlign w:val="center"/>
          </w:tcPr>
          <w:p w:rsidR="004436F2" w:rsidRDefault="004436F2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D4D3A" w:rsidRDefault="00D249CC" w:rsidP="00C4360C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249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2323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23234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</w:t>
            </w:r>
            <w:r w:rsidRPr="00D249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C4360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8</w:t>
            </w:r>
            <w:r w:rsidRPr="00010AA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C4360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31</w:t>
            </w:r>
            <w:r w:rsidRPr="00010AA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="002323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C4360C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</w:t>
            </w:r>
            <w:r w:rsidR="0091366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：00</w:t>
            </w:r>
          </w:p>
        </w:tc>
      </w:tr>
      <w:tr w:rsidR="004436F2" w:rsidTr="00AE644F">
        <w:tc>
          <w:tcPr>
            <w:tcW w:w="1908" w:type="dxa"/>
            <w:vAlign w:val="center"/>
          </w:tcPr>
          <w:p w:rsidR="004436F2" w:rsidRDefault="004436F2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D0B84" w:rsidRPr="001D0B84" w:rsidRDefault="0091366A" w:rsidP="00E24969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红星美凯龙</w:t>
            </w:r>
            <w:r w:rsidR="001069B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总部</w:t>
            </w:r>
            <w:r w:rsidR="00E2496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办公室</w:t>
            </w:r>
          </w:p>
        </w:tc>
      </w:tr>
      <w:tr w:rsidR="004436F2" w:rsidTr="00AE644F">
        <w:tc>
          <w:tcPr>
            <w:tcW w:w="1908" w:type="dxa"/>
            <w:vAlign w:val="center"/>
          </w:tcPr>
          <w:p w:rsidR="004436F2" w:rsidRDefault="00D412CC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公司总部</w:t>
            </w:r>
            <w:r w:rsidR="004436F2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接待人员姓名</w:t>
            </w:r>
          </w:p>
        </w:tc>
        <w:tc>
          <w:tcPr>
            <w:tcW w:w="7380" w:type="dxa"/>
            <w:vAlign w:val="center"/>
          </w:tcPr>
          <w:p w:rsidR="00F97409" w:rsidRDefault="0091366A" w:rsidP="001C7A3C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集团</w:t>
            </w:r>
            <w:r w:rsidR="00C4360C">
              <w:rPr>
                <w:rFonts w:ascii="宋体" w:hAnsi="宋体" w:hint="eastAsia"/>
                <w:sz w:val="24"/>
                <w:szCs w:val="24"/>
              </w:rPr>
              <w:t>财务负责人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4360C">
              <w:rPr>
                <w:rFonts w:ascii="宋体" w:hAnsi="宋体" w:hint="eastAsia"/>
                <w:sz w:val="24"/>
                <w:szCs w:val="24"/>
              </w:rPr>
              <w:t>杨映武</w:t>
            </w:r>
          </w:p>
          <w:p w:rsidR="0091366A" w:rsidRDefault="0091366A" w:rsidP="001C7A3C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集团大营运中心总经理 朱家桂</w:t>
            </w:r>
          </w:p>
          <w:p w:rsidR="0091366A" w:rsidRPr="00D9321B" w:rsidRDefault="0091366A" w:rsidP="008C415C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集团</w:t>
            </w:r>
            <w:r w:rsidR="008C415C">
              <w:rPr>
                <w:rFonts w:ascii="宋体" w:hAnsi="宋体" w:hint="eastAsia"/>
                <w:sz w:val="24"/>
                <w:szCs w:val="24"/>
              </w:rPr>
              <w:t>董事会秘书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8E08A9">
              <w:rPr>
                <w:rFonts w:ascii="宋体" w:hAnsi="宋体" w:hint="eastAsia"/>
                <w:sz w:val="24"/>
                <w:szCs w:val="24"/>
              </w:rPr>
              <w:t>邱喆</w:t>
            </w:r>
          </w:p>
        </w:tc>
      </w:tr>
      <w:tr w:rsidR="004436F2" w:rsidTr="00AE644F">
        <w:trPr>
          <w:trHeight w:val="543"/>
        </w:trPr>
        <w:tc>
          <w:tcPr>
            <w:tcW w:w="1908" w:type="dxa"/>
            <w:vAlign w:val="center"/>
          </w:tcPr>
          <w:p w:rsidR="004436F2" w:rsidRDefault="004436F2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FB15B4" w:rsidRPr="001F55F7" w:rsidRDefault="00FB15B4" w:rsidP="00FB15B4">
            <w:pPr>
              <w:spacing w:line="360" w:lineRule="auto"/>
              <w:rPr>
                <w:b/>
                <w:sz w:val="24"/>
                <w:szCs w:val="24"/>
              </w:rPr>
            </w:pPr>
            <w:r w:rsidRPr="001F55F7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1F55F7" w:rsidRPr="001F55F7" w:rsidRDefault="001F55F7" w:rsidP="00777B5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F55F7">
              <w:rPr>
                <w:rFonts w:hint="eastAsia"/>
                <w:b/>
                <w:sz w:val="24"/>
                <w:szCs w:val="24"/>
              </w:rPr>
              <w:t>2</w:t>
            </w:r>
            <w:r w:rsidRPr="001F55F7">
              <w:rPr>
                <w:b/>
                <w:sz w:val="24"/>
                <w:szCs w:val="24"/>
              </w:rPr>
              <w:t>023</w:t>
            </w:r>
            <w:r w:rsidRPr="001F55F7">
              <w:rPr>
                <w:b/>
                <w:sz w:val="24"/>
                <w:szCs w:val="24"/>
              </w:rPr>
              <w:t>年半年度</w:t>
            </w:r>
            <w:r>
              <w:rPr>
                <w:b/>
                <w:sz w:val="24"/>
                <w:szCs w:val="24"/>
              </w:rPr>
              <w:t>公司</w:t>
            </w:r>
            <w:r w:rsidRPr="001F55F7">
              <w:rPr>
                <w:b/>
                <w:sz w:val="24"/>
                <w:szCs w:val="24"/>
              </w:rPr>
              <w:t>财务情况</w:t>
            </w:r>
            <w:r w:rsidR="006770D1">
              <w:rPr>
                <w:b/>
                <w:sz w:val="24"/>
                <w:szCs w:val="24"/>
              </w:rPr>
              <w:t>及展望</w:t>
            </w:r>
            <w:r w:rsidRPr="001F55F7">
              <w:rPr>
                <w:rFonts w:hint="eastAsia"/>
                <w:sz w:val="24"/>
                <w:szCs w:val="24"/>
              </w:rPr>
              <w:t>：</w:t>
            </w:r>
          </w:p>
          <w:p w:rsidR="00112A62" w:rsidRDefault="00112A62" w:rsidP="00112A62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112A62">
              <w:rPr>
                <w:rFonts w:hint="eastAsia"/>
                <w:sz w:val="24"/>
                <w:szCs w:val="24"/>
              </w:rPr>
              <w:t>截至</w:t>
            </w:r>
            <w:r w:rsidRPr="00112A62">
              <w:rPr>
                <w:rFonts w:hint="eastAsia"/>
                <w:sz w:val="24"/>
                <w:szCs w:val="24"/>
              </w:rPr>
              <w:t>2023</w:t>
            </w:r>
            <w:r w:rsidRPr="00112A62">
              <w:rPr>
                <w:rFonts w:hint="eastAsia"/>
                <w:sz w:val="24"/>
                <w:szCs w:val="24"/>
              </w:rPr>
              <w:t>年</w:t>
            </w:r>
            <w:r w:rsidRPr="00112A62">
              <w:rPr>
                <w:rFonts w:hint="eastAsia"/>
                <w:sz w:val="24"/>
                <w:szCs w:val="24"/>
              </w:rPr>
              <w:t>6</w:t>
            </w:r>
            <w:r w:rsidRPr="00112A62">
              <w:rPr>
                <w:rFonts w:hint="eastAsia"/>
                <w:sz w:val="24"/>
                <w:szCs w:val="24"/>
              </w:rPr>
              <w:t>月</w:t>
            </w:r>
            <w:r w:rsidRPr="00112A62">
              <w:rPr>
                <w:rFonts w:hint="eastAsia"/>
                <w:sz w:val="24"/>
                <w:szCs w:val="24"/>
              </w:rPr>
              <w:t>30</w:t>
            </w:r>
            <w:r w:rsidRPr="00112A62">
              <w:rPr>
                <w:rFonts w:hint="eastAsia"/>
                <w:sz w:val="24"/>
                <w:szCs w:val="24"/>
              </w:rPr>
              <w:t>日，公司经营了</w:t>
            </w:r>
            <w:r w:rsidRPr="00112A62">
              <w:rPr>
                <w:rFonts w:hint="eastAsia"/>
                <w:sz w:val="24"/>
                <w:szCs w:val="24"/>
              </w:rPr>
              <w:t>91</w:t>
            </w:r>
            <w:r w:rsidRPr="00112A62">
              <w:rPr>
                <w:rFonts w:hint="eastAsia"/>
                <w:sz w:val="24"/>
                <w:szCs w:val="24"/>
              </w:rPr>
              <w:t>家自营商场，</w:t>
            </w:r>
            <w:r w:rsidRPr="00112A62">
              <w:rPr>
                <w:rFonts w:hint="eastAsia"/>
                <w:sz w:val="24"/>
                <w:szCs w:val="24"/>
              </w:rPr>
              <w:t>281</w:t>
            </w:r>
            <w:r w:rsidRPr="00112A62">
              <w:rPr>
                <w:rFonts w:hint="eastAsia"/>
                <w:sz w:val="24"/>
                <w:szCs w:val="24"/>
              </w:rPr>
              <w:t>家委管商场，通过战略合作经营</w:t>
            </w:r>
            <w:r w:rsidRPr="00112A62">
              <w:rPr>
                <w:rFonts w:hint="eastAsia"/>
                <w:sz w:val="24"/>
                <w:szCs w:val="24"/>
              </w:rPr>
              <w:t>8</w:t>
            </w:r>
            <w:r w:rsidRPr="00112A62">
              <w:rPr>
                <w:rFonts w:hint="eastAsia"/>
                <w:sz w:val="24"/>
                <w:szCs w:val="24"/>
              </w:rPr>
              <w:t>家家居商场，此外，公司以特许经营方式授权</w:t>
            </w:r>
            <w:r w:rsidRPr="00112A62">
              <w:rPr>
                <w:rFonts w:hint="eastAsia"/>
                <w:sz w:val="24"/>
                <w:szCs w:val="24"/>
              </w:rPr>
              <w:t>54</w:t>
            </w:r>
            <w:r w:rsidRPr="00112A62">
              <w:rPr>
                <w:rFonts w:hint="eastAsia"/>
                <w:sz w:val="24"/>
                <w:szCs w:val="24"/>
              </w:rPr>
              <w:t>家特许经营家居建材项目，共包括</w:t>
            </w:r>
            <w:r w:rsidRPr="00112A62">
              <w:rPr>
                <w:rFonts w:hint="eastAsia"/>
                <w:sz w:val="24"/>
                <w:szCs w:val="24"/>
              </w:rPr>
              <w:t>465</w:t>
            </w:r>
            <w:r w:rsidRPr="00112A62">
              <w:rPr>
                <w:rFonts w:hint="eastAsia"/>
                <w:sz w:val="24"/>
                <w:szCs w:val="24"/>
              </w:rPr>
              <w:t>家家居建材店</w:t>
            </w:r>
            <w:r w:rsidRPr="00112A62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产业街</w:t>
            </w:r>
            <w:r>
              <w:rPr>
                <w:rFonts w:hint="eastAsia"/>
                <w:sz w:val="24"/>
                <w:szCs w:val="24"/>
              </w:rPr>
              <w:t>;</w:t>
            </w:r>
            <w:r w:rsidRPr="00112A62">
              <w:rPr>
                <w:rFonts w:hint="eastAsia"/>
                <w:sz w:val="24"/>
                <w:szCs w:val="24"/>
              </w:rPr>
              <w:t>覆盖全国</w:t>
            </w:r>
            <w:r w:rsidRPr="00112A62">
              <w:rPr>
                <w:rFonts w:hint="eastAsia"/>
                <w:sz w:val="24"/>
                <w:szCs w:val="24"/>
              </w:rPr>
              <w:t>30</w:t>
            </w:r>
            <w:r w:rsidRPr="00112A62">
              <w:rPr>
                <w:rFonts w:hint="eastAsia"/>
                <w:sz w:val="24"/>
                <w:szCs w:val="24"/>
              </w:rPr>
              <w:t>个省、直辖市、自治区的</w:t>
            </w:r>
            <w:r w:rsidRPr="00112A62">
              <w:rPr>
                <w:rFonts w:hint="eastAsia"/>
                <w:sz w:val="24"/>
                <w:szCs w:val="24"/>
              </w:rPr>
              <w:t>219</w:t>
            </w:r>
            <w:r w:rsidRPr="00112A62">
              <w:rPr>
                <w:rFonts w:hint="eastAsia"/>
                <w:sz w:val="24"/>
                <w:szCs w:val="24"/>
              </w:rPr>
              <w:t>个城市，商场总经营面积</w:t>
            </w:r>
            <w:r>
              <w:rPr>
                <w:rFonts w:hint="eastAsia"/>
                <w:sz w:val="24"/>
                <w:szCs w:val="24"/>
              </w:rPr>
              <w:t>达到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112A6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万平方米。</w:t>
            </w:r>
          </w:p>
          <w:p w:rsidR="004B1064" w:rsidRPr="004B1064" w:rsidRDefault="00385B9F" w:rsidP="007F2EC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4B1064">
              <w:rPr>
                <w:rFonts w:hint="eastAsia"/>
                <w:sz w:val="24"/>
                <w:szCs w:val="24"/>
              </w:rPr>
              <w:t>今年上半年受总体经济环境的影响，且消费复苏</w:t>
            </w:r>
            <w:r w:rsidR="00777B52" w:rsidRPr="004B1064">
              <w:rPr>
                <w:rFonts w:hint="eastAsia"/>
                <w:sz w:val="24"/>
                <w:szCs w:val="24"/>
              </w:rPr>
              <w:t>比较缓慢，</w:t>
            </w:r>
            <w:r w:rsidRPr="004B1064">
              <w:rPr>
                <w:rFonts w:hint="eastAsia"/>
                <w:sz w:val="24"/>
                <w:szCs w:val="24"/>
              </w:rPr>
              <w:t>公司</w:t>
            </w:r>
            <w:r w:rsidR="0029114F">
              <w:rPr>
                <w:rFonts w:hint="eastAsia"/>
                <w:sz w:val="24"/>
                <w:szCs w:val="24"/>
              </w:rPr>
              <w:t>上半年收入</w:t>
            </w:r>
            <w:r w:rsidR="00777B52" w:rsidRPr="004B1064">
              <w:rPr>
                <w:rFonts w:hint="eastAsia"/>
                <w:sz w:val="24"/>
                <w:szCs w:val="24"/>
              </w:rPr>
              <w:t>56.6</w:t>
            </w:r>
            <w:r w:rsidR="007F2ECB" w:rsidRPr="004B1064">
              <w:rPr>
                <w:sz w:val="24"/>
                <w:szCs w:val="24"/>
              </w:rPr>
              <w:t>0</w:t>
            </w:r>
            <w:r w:rsidR="0029114F">
              <w:rPr>
                <w:rFonts w:hint="eastAsia"/>
                <w:sz w:val="24"/>
                <w:szCs w:val="24"/>
              </w:rPr>
              <w:t>亿元，同比下降</w:t>
            </w:r>
            <w:r w:rsidR="007F2ECB" w:rsidRPr="004B1064">
              <w:rPr>
                <w:sz w:val="24"/>
                <w:szCs w:val="24"/>
              </w:rPr>
              <w:t>12.97</w:t>
            </w:r>
            <w:r w:rsidR="00777B52" w:rsidRPr="004B1064">
              <w:rPr>
                <w:rFonts w:hint="eastAsia"/>
                <w:sz w:val="24"/>
                <w:szCs w:val="24"/>
              </w:rPr>
              <w:t>亿</w:t>
            </w:r>
            <w:r w:rsidR="007F2ECB" w:rsidRPr="004B1064">
              <w:rPr>
                <w:rFonts w:hint="eastAsia"/>
                <w:sz w:val="24"/>
                <w:szCs w:val="24"/>
              </w:rPr>
              <w:t>元</w:t>
            </w:r>
            <w:r w:rsidR="00777B52" w:rsidRPr="004B1064">
              <w:rPr>
                <w:rFonts w:hint="eastAsia"/>
                <w:sz w:val="24"/>
                <w:szCs w:val="24"/>
              </w:rPr>
              <w:t>，降幅</w:t>
            </w:r>
            <w:r w:rsidR="00777B52" w:rsidRPr="004B1064">
              <w:rPr>
                <w:rFonts w:hint="eastAsia"/>
                <w:sz w:val="24"/>
                <w:szCs w:val="24"/>
              </w:rPr>
              <w:t>18.6%</w:t>
            </w:r>
            <w:r w:rsidR="00777B52" w:rsidRPr="004B1064">
              <w:rPr>
                <w:rFonts w:hint="eastAsia"/>
                <w:sz w:val="24"/>
                <w:szCs w:val="24"/>
              </w:rPr>
              <w:t>。其中，自营业务的收入是</w:t>
            </w:r>
            <w:r w:rsidR="00777B52" w:rsidRPr="004B1064">
              <w:rPr>
                <w:rFonts w:hint="eastAsia"/>
                <w:sz w:val="24"/>
                <w:szCs w:val="24"/>
              </w:rPr>
              <w:t>33.77</w:t>
            </w:r>
            <w:r w:rsidR="00777B52" w:rsidRPr="004B1064">
              <w:rPr>
                <w:rFonts w:hint="eastAsia"/>
                <w:sz w:val="24"/>
                <w:szCs w:val="24"/>
              </w:rPr>
              <w:t>亿</w:t>
            </w:r>
            <w:r w:rsidR="007F2ECB" w:rsidRPr="004B1064">
              <w:rPr>
                <w:rFonts w:hint="eastAsia"/>
                <w:sz w:val="24"/>
                <w:szCs w:val="24"/>
              </w:rPr>
              <w:t>元</w:t>
            </w:r>
            <w:r w:rsidR="0029114F">
              <w:rPr>
                <w:rFonts w:hint="eastAsia"/>
                <w:sz w:val="24"/>
                <w:szCs w:val="24"/>
              </w:rPr>
              <w:t>，同比下降</w:t>
            </w:r>
            <w:r w:rsidR="00777B52" w:rsidRPr="004B1064">
              <w:rPr>
                <w:rFonts w:hint="eastAsia"/>
                <w:sz w:val="24"/>
                <w:szCs w:val="24"/>
              </w:rPr>
              <w:t>7.76</w:t>
            </w:r>
            <w:r w:rsidR="00777B52" w:rsidRPr="004B1064">
              <w:rPr>
                <w:rFonts w:hint="eastAsia"/>
                <w:sz w:val="24"/>
                <w:szCs w:val="24"/>
              </w:rPr>
              <w:t>亿</w:t>
            </w:r>
            <w:r w:rsidR="007F2ECB" w:rsidRPr="004B1064">
              <w:rPr>
                <w:rFonts w:hint="eastAsia"/>
                <w:sz w:val="24"/>
                <w:szCs w:val="24"/>
              </w:rPr>
              <w:t>元</w:t>
            </w:r>
            <w:r w:rsidR="00777B52" w:rsidRPr="004B1064">
              <w:rPr>
                <w:rFonts w:hint="eastAsia"/>
                <w:sz w:val="24"/>
                <w:szCs w:val="24"/>
              </w:rPr>
              <w:t>，降幅</w:t>
            </w:r>
            <w:r w:rsidR="00D24B1F" w:rsidRPr="004B1064">
              <w:rPr>
                <w:rFonts w:hint="eastAsia"/>
                <w:sz w:val="24"/>
                <w:szCs w:val="24"/>
              </w:rPr>
              <w:t>1</w:t>
            </w:r>
            <w:r w:rsidR="00D24B1F" w:rsidRPr="004B1064">
              <w:rPr>
                <w:sz w:val="24"/>
                <w:szCs w:val="24"/>
              </w:rPr>
              <w:t>8</w:t>
            </w:r>
            <w:r w:rsidR="00777B52" w:rsidRPr="004B1064">
              <w:rPr>
                <w:rFonts w:hint="eastAsia"/>
                <w:sz w:val="24"/>
                <w:szCs w:val="24"/>
              </w:rPr>
              <w:t>.7</w:t>
            </w:r>
            <w:r w:rsidR="00D24B1F" w:rsidRPr="004B1064">
              <w:rPr>
                <w:rFonts w:hint="eastAsia"/>
                <w:sz w:val="24"/>
                <w:szCs w:val="24"/>
              </w:rPr>
              <w:t>%</w:t>
            </w:r>
            <w:r w:rsidR="00D24B1F" w:rsidRPr="004B1064">
              <w:rPr>
                <w:rFonts w:hint="eastAsia"/>
                <w:sz w:val="24"/>
                <w:szCs w:val="24"/>
              </w:rPr>
              <w:t>，主要有两个方面的原因</w:t>
            </w:r>
            <w:r w:rsidR="00777B52" w:rsidRPr="004B1064">
              <w:rPr>
                <w:rFonts w:hint="eastAsia"/>
                <w:sz w:val="24"/>
                <w:szCs w:val="24"/>
              </w:rPr>
              <w:t>，</w:t>
            </w:r>
            <w:r w:rsidR="00D24B1F" w:rsidRPr="004B1064">
              <w:rPr>
                <w:rFonts w:hint="eastAsia"/>
                <w:sz w:val="24"/>
                <w:szCs w:val="24"/>
              </w:rPr>
              <w:t>第一，</w:t>
            </w:r>
            <w:r w:rsidR="00777B52" w:rsidRPr="004B1064">
              <w:rPr>
                <w:rFonts w:hint="eastAsia"/>
                <w:sz w:val="24"/>
                <w:szCs w:val="24"/>
              </w:rPr>
              <w:t>去年下半年</w:t>
            </w:r>
            <w:r w:rsidR="00D24B1F" w:rsidRPr="004B1064">
              <w:rPr>
                <w:rFonts w:hint="eastAsia"/>
                <w:sz w:val="24"/>
                <w:szCs w:val="24"/>
              </w:rPr>
              <w:t>基于疫情对商户影响的考虑，公司</w:t>
            </w:r>
            <w:r w:rsidR="00777B52" w:rsidRPr="004B1064">
              <w:rPr>
                <w:rFonts w:hint="eastAsia"/>
                <w:sz w:val="24"/>
                <w:szCs w:val="24"/>
              </w:rPr>
              <w:t>给予</w:t>
            </w:r>
            <w:r w:rsidR="00D24B1F" w:rsidRPr="004B1064">
              <w:rPr>
                <w:rFonts w:hint="eastAsia"/>
                <w:sz w:val="24"/>
                <w:szCs w:val="24"/>
              </w:rPr>
              <w:t>商户</w:t>
            </w:r>
            <w:r w:rsidR="00777B52" w:rsidRPr="004B1064">
              <w:rPr>
                <w:rFonts w:hint="eastAsia"/>
                <w:sz w:val="24"/>
                <w:szCs w:val="24"/>
              </w:rPr>
              <w:t>一些租金的减免，</w:t>
            </w:r>
            <w:r w:rsidR="00D24B1F" w:rsidRPr="004B1064">
              <w:rPr>
                <w:rFonts w:hint="eastAsia"/>
                <w:sz w:val="24"/>
                <w:szCs w:val="24"/>
              </w:rPr>
              <w:t>并在其剩余租期内</w:t>
            </w:r>
            <w:r w:rsidR="00777B52" w:rsidRPr="004B1064">
              <w:rPr>
                <w:rFonts w:hint="eastAsia"/>
                <w:sz w:val="24"/>
                <w:szCs w:val="24"/>
              </w:rPr>
              <w:t>摊销，</w:t>
            </w:r>
            <w:r w:rsidR="00D24B1F" w:rsidRPr="004B1064">
              <w:rPr>
                <w:rFonts w:hint="eastAsia"/>
                <w:sz w:val="24"/>
                <w:szCs w:val="24"/>
              </w:rPr>
              <w:t>因此有相当一部分摊销在</w:t>
            </w:r>
            <w:r w:rsidR="00777B52" w:rsidRPr="004B1064">
              <w:rPr>
                <w:rFonts w:hint="eastAsia"/>
                <w:sz w:val="24"/>
                <w:szCs w:val="24"/>
              </w:rPr>
              <w:t>今年，</w:t>
            </w:r>
            <w:r w:rsidR="00D24B1F" w:rsidRPr="004B1064">
              <w:rPr>
                <w:rFonts w:hint="eastAsia"/>
                <w:sz w:val="24"/>
                <w:szCs w:val="24"/>
              </w:rPr>
              <w:t>从而</w:t>
            </w:r>
            <w:r w:rsidR="00777B52" w:rsidRPr="004B1064">
              <w:rPr>
                <w:rFonts w:hint="eastAsia"/>
                <w:sz w:val="24"/>
                <w:szCs w:val="24"/>
              </w:rPr>
              <w:t>对上半年造成了比较大的影响</w:t>
            </w:r>
            <w:r w:rsidR="00D24B1F" w:rsidRPr="004B1064">
              <w:rPr>
                <w:rFonts w:hint="eastAsia"/>
                <w:sz w:val="24"/>
                <w:szCs w:val="24"/>
              </w:rPr>
              <w:t>，</w:t>
            </w:r>
            <w:r w:rsidR="00777B52" w:rsidRPr="004B1064">
              <w:rPr>
                <w:rFonts w:hint="eastAsia"/>
                <w:sz w:val="24"/>
                <w:szCs w:val="24"/>
              </w:rPr>
              <w:t>这部分租金</w:t>
            </w:r>
            <w:r w:rsidR="0003412E">
              <w:rPr>
                <w:rFonts w:hint="eastAsia"/>
                <w:sz w:val="24"/>
                <w:szCs w:val="24"/>
              </w:rPr>
              <w:lastRenderedPageBreak/>
              <w:t>减免</w:t>
            </w:r>
            <w:r w:rsidR="00777B52" w:rsidRPr="004B1064">
              <w:rPr>
                <w:rFonts w:hint="eastAsia"/>
                <w:sz w:val="24"/>
                <w:szCs w:val="24"/>
              </w:rPr>
              <w:t>基本上现在已经摊销完毕了。第二，</w:t>
            </w:r>
            <w:r w:rsidR="004B1064" w:rsidRPr="004B1064">
              <w:rPr>
                <w:rFonts w:hint="eastAsia"/>
                <w:sz w:val="24"/>
                <w:szCs w:val="24"/>
              </w:rPr>
              <w:t>是由于出租率的下滑，</w:t>
            </w:r>
            <w:r w:rsidR="00777B52" w:rsidRPr="004B1064">
              <w:rPr>
                <w:rFonts w:hint="eastAsia"/>
                <w:sz w:val="24"/>
                <w:szCs w:val="24"/>
              </w:rPr>
              <w:t>2022</w:t>
            </w:r>
            <w:r w:rsidR="00777B52" w:rsidRPr="004B1064">
              <w:rPr>
                <w:rFonts w:hint="eastAsia"/>
                <w:sz w:val="24"/>
                <w:szCs w:val="24"/>
              </w:rPr>
              <w:t>年</w:t>
            </w:r>
            <w:r w:rsidR="00777B52" w:rsidRPr="004B1064">
              <w:rPr>
                <w:rFonts w:hint="eastAsia"/>
                <w:sz w:val="24"/>
                <w:szCs w:val="24"/>
              </w:rPr>
              <w:t>6</w:t>
            </w:r>
            <w:r w:rsidR="00777B52" w:rsidRPr="004B1064">
              <w:rPr>
                <w:rFonts w:hint="eastAsia"/>
                <w:sz w:val="24"/>
                <w:szCs w:val="24"/>
              </w:rPr>
              <w:t>月末</w:t>
            </w:r>
            <w:r w:rsidR="004B1064" w:rsidRPr="004B1064">
              <w:rPr>
                <w:rFonts w:hint="eastAsia"/>
                <w:sz w:val="24"/>
                <w:szCs w:val="24"/>
              </w:rPr>
              <w:t>自营商场</w:t>
            </w:r>
            <w:r w:rsidR="00777B52" w:rsidRPr="004B1064">
              <w:rPr>
                <w:rFonts w:hint="eastAsia"/>
                <w:sz w:val="24"/>
                <w:szCs w:val="24"/>
              </w:rPr>
              <w:t>出租率</w:t>
            </w:r>
            <w:r w:rsidR="00777B52" w:rsidRPr="004B1064">
              <w:rPr>
                <w:rFonts w:hint="eastAsia"/>
                <w:sz w:val="24"/>
                <w:szCs w:val="24"/>
              </w:rPr>
              <w:t>92.1%</w:t>
            </w:r>
            <w:r w:rsidR="00777B52" w:rsidRPr="004B1064">
              <w:rPr>
                <w:rFonts w:hint="eastAsia"/>
                <w:sz w:val="24"/>
                <w:szCs w:val="24"/>
              </w:rPr>
              <w:t>，</w:t>
            </w:r>
            <w:r w:rsidR="004B1064" w:rsidRPr="004B1064">
              <w:rPr>
                <w:rFonts w:hint="eastAsia"/>
                <w:sz w:val="24"/>
                <w:szCs w:val="24"/>
              </w:rPr>
              <w:t>而</w:t>
            </w:r>
            <w:r w:rsidR="00777B52" w:rsidRPr="004B1064">
              <w:rPr>
                <w:rFonts w:hint="eastAsia"/>
                <w:sz w:val="24"/>
                <w:szCs w:val="24"/>
              </w:rPr>
              <w:t>今年</w:t>
            </w:r>
            <w:r w:rsidR="00777B52" w:rsidRPr="004B1064">
              <w:rPr>
                <w:rFonts w:hint="eastAsia"/>
                <w:sz w:val="24"/>
                <w:szCs w:val="24"/>
              </w:rPr>
              <w:t>6</w:t>
            </w:r>
            <w:r w:rsidR="00777B52" w:rsidRPr="004B1064">
              <w:rPr>
                <w:rFonts w:hint="eastAsia"/>
                <w:sz w:val="24"/>
                <w:szCs w:val="24"/>
              </w:rPr>
              <w:t>月末出租率是</w:t>
            </w:r>
            <w:r w:rsidR="00777B52" w:rsidRPr="004B1064">
              <w:rPr>
                <w:rFonts w:hint="eastAsia"/>
                <w:sz w:val="24"/>
                <w:szCs w:val="24"/>
              </w:rPr>
              <w:t>85.7%</w:t>
            </w:r>
            <w:r w:rsidR="004B1064" w:rsidRPr="004B1064">
              <w:rPr>
                <w:rFonts w:hint="eastAsia"/>
                <w:sz w:val="24"/>
                <w:szCs w:val="24"/>
              </w:rPr>
              <w:t>。</w:t>
            </w:r>
            <w:r w:rsidR="00777B52" w:rsidRPr="004B1064">
              <w:rPr>
                <w:rFonts w:hint="eastAsia"/>
                <w:sz w:val="24"/>
                <w:szCs w:val="24"/>
              </w:rPr>
              <w:t>这两个原因对收入</w:t>
            </w:r>
            <w:r w:rsidR="004B1064" w:rsidRPr="004B1064">
              <w:rPr>
                <w:rFonts w:hint="eastAsia"/>
                <w:sz w:val="24"/>
                <w:szCs w:val="24"/>
              </w:rPr>
              <w:t>下滑的</w:t>
            </w:r>
            <w:r w:rsidR="00777B52" w:rsidRPr="004B1064">
              <w:rPr>
                <w:rFonts w:hint="eastAsia"/>
                <w:sz w:val="24"/>
                <w:szCs w:val="24"/>
              </w:rPr>
              <w:t>影响占比前者大概占了</w:t>
            </w:r>
            <w:r w:rsidR="00777B52" w:rsidRPr="004B1064">
              <w:rPr>
                <w:rFonts w:hint="eastAsia"/>
                <w:sz w:val="24"/>
                <w:szCs w:val="24"/>
              </w:rPr>
              <w:t>40%</w:t>
            </w:r>
            <w:r w:rsidR="00777B52" w:rsidRPr="004B1064">
              <w:rPr>
                <w:rFonts w:hint="eastAsia"/>
                <w:sz w:val="24"/>
                <w:szCs w:val="24"/>
              </w:rPr>
              <w:t>，后者大概有</w:t>
            </w:r>
            <w:r w:rsidR="00777B52" w:rsidRPr="004B1064">
              <w:rPr>
                <w:rFonts w:hint="eastAsia"/>
                <w:sz w:val="24"/>
                <w:szCs w:val="24"/>
              </w:rPr>
              <w:t>60%</w:t>
            </w:r>
            <w:r w:rsidR="00777B52" w:rsidRPr="004B1064">
              <w:rPr>
                <w:rFonts w:hint="eastAsia"/>
                <w:sz w:val="24"/>
                <w:szCs w:val="24"/>
              </w:rPr>
              <w:t>。</w:t>
            </w:r>
          </w:p>
          <w:p w:rsidR="00777B52" w:rsidRPr="004C6C52" w:rsidRDefault="00A41D8C" w:rsidP="007F2EC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41D8C">
              <w:rPr>
                <w:rFonts w:hint="eastAsia"/>
                <w:sz w:val="24"/>
                <w:szCs w:val="24"/>
              </w:rPr>
              <w:t>但目前已经</w:t>
            </w:r>
            <w:r w:rsidR="00777B52" w:rsidRPr="00A41D8C">
              <w:rPr>
                <w:rFonts w:hint="eastAsia"/>
                <w:sz w:val="24"/>
                <w:szCs w:val="24"/>
              </w:rPr>
              <w:t>有一些向好的情况，</w:t>
            </w:r>
            <w:r w:rsidR="00777B52" w:rsidRPr="00A41D8C">
              <w:rPr>
                <w:rFonts w:hint="eastAsia"/>
                <w:sz w:val="24"/>
                <w:szCs w:val="24"/>
              </w:rPr>
              <w:t>6</w:t>
            </w:r>
            <w:r w:rsidR="00777B52" w:rsidRPr="00A41D8C">
              <w:rPr>
                <w:rFonts w:hint="eastAsia"/>
                <w:sz w:val="24"/>
                <w:szCs w:val="24"/>
              </w:rPr>
              <w:t>月末无论是自营商场还是委管商场，出租率相比年初都有一些提升，</w:t>
            </w:r>
            <w:r w:rsidRPr="00A41D8C">
              <w:rPr>
                <w:rFonts w:hint="eastAsia"/>
                <w:sz w:val="24"/>
                <w:szCs w:val="24"/>
              </w:rPr>
              <w:t xml:space="preserve"> </w:t>
            </w:r>
            <w:r w:rsidR="00777B52" w:rsidRPr="00A41D8C">
              <w:rPr>
                <w:rFonts w:hint="eastAsia"/>
                <w:sz w:val="24"/>
                <w:szCs w:val="24"/>
              </w:rPr>
              <w:t>6</w:t>
            </w:r>
            <w:r w:rsidR="00777B52" w:rsidRPr="00A41D8C">
              <w:rPr>
                <w:rFonts w:hint="eastAsia"/>
                <w:sz w:val="24"/>
                <w:szCs w:val="24"/>
              </w:rPr>
              <w:t>月末自营商场出租率</w:t>
            </w:r>
            <w:r w:rsidRPr="00A41D8C">
              <w:rPr>
                <w:rFonts w:hint="eastAsia"/>
                <w:sz w:val="24"/>
                <w:szCs w:val="24"/>
              </w:rPr>
              <w:t>是</w:t>
            </w:r>
            <w:r w:rsidR="00777B52" w:rsidRPr="00A41D8C">
              <w:rPr>
                <w:rFonts w:hint="eastAsia"/>
                <w:sz w:val="24"/>
                <w:szCs w:val="24"/>
              </w:rPr>
              <w:t>85.7%</w:t>
            </w:r>
            <w:r w:rsidR="00777B52" w:rsidRPr="00A41D8C">
              <w:rPr>
                <w:rFonts w:hint="eastAsia"/>
                <w:sz w:val="24"/>
                <w:szCs w:val="24"/>
              </w:rPr>
              <w:t>，年初</w:t>
            </w:r>
            <w:r w:rsidR="00777B52" w:rsidRPr="00A41D8C">
              <w:rPr>
                <w:rFonts w:hint="eastAsia"/>
                <w:sz w:val="24"/>
                <w:szCs w:val="24"/>
              </w:rPr>
              <w:t>85.2%</w:t>
            </w:r>
            <w:r w:rsidR="00777B52" w:rsidRPr="00A41D8C">
              <w:rPr>
                <w:rFonts w:hint="eastAsia"/>
                <w:sz w:val="24"/>
                <w:szCs w:val="24"/>
              </w:rPr>
              <w:t>，提升</w:t>
            </w:r>
            <w:r w:rsidR="00777B52" w:rsidRPr="00A41D8C">
              <w:rPr>
                <w:rFonts w:hint="eastAsia"/>
                <w:sz w:val="24"/>
                <w:szCs w:val="24"/>
              </w:rPr>
              <w:t>0.5</w:t>
            </w:r>
            <w:r w:rsidR="00777B52" w:rsidRPr="00A41D8C">
              <w:rPr>
                <w:rFonts w:hint="eastAsia"/>
                <w:sz w:val="24"/>
                <w:szCs w:val="24"/>
              </w:rPr>
              <w:t>个百分点，</w:t>
            </w:r>
            <w:r w:rsidR="00777B52" w:rsidRPr="00A41D8C">
              <w:rPr>
                <w:rFonts w:hint="eastAsia"/>
                <w:sz w:val="24"/>
                <w:szCs w:val="24"/>
              </w:rPr>
              <w:t>6</w:t>
            </w:r>
            <w:r w:rsidR="00777B52" w:rsidRPr="00A41D8C">
              <w:rPr>
                <w:rFonts w:hint="eastAsia"/>
                <w:sz w:val="24"/>
                <w:szCs w:val="24"/>
              </w:rPr>
              <w:t>月末委管商场出租率是</w:t>
            </w:r>
            <w:r w:rsidR="00777B52" w:rsidRPr="004C6C52">
              <w:rPr>
                <w:rFonts w:hint="eastAsia"/>
                <w:sz w:val="24"/>
                <w:szCs w:val="24"/>
              </w:rPr>
              <w:t>87.7%</w:t>
            </w:r>
            <w:r w:rsidR="00777B52" w:rsidRPr="004C6C52">
              <w:rPr>
                <w:rFonts w:hint="eastAsia"/>
                <w:sz w:val="24"/>
                <w:szCs w:val="24"/>
              </w:rPr>
              <w:t>，年初是</w:t>
            </w:r>
            <w:r w:rsidR="00777B52" w:rsidRPr="004C6C52">
              <w:rPr>
                <w:rFonts w:hint="eastAsia"/>
                <w:sz w:val="24"/>
                <w:szCs w:val="24"/>
              </w:rPr>
              <w:t>86.7%</w:t>
            </w:r>
            <w:r w:rsidR="00777B52" w:rsidRPr="004C6C52">
              <w:rPr>
                <w:rFonts w:hint="eastAsia"/>
                <w:sz w:val="24"/>
                <w:szCs w:val="24"/>
              </w:rPr>
              <w:t>，提升了</w:t>
            </w:r>
            <w:r w:rsidRPr="004C6C52">
              <w:rPr>
                <w:rFonts w:hint="eastAsia"/>
                <w:sz w:val="24"/>
                <w:szCs w:val="24"/>
              </w:rPr>
              <w:t>1</w:t>
            </w:r>
            <w:r w:rsidR="00777B52" w:rsidRPr="004C6C52">
              <w:rPr>
                <w:rFonts w:hint="eastAsia"/>
                <w:sz w:val="24"/>
                <w:szCs w:val="24"/>
              </w:rPr>
              <w:t>个百分点</w:t>
            </w:r>
            <w:r w:rsidRPr="004C6C52">
              <w:rPr>
                <w:rFonts w:hint="eastAsia"/>
                <w:sz w:val="24"/>
                <w:szCs w:val="24"/>
              </w:rPr>
              <w:t>。</w:t>
            </w:r>
          </w:p>
          <w:p w:rsidR="004C6C52" w:rsidRPr="007A4FE6" w:rsidRDefault="00777B52" w:rsidP="004C6C52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4C6C52">
              <w:rPr>
                <w:rFonts w:hint="eastAsia"/>
                <w:sz w:val="24"/>
                <w:szCs w:val="24"/>
              </w:rPr>
              <w:t>委管业务上半年营业收入</w:t>
            </w:r>
            <w:r w:rsidR="00A41D8C" w:rsidRPr="004C6C52">
              <w:rPr>
                <w:sz w:val="24"/>
                <w:szCs w:val="24"/>
              </w:rPr>
              <w:t>10</w:t>
            </w:r>
            <w:r w:rsidRPr="004C6C52">
              <w:rPr>
                <w:rFonts w:hint="eastAsia"/>
                <w:sz w:val="24"/>
                <w:szCs w:val="24"/>
              </w:rPr>
              <w:t>.77</w:t>
            </w:r>
            <w:r w:rsidRPr="004C6C52">
              <w:rPr>
                <w:rFonts w:hint="eastAsia"/>
                <w:sz w:val="24"/>
                <w:szCs w:val="24"/>
              </w:rPr>
              <w:t>亿元，同比减少</w:t>
            </w:r>
            <w:r w:rsidRPr="004C6C52">
              <w:rPr>
                <w:rFonts w:hint="eastAsia"/>
                <w:sz w:val="24"/>
                <w:szCs w:val="24"/>
              </w:rPr>
              <w:t>2.19</w:t>
            </w:r>
            <w:r w:rsidRPr="004C6C52">
              <w:rPr>
                <w:rFonts w:hint="eastAsia"/>
                <w:sz w:val="24"/>
                <w:szCs w:val="24"/>
              </w:rPr>
              <w:t>亿</w:t>
            </w:r>
            <w:r w:rsidR="00A41D8C" w:rsidRPr="004C6C52">
              <w:rPr>
                <w:rFonts w:hint="eastAsia"/>
                <w:sz w:val="24"/>
                <w:szCs w:val="24"/>
              </w:rPr>
              <w:t>元</w:t>
            </w:r>
            <w:r w:rsidRPr="004C6C52">
              <w:rPr>
                <w:rFonts w:hint="eastAsia"/>
                <w:sz w:val="24"/>
                <w:szCs w:val="24"/>
              </w:rPr>
              <w:t>，降幅</w:t>
            </w:r>
            <w:r w:rsidRPr="007A4FE6">
              <w:rPr>
                <w:rFonts w:hint="eastAsia"/>
                <w:sz w:val="24"/>
                <w:szCs w:val="24"/>
              </w:rPr>
              <w:t>16.9%</w:t>
            </w:r>
            <w:r w:rsidRPr="007A4FE6">
              <w:rPr>
                <w:rFonts w:hint="eastAsia"/>
                <w:sz w:val="24"/>
                <w:szCs w:val="24"/>
              </w:rPr>
              <w:t>，</w:t>
            </w:r>
            <w:r w:rsidR="00A41D8C" w:rsidRPr="007A4FE6">
              <w:rPr>
                <w:rFonts w:hint="eastAsia"/>
                <w:sz w:val="24"/>
                <w:szCs w:val="24"/>
              </w:rPr>
              <w:t>主要是</w:t>
            </w:r>
            <w:r w:rsidRPr="007A4FE6">
              <w:rPr>
                <w:rFonts w:hint="eastAsia"/>
                <w:sz w:val="24"/>
                <w:szCs w:val="24"/>
              </w:rPr>
              <w:t>由于委管</w:t>
            </w:r>
            <w:r w:rsidR="00A41D8C" w:rsidRPr="007A4FE6">
              <w:rPr>
                <w:rFonts w:hint="eastAsia"/>
                <w:sz w:val="24"/>
                <w:szCs w:val="24"/>
              </w:rPr>
              <w:t>项目</w:t>
            </w:r>
            <w:r w:rsidRPr="007A4FE6">
              <w:rPr>
                <w:rFonts w:hint="eastAsia"/>
                <w:sz w:val="24"/>
                <w:szCs w:val="24"/>
              </w:rPr>
              <w:t>进度推进比较缓慢，使得</w:t>
            </w:r>
            <w:r w:rsidR="00D85055" w:rsidRPr="007A4FE6">
              <w:rPr>
                <w:rFonts w:hint="eastAsia"/>
                <w:sz w:val="24"/>
                <w:szCs w:val="24"/>
              </w:rPr>
              <w:t>委管</w:t>
            </w:r>
            <w:r w:rsidRPr="007A4FE6">
              <w:rPr>
                <w:rFonts w:hint="eastAsia"/>
                <w:sz w:val="24"/>
                <w:szCs w:val="24"/>
              </w:rPr>
              <w:t>前期收入减少了</w:t>
            </w:r>
            <w:r w:rsidRPr="007A4FE6">
              <w:rPr>
                <w:rFonts w:hint="eastAsia"/>
                <w:sz w:val="24"/>
                <w:szCs w:val="24"/>
              </w:rPr>
              <w:t>0.75</w:t>
            </w:r>
            <w:r w:rsidRPr="007A4FE6">
              <w:rPr>
                <w:rFonts w:hint="eastAsia"/>
                <w:sz w:val="24"/>
                <w:szCs w:val="24"/>
              </w:rPr>
              <w:t>亿，已经开业的委管商城年度收入减少</w:t>
            </w:r>
            <w:r w:rsidRPr="007A4FE6">
              <w:rPr>
                <w:rFonts w:hint="eastAsia"/>
                <w:sz w:val="24"/>
                <w:szCs w:val="24"/>
              </w:rPr>
              <w:t>1.</w:t>
            </w:r>
            <w:r w:rsidR="00A41D8C" w:rsidRPr="007A4FE6">
              <w:rPr>
                <w:sz w:val="24"/>
                <w:szCs w:val="24"/>
              </w:rPr>
              <w:t>26</w:t>
            </w:r>
            <w:r w:rsidRPr="007A4FE6">
              <w:rPr>
                <w:rFonts w:hint="eastAsia"/>
                <w:sz w:val="24"/>
                <w:szCs w:val="24"/>
              </w:rPr>
              <w:t>亿</w:t>
            </w:r>
            <w:r w:rsidR="00A56F02">
              <w:rPr>
                <w:rFonts w:hint="eastAsia"/>
                <w:sz w:val="24"/>
                <w:szCs w:val="24"/>
              </w:rPr>
              <w:t>，</w:t>
            </w:r>
            <w:r w:rsidR="00CC6BC8">
              <w:rPr>
                <w:sz w:val="24"/>
                <w:szCs w:val="24"/>
              </w:rPr>
              <w:t>但委管商场</w:t>
            </w:r>
            <w:r w:rsidR="00257226" w:rsidRPr="00257226">
              <w:rPr>
                <w:rFonts w:hint="eastAsia"/>
                <w:sz w:val="24"/>
                <w:szCs w:val="24"/>
              </w:rPr>
              <w:t>年度收入的毛利率呈现逐年上升的趋势。</w:t>
            </w:r>
          </w:p>
          <w:p w:rsidR="00777B52" w:rsidRPr="003B18E5" w:rsidRDefault="004C6C52" w:rsidP="004C6C52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7A4FE6">
              <w:rPr>
                <w:rFonts w:hint="eastAsia"/>
                <w:sz w:val="24"/>
                <w:szCs w:val="24"/>
              </w:rPr>
              <w:t>建造</w:t>
            </w:r>
            <w:r w:rsidR="00777B52" w:rsidRPr="007A4FE6">
              <w:rPr>
                <w:rFonts w:hint="eastAsia"/>
                <w:sz w:val="24"/>
                <w:szCs w:val="24"/>
              </w:rPr>
              <w:t>施工</w:t>
            </w:r>
            <w:r w:rsidRPr="007A4FE6">
              <w:rPr>
                <w:rFonts w:hint="eastAsia"/>
                <w:sz w:val="24"/>
                <w:szCs w:val="24"/>
              </w:rPr>
              <w:t>及</w:t>
            </w:r>
            <w:r w:rsidR="007A4FE6" w:rsidRPr="007A4FE6">
              <w:rPr>
                <w:rFonts w:hint="eastAsia"/>
                <w:sz w:val="24"/>
                <w:szCs w:val="24"/>
              </w:rPr>
              <w:t>设计</w:t>
            </w:r>
            <w:r w:rsidR="00777B52" w:rsidRPr="007A4FE6">
              <w:rPr>
                <w:rFonts w:hint="eastAsia"/>
                <w:sz w:val="24"/>
                <w:szCs w:val="24"/>
              </w:rPr>
              <w:t>收入</w:t>
            </w:r>
            <w:r w:rsidR="00777B52" w:rsidRPr="007A4FE6">
              <w:rPr>
                <w:rFonts w:hint="eastAsia"/>
                <w:sz w:val="24"/>
                <w:szCs w:val="24"/>
              </w:rPr>
              <w:t>5.32</w:t>
            </w:r>
            <w:r w:rsidR="00777B52" w:rsidRPr="007A4FE6">
              <w:rPr>
                <w:rFonts w:hint="eastAsia"/>
                <w:sz w:val="24"/>
                <w:szCs w:val="24"/>
              </w:rPr>
              <w:t>亿</w:t>
            </w:r>
            <w:r w:rsidR="007A4FE6" w:rsidRPr="007A4FE6">
              <w:rPr>
                <w:rFonts w:hint="eastAsia"/>
                <w:sz w:val="24"/>
                <w:szCs w:val="24"/>
              </w:rPr>
              <w:t>元，同比减少</w:t>
            </w:r>
            <w:r w:rsidR="00777B52" w:rsidRPr="007A4FE6">
              <w:rPr>
                <w:rFonts w:hint="eastAsia"/>
                <w:sz w:val="24"/>
                <w:szCs w:val="24"/>
              </w:rPr>
              <w:t>1.99</w:t>
            </w:r>
            <w:r w:rsidR="00777B52" w:rsidRPr="007A4FE6">
              <w:rPr>
                <w:rFonts w:hint="eastAsia"/>
                <w:sz w:val="24"/>
                <w:szCs w:val="24"/>
              </w:rPr>
              <w:t>亿</w:t>
            </w:r>
            <w:r w:rsidR="007A4FE6" w:rsidRPr="007A4FE6">
              <w:rPr>
                <w:rFonts w:hint="eastAsia"/>
                <w:sz w:val="24"/>
                <w:szCs w:val="24"/>
              </w:rPr>
              <w:t>元，降幅</w:t>
            </w:r>
            <w:r w:rsidR="00777B52" w:rsidRPr="007A4FE6">
              <w:rPr>
                <w:rFonts w:hint="eastAsia"/>
                <w:sz w:val="24"/>
                <w:szCs w:val="24"/>
              </w:rPr>
              <w:t>27.2%</w:t>
            </w:r>
            <w:r w:rsidR="007A4FE6" w:rsidRPr="007A4FE6">
              <w:rPr>
                <w:rFonts w:hint="eastAsia"/>
                <w:sz w:val="24"/>
                <w:szCs w:val="24"/>
              </w:rPr>
              <w:t>，</w:t>
            </w:r>
            <w:r w:rsidR="007A4FE6" w:rsidRPr="003B18E5">
              <w:rPr>
                <w:rFonts w:hint="eastAsia"/>
                <w:sz w:val="24"/>
                <w:szCs w:val="24"/>
              </w:rPr>
              <w:t>主要是由于新增项目较少，存量</w:t>
            </w:r>
            <w:r w:rsidR="00777B52" w:rsidRPr="003B18E5">
              <w:rPr>
                <w:rFonts w:hint="eastAsia"/>
                <w:sz w:val="24"/>
                <w:szCs w:val="24"/>
              </w:rPr>
              <w:t>项目</w:t>
            </w:r>
            <w:r w:rsidR="007A4FE6" w:rsidRPr="003B18E5">
              <w:rPr>
                <w:rFonts w:hint="eastAsia"/>
                <w:sz w:val="24"/>
                <w:szCs w:val="24"/>
              </w:rPr>
              <w:t>进展</w:t>
            </w:r>
            <w:r w:rsidR="00777B52" w:rsidRPr="003B18E5">
              <w:rPr>
                <w:rFonts w:hint="eastAsia"/>
                <w:sz w:val="24"/>
                <w:szCs w:val="24"/>
              </w:rPr>
              <w:t>缓慢导致的。</w:t>
            </w:r>
          </w:p>
          <w:p w:rsidR="003B18E5" w:rsidRPr="003B18E5" w:rsidRDefault="00777B52" w:rsidP="003B18E5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3B18E5">
              <w:rPr>
                <w:rFonts w:hint="eastAsia"/>
                <w:sz w:val="24"/>
                <w:szCs w:val="24"/>
              </w:rPr>
              <w:t>综合毛利率同比</w:t>
            </w:r>
            <w:r w:rsidR="003B18E5" w:rsidRPr="003B18E5">
              <w:rPr>
                <w:rFonts w:hint="eastAsia"/>
                <w:sz w:val="24"/>
                <w:szCs w:val="24"/>
              </w:rPr>
              <w:t>略</w:t>
            </w:r>
            <w:r w:rsidRPr="003B18E5">
              <w:rPr>
                <w:rFonts w:hint="eastAsia"/>
                <w:sz w:val="24"/>
                <w:szCs w:val="24"/>
              </w:rPr>
              <w:t>降</w:t>
            </w:r>
            <w:r w:rsidRPr="003B18E5">
              <w:rPr>
                <w:rFonts w:hint="eastAsia"/>
                <w:sz w:val="24"/>
                <w:szCs w:val="24"/>
              </w:rPr>
              <w:t>2.6</w:t>
            </w:r>
            <w:r w:rsidR="003B18E5" w:rsidRPr="003B18E5">
              <w:rPr>
                <w:rFonts w:hint="eastAsia"/>
                <w:sz w:val="24"/>
                <w:szCs w:val="24"/>
              </w:rPr>
              <w:t>个百分点，主要</w:t>
            </w:r>
            <w:r w:rsidRPr="003B18E5">
              <w:rPr>
                <w:rFonts w:hint="eastAsia"/>
                <w:sz w:val="24"/>
                <w:szCs w:val="24"/>
              </w:rPr>
              <w:t>是由于营业收入的下滑导致的，综合毛利率</w:t>
            </w:r>
            <w:r w:rsidR="003B18E5" w:rsidRPr="003B18E5">
              <w:rPr>
                <w:rFonts w:hint="eastAsia"/>
                <w:sz w:val="24"/>
                <w:szCs w:val="24"/>
              </w:rPr>
              <w:t>第</w:t>
            </w:r>
            <w:r w:rsidRPr="003B18E5">
              <w:rPr>
                <w:rFonts w:hint="eastAsia"/>
                <w:sz w:val="24"/>
                <w:szCs w:val="24"/>
              </w:rPr>
              <w:t>二季度</w:t>
            </w:r>
            <w:r w:rsidR="003B18E5" w:rsidRPr="003B18E5">
              <w:rPr>
                <w:rFonts w:hint="eastAsia"/>
                <w:sz w:val="24"/>
                <w:szCs w:val="24"/>
              </w:rPr>
              <w:t>5</w:t>
            </w:r>
            <w:r w:rsidR="003B18E5" w:rsidRPr="003B18E5">
              <w:rPr>
                <w:sz w:val="24"/>
                <w:szCs w:val="24"/>
              </w:rPr>
              <w:t>9.6</w:t>
            </w:r>
            <w:r w:rsidR="003B18E5" w:rsidRPr="003B18E5">
              <w:rPr>
                <w:rFonts w:hint="eastAsia"/>
                <w:sz w:val="24"/>
                <w:szCs w:val="24"/>
              </w:rPr>
              <w:t>%</w:t>
            </w:r>
            <w:r w:rsidR="003B18E5" w:rsidRPr="003B18E5">
              <w:rPr>
                <w:rFonts w:hint="eastAsia"/>
                <w:sz w:val="24"/>
                <w:szCs w:val="24"/>
              </w:rPr>
              <w:t>，与第一季度基本持平</w:t>
            </w:r>
            <w:r w:rsidRPr="003B18E5">
              <w:rPr>
                <w:rFonts w:hint="eastAsia"/>
                <w:sz w:val="24"/>
                <w:szCs w:val="24"/>
              </w:rPr>
              <w:t>。</w:t>
            </w:r>
          </w:p>
          <w:p w:rsidR="00777B52" w:rsidRPr="00616FFB" w:rsidRDefault="00777B52" w:rsidP="00777B5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974DC">
              <w:rPr>
                <w:rFonts w:hint="eastAsia"/>
                <w:sz w:val="24"/>
                <w:szCs w:val="24"/>
              </w:rPr>
              <w:t xml:space="preserve">    </w:t>
            </w:r>
            <w:r w:rsidR="00D974DC" w:rsidRPr="00D974DC">
              <w:rPr>
                <w:rFonts w:hint="eastAsia"/>
                <w:sz w:val="24"/>
                <w:szCs w:val="24"/>
              </w:rPr>
              <w:t>公司</w:t>
            </w:r>
            <w:r w:rsidRPr="00D974DC">
              <w:rPr>
                <w:rFonts w:hint="eastAsia"/>
                <w:sz w:val="24"/>
                <w:szCs w:val="24"/>
              </w:rPr>
              <w:t>继续严控各项费用，特别是经营和管理</w:t>
            </w:r>
            <w:r w:rsidR="00D974DC" w:rsidRPr="00D974DC">
              <w:rPr>
                <w:rFonts w:hint="eastAsia"/>
                <w:sz w:val="24"/>
                <w:szCs w:val="24"/>
              </w:rPr>
              <w:t>类的费用，减少不必</w:t>
            </w:r>
            <w:r w:rsidR="00D974DC" w:rsidRPr="00616FFB">
              <w:rPr>
                <w:rFonts w:hint="eastAsia"/>
                <w:sz w:val="24"/>
                <w:szCs w:val="24"/>
              </w:rPr>
              <w:t>要开支，努力降本增效。</w:t>
            </w:r>
            <w:r w:rsidRPr="00616FFB">
              <w:rPr>
                <w:rFonts w:hint="eastAsia"/>
                <w:sz w:val="24"/>
                <w:szCs w:val="24"/>
              </w:rPr>
              <w:t>今年上半年销售费用和管理费用处于近三年的较低水平，</w:t>
            </w:r>
            <w:r w:rsidR="001C4E51">
              <w:rPr>
                <w:rFonts w:hint="eastAsia"/>
                <w:sz w:val="24"/>
                <w:szCs w:val="24"/>
              </w:rPr>
              <w:t>销售费用</w:t>
            </w:r>
            <w:r w:rsidR="00D974DC" w:rsidRPr="00616FFB">
              <w:rPr>
                <w:sz w:val="24"/>
                <w:szCs w:val="24"/>
              </w:rPr>
              <w:t>6.06</w:t>
            </w:r>
            <w:r w:rsidRPr="00616FFB">
              <w:rPr>
                <w:rFonts w:hint="eastAsia"/>
                <w:sz w:val="24"/>
                <w:szCs w:val="24"/>
              </w:rPr>
              <w:t>亿</w:t>
            </w:r>
            <w:r w:rsidR="00D85055">
              <w:rPr>
                <w:rFonts w:hint="eastAsia"/>
                <w:sz w:val="24"/>
                <w:szCs w:val="24"/>
              </w:rPr>
              <w:t>元</w:t>
            </w:r>
            <w:r w:rsidRPr="00616FFB">
              <w:rPr>
                <w:rFonts w:hint="eastAsia"/>
                <w:sz w:val="24"/>
                <w:szCs w:val="24"/>
              </w:rPr>
              <w:t>，管理费用</w:t>
            </w:r>
            <w:r w:rsidR="00D974DC" w:rsidRPr="00616FFB">
              <w:rPr>
                <w:rFonts w:hint="eastAsia"/>
                <w:sz w:val="24"/>
                <w:szCs w:val="24"/>
              </w:rPr>
              <w:t>6.</w:t>
            </w:r>
            <w:r w:rsidR="00D974DC" w:rsidRPr="00616FFB">
              <w:rPr>
                <w:sz w:val="24"/>
                <w:szCs w:val="24"/>
              </w:rPr>
              <w:t>72</w:t>
            </w:r>
            <w:r w:rsidRPr="00616FFB">
              <w:rPr>
                <w:rFonts w:hint="eastAsia"/>
                <w:sz w:val="24"/>
                <w:szCs w:val="24"/>
              </w:rPr>
              <w:t>亿</w:t>
            </w:r>
            <w:r w:rsidR="00D85055">
              <w:rPr>
                <w:rFonts w:hint="eastAsia"/>
                <w:sz w:val="24"/>
                <w:szCs w:val="24"/>
              </w:rPr>
              <w:t>元</w:t>
            </w:r>
            <w:r w:rsidRPr="00616FFB">
              <w:rPr>
                <w:rFonts w:hint="eastAsia"/>
                <w:sz w:val="24"/>
                <w:szCs w:val="24"/>
              </w:rPr>
              <w:t>。</w:t>
            </w:r>
          </w:p>
          <w:p w:rsidR="00777B52" w:rsidRPr="00FA2F1F" w:rsidRDefault="00777B52" w:rsidP="00777B5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16FFB">
              <w:rPr>
                <w:rFonts w:hint="eastAsia"/>
                <w:sz w:val="24"/>
                <w:szCs w:val="24"/>
              </w:rPr>
              <w:t xml:space="preserve">    2023</w:t>
            </w:r>
            <w:r w:rsidRPr="00616FFB">
              <w:rPr>
                <w:rFonts w:hint="eastAsia"/>
                <w:sz w:val="24"/>
                <w:szCs w:val="24"/>
              </w:rPr>
              <w:t>年上半年经营活动为公司带来的现金</w:t>
            </w:r>
            <w:r w:rsidR="00D974DC" w:rsidRPr="00616FFB">
              <w:rPr>
                <w:rFonts w:hint="eastAsia"/>
                <w:sz w:val="24"/>
                <w:szCs w:val="24"/>
              </w:rPr>
              <w:t>净流入是</w:t>
            </w:r>
            <w:r w:rsidRPr="00616FFB">
              <w:rPr>
                <w:rFonts w:hint="eastAsia"/>
                <w:sz w:val="24"/>
                <w:szCs w:val="24"/>
              </w:rPr>
              <w:t>20.68</w:t>
            </w:r>
            <w:r w:rsidRPr="00616FFB">
              <w:rPr>
                <w:rFonts w:hint="eastAsia"/>
                <w:sz w:val="24"/>
                <w:szCs w:val="24"/>
              </w:rPr>
              <w:t>亿元，</w:t>
            </w:r>
            <w:r w:rsidR="00D974DC" w:rsidRPr="00616FFB">
              <w:rPr>
                <w:rFonts w:hint="eastAsia"/>
                <w:sz w:val="24"/>
                <w:szCs w:val="24"/>
              </w:rPr>
              <w:t>同比提升</w:t>
            </w:r>
            <w:r w:rsidR="00D974DC" w:rsidRPr="00616FFB">
              <w:rPr>
                <w:rFonts w:hint="eastAsia"/>
                <w:sz w:val="24"/>
                <w:szCs w:val="24"/>
              </w:rPr>
              <w:t>3</w:t>
            </w:r>
            <w:r w:rsidR="00D974DC" w:rsidRPr="00616FFB">
              <w:rPr>
                <w:sz w:val="24"/>
                <w:szCs w:val="24"/>
              </w:rPr>
              <w:t>.3</w:t>
            </w:r>
            <w:r w:rsidR="00D974DC" w:rsidRPr="00616FFB">
              <w:rPr>
                <w:rFonts w:hint="eastAsia"/>
                <w:sz w:val="24"/>
                <w:szCs w:val="24"/>
              </w:rPr>
              <w:t>%</w:t>
            </w:r>
            <w:r w:rsidR="00D974DC" w:rsidRPr="00616FFB">
              <w:rPr>
                <w:rFonts w:hint="eastAsia"/>
                <w:sz w:val="24"/>
                <w:szCs w:val="24"/>
              </w:rPr>
              <w:t>，在较为波动的经济环境下仍保持了稳定</w:t>
            </w:r>
            <w:r w:rsidRPr="00616FFB">
              <w:rPr>
                <w:rFonts w:hint="eastAsia"/>
                <w:sz w:val="24"/>
                <w:szCs w:val="24"/>
              </w:rPr>
              <w:t>。另外，上半年的资本性投入</w:t>
            </w:r>
            <w:r w:rsidRPr="00616FFB">
              <w:rPr>
                <w:rFonts w:hint="eastAsia"/>
                <w:sz w:val="24"/>
                <w:szCs w:val="24"/>
              </w:rPr>
              <w:t>2.56</w:t>
            </w:r>
            <w:r w:rsidRPr="00616FFB">
              <w:rPr>
                <w:rFonts w:hint="eastAsia"/>
                <w:sz w:val="24"/>
                <w:szCs w:val="24"/>
              </w:rPr>
              <w:t>亿</w:t>
            </w:r>
            <w:r w:rsidR="008E078D" w:rsidRPr="00616FFB">
              <w:rPr>
                <w:rFonts w:hint="eastAsia"/>
                <w:sz w:val="24"/>
                <w:szCs w:val="24"/>
              </w:rPr>
              <w:t>元</w:t>
            </w:r>
            <w:r w:rsidRPr="00616FFB">
              <w:rPr>
                <w:rFonts w:hint="eastAsia"/>
                <w:sz w:val="24"/>
                <w:szCs w:val="24"/>
              </w:rPr>
              <w:t>，</w:t>
            </w:r>
            <w:r w:rsidR="00616FFB" w:rsidRPr="00616FFB">
              <w:rPr>
                <w:rFonts w:hint="eastAsia"/>
                <w:sz w:val="24"/>
                <w:szCs w:val="24"/>
              </w:rPr>
              <w:t>同比大幅</w:t>
            </w:r>
            <w:r w:rsidRPr="00616FFB">
              <w:rPr>
                <w:rFonts w:hint="eastAsia"/>
                <w:sz w:val="24"/>
                <w:szCs w:val="24"/>
              </w:rPr>
              <w:t>下降</w:t>
            </w:r>
            <w:r w:rsidR="00616FFB" w:rsidRPr="00616FFB">
              <w:rPr>
                <w:rFonts w:hint="eastAsia"/>
                <w:sz w:val="24"/>
                <w:szCs w:val="24"/>
              </w:rPr>
              <w:t>6</w:t>
            </w:r>
            <w:r w:rsidR="00616FFB" w:rsidRPr="00616FFB">
              <w:rPr>
                <w:sz w:val="24"/>
                <w:szCs w:val="24"/>
              </w:rPr>
              <w:t>6.4</w:t>
            </w:r>
            <w:r w:rsidR="00616FFB" w:rsidRPr="00616FFB">
              <w:rPr>
                <w:rFonts w:hint="eastAsia"/>
                <w:sz w:val="24"/>
                <w:szCs w:val="24"/>
              </w:rPr>
              <w:t>%</w:t>
            </w:r>
            <w:r w:rsidRPr="00616FFB">
              <w:rPr>
                <w:rFonts w:hint="eastAsia"/>
                <w:sz w:val="24"/>
                <w:szCs w:val="24"/>
              </w:rPr>
              <w:t>，近三年呈现持续下降</w:t>
            </w:r>
            <w:r w:rsidRPr="00FA2F1F">
              <w:rPr>
                <w:rFonts w:hint="eastAsia"/>
                <w:sz w:val="24"/>
                <w:szCs w:val="24"/>
              </w:rPr>
              <w:t>的态势</w:t>
            </w:r>
            <w:r w:rsidR="00616FFB" w:rsidRPr="00FA2F1F">
              <w:rPr>
                <w:rFonts w:hint="eastAsia"/>
                <w:sz w:val="24"/>
                <w:szCs w:val="24"/>
              </w:rPr>
              <w:t>。公司近几年</w:t>
            </w:r>
            <w:r w:rsidRPr="00FA2F1F">
              <w:rPr>
                <w:rFonts w:hint="eastAsia"/>
                <w:sz w:val="24"/>
                <w:szCs w:val="24"/>
              </w:rPr>
              <w:t>一直在减少资本性的开支，对于大额的资本性投入更加谨慎，更注重保持公司的流动性和资金的安全性。</w:t>
            </w:r>
          </w:p>
          <w:p w:rsidR="00777B52" w:rsidRPr="00FA2F1F" w:rsidRDefault="00777B52" w:rsidP="00FA2F1F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A2F1F">
              <w:rPr>
                <w:rFonts w:hint="eastAsia"/>
                <w:sz w:val="24"/>
                <w:szCs w:val="24"/>
              </w:rPr>
              <w:t>6</w:t>
            </w:r>
            <w:r w:rsidRPr="00FA2F1F">
              <w:rPr>
                <w:rFonts w:hint="eastAsia"/>
                <w:sz w:val="24"/>
                <w:szCs w:val="24"/>
              </w:rPr>
              <w:t>月末公司</w:t>
            </w:r>
            <w:r w:rsidR="00FA2F1F" w:rsidRPr="00FA2F1F">
              <w:rPr>
                <w:rFonts w:hint="eastAsia"/>
                <w:sz w:val="24"/>
                <w:szCs w:val="24"/>
              </w:rPr>
              <w:t>资产负债率</w:t>
            </w:r>
            <w:r w:rsidRPr="00FA2F1F">
              <w:rPr>
                <w:rFonts w:hint="eastAsia"/>
                <w:sz w:val="24"/>
                <w:szCs w:val="24"/>
              </w:rPr>
              <w:t>55.1%</w:t>
            </w:r>
            <w:r w:rsidR="00FA2F1F" w:rsidRPr="00FA2F1F">
              <w:rPr>
                <w:rFonts w:hint="eastAsia"/>
                <w:sz w:val="24"/>
                <w:szCs w:val="24"/>
              </w:rPr>
              <w:t>，较年初下</w:t>
            </w:r>
            <w:r w:rsidRPr="00FA2F1F">
              <w:rPr>
                <w:rFonts w:hint="eastAsia"/>
                <w:sz w:val="24"/>
                <w:szCs w:val="24"/>
              </w:rPr>
              <w:t>降</w:t>
            </w:r>
            <w:r w:rsidR="00FA2F1F" w:rsidRPr="00FA2F1F">
              <w:rPr>
                <w:rFonts w:hint="eastAsia"/>
                <w:sz w:val="24"/>
                <w:szCs w:val="24"/>
              </w:rPr>
              <w:t>0</w:t>
            </w:r>
            <w:r w:rsidR="00FA2F1F" w:rsidRPr="00FA2F1F">
              <w:rPr>
                <w:sz w:val="24"/>
                <w:szCs w:val="24"/>
              </w:rPr>
              <w:t>.4</w:t>
            </w:r>
            <w:r w:rsidR="00FA2F1F" w:rsidRPr="00FA2F1F">
              <w:rPr>
                <w:sz w:val="24"/>
                <w:szCs w:val="24"/>
              </w:rPr>
              <w:t>个百分点</w:t>
            </w:r>
            <w:r w:rsidR="00FA2F1F" w:rsidRPr="00FA2F1F">
              <w:rPr>
                <w:rFonts w:hint="eastAsia"/>
                <w:sz w:val="24"/>
                <w:szCs w:val="24"/>
              </w:rPr>
              <w:t>。</w:t>
            </w:r>
            <w:r w:rsidRPr="00FA2F1F">
              <w:rPr>
                <w:rFonts w:hint="eastAsia"/>
                <w:sz w:val="24"/>
                <w:szCs w:val="24"/>
              </w:rPr>
              <w:t>有息负债</w:t>
            </w:r>
            <w:r w:rsidR="00BA6C14">
              <w:rPr>
                <w:rFonts w:hint="eastAsia"/>
                <w:sz w:val="24"/>
                <w:szCs w:val="24"/>
              </w:rPr>
              <w:t>规模</w:t>
            </w:r>
            <w:r w:rsidR="00FA2F1F" w:rsidRPr="00FA2F1F">
              <w:rPr>
                <w:rFonts w:hint="eastAsia"/>
                <w:sz w:val="24"/>
                <w:szCs w:val="24"/>
              </w:rPr>
              <w:t>持续下降，</w:t>
            </w:r>
            <w:r w:rsidR="00FA2F1F" w:rsidRPr="00FA2F1F">
              <w:rPr>
                <w:sz w:val="24"/>
                <w:szCs w:val="24"/>
              </w:rPr>
              <w:t>6</w:t>
            </w:r>
            <w:r w:rsidR="00FA2F1F" w:rsidRPr="00FA2F1F">
              <w:rPr>
                <w:sz w:val="24"/>
                <w:szCs w:val="24"/>
              </w:rPr>
              <w:t>月末</w:t>
            </w:r>
            <w:r w:rsidR="00FA2F1F" w:rsidRPr="00FA2F1F">
              <w:rPr>
                <w:rFonts w:hint="eastAsia"/>
                <w:sz w:val="24"/>
                <w:szCs w:val="24"/>
              </w:rPr>
              <w:t>较年初下降约</w:t>
            </w:r>
            <w:r w:rsidRPr="00FA2F1F">
              <w:rPr>
                <w:rFonts w:hint="eastAsia"/>
                <w:sz w:val="24"/>
                <w:szCs w:val="24"/>
              </w:rPr>
              <w:t>5</w:t>
            </w:r>
            <w:r w:rsidRPr="00FA2F1F">
              <w:rPr>
                <w:rFonts w:hint="eastAsia"/>
                <w:sz w:val="24"/>
                <w:szCs w:val="24"/>
              </w:rPr>
              <w:t>亿</w:t>
            </w:r>
            <w:r w:rsidR="00FA2F1F" w:rsidRPr="00FA2F1F">
              <w:rPr>
                <w:rFonts w:hint="eastAsia"/>
                <w:sz w:val="24"/>
                <w:szCs w:val="24"/>
              </w:rPr>
              <w:t>元</w:t>
            </w:r>
            <w:r w:rsidRPr="00FA2F1F">
              <w:rPr>
                <w:rFonts w:hint="eastAsia"/>
                <w:sz w:val="24"/>
                <w:szCs w:val="24"/>
              </w:rPr>
              <w:t>，尤其是一年内到期的有息负债</w:t>
            </w:r>
            <w:r w:rsidR="00FA2F1F" w:rsidRPr="00FA2F1F">
              <w:rPr>
                <w:rFonts w:hint="eastAsia"/>
                <w:sz w:val="24"/>
                <w:szCs w:val="24"/>
              </w:rPr>
              <w:t>，</w:t>
            </w:r>
            <w:r w:rsidRPr="00FA2F1F">
              <w:rPr>
                <w:rFonts w:hint="eastAsia"/>
                <w:sz w:val="24"/>
                <w:szCs w:val="24"/>
              </w:rPr>
              <w:t>目前</w:t>
            </w:r>
            <w:r w:rsidRPr="00FA2F1F">
              <w:rPr>
                <w:rFonts w:hint="eastAsia"/>
                <w:sz w:val="24"/>
                <w:szCs w:val="24"/>
              </w:rPr>
              <w:t>75</w:t>
            </w:r>
            <w:r w:rsidRPr="00FA2F1F">
              <w:rPr>
                <w:rFonts w:hint="eastAsia"/>
                <w:sz w:val="24"/>
                <w:szCs w:val="24"/>
              </w:rPr>
              <w:t>亿</w:t>
            </w:r>
            <w:r w:rsidR="00FA2F1F" w:rsidRPr="00FA2F1F">
              <w:rPr>
                <w:rFonts w:hint="eastAsia"/>
                <w:sz w:val="24"/>
                <w:szCs w:val="24"/>
              </w:rPr>
              <w:t>元</w:t>
            </w:r>
            <w:r w:rsidRPr="00FA2F1F">
              <w:rPr>
                <w:rFonts w:hint="eastAsia"/>
                <w:sz w:val="24"/>
                <w:szCs w:val="24"/>
              </w:rPr>
              <w:t>，较</w:t>
            </w:r>
            <w:r w:rsidRPr="00FA2F1F">
              <w:rPr>
                <w:rFonts w:hint="eastAsia"/>
                <w:sz w:val="24"/>
                <w:szCs w:val="24"/>
              </w:rPr>
              <w:t>2021</w:t>
            </w:r>
            <w:r w:rsidRPr="00FA2F1F">
              <w:rPr>
                <w:rFonts w:hint="eastAsia"/>
                <w:sz w:val="24"/>
                <w:szCs w:val="24"/>
              </w:rPr>
              <w:t>年底的</w:t>
            </w:r>
            <w:r w:rsidRPr="00FA2F1F">
              <w:rPr>
                <w:rFonts w:hint="eastAsia"/>
                <w:sz w:val="24"/>
                <w:szCs w:val="24"/>
              </w:rPr>
              <w:t>135</w:t>
            </w:r>
            <w:r w:rsidRPr="00FA2F1F">
              <w:rPr>
                <w:rFonts w:hint="eastAsia"/>
                <w:sz w:val="24"/>
                <w:szCs w:val="24"/>
              </w:rPr>
              <w:t>亿下降了将近一半。</w:t>
            </w:r>
            <w:r w:rsidR="00FA2F1F" w:rsidRPr="00FA2F1F">
              <w:rPr>
                <w:rFonts w:hint="eastAsia"/>
                <w:sz w:val="24"/>
                <w:szCs w:val="24"/>
              </w:rPr>
              <w:t>从期限结构上</w:t>
            </w:r>
            <w:r w:rsidRPr="00FA2F1F">
              <w:rPr>
                <w:rFonts w:hint="eastAsia"/>
                <w:sz w:val="24"/>
                <w:szCs w:val="24"/>
              </w:rPr>
              <w:t>，一年内到期的有息负债占比</w:t>
            </w:r>
            <w:r w:rsidR="00FA2F1F" w:rsidRPr="00FA2F1F">
              <w:rPr>
                <w:rFonts w:hint="eastAsia"/>
                <w:sz w:val="24"/>
                <w:szCs w:val="24"/>
              </w:rPr>
              <w:t>大约</w:t>
            </w:r>
            <w:r w:rsidRPr="00FA2F1F">
              <w:rPr>
                <w:rFonts w:hint="eastAsia"/>
                <w:sz w:val="24"/>
                <w:szCs w:val="24"/>
              </w:rPr>
              <w:t>是</w:t>
            </w:r>
            <w:r w:rsidRPr="00FA2F1F">
              <w:rPr>
                <w:rFonts w:hint="eastAsia"/>
                <w:sz w:val="24"/>
                <w:szCs w:val="24"/>
              </w:rPr>
              <w:t>23%</w:t>
            </w:r>
            <w:r w:rsidRPr="00FA2F1F">
              <w:rPr>
                <w:rFonts w:hint="eastAsia"/>
                <w:sz w:val="24"/>
                <w:szCs w:val="24"/>
              </w:rPr>
              <w:t>，一到两年占比</w:t>
            </w:r>
            <w:r w:rsidRPr="00FA2F1F">
              <w:rPr>
                <w:rFonts w:hint="eastAsia"/>
                <w:sz w:val="24"/>
                <w:szCs w:val="24"/>
              </w:rPr>
              <w:t>21%</w:t>
            </w:r>
            <w:r w:rsidRPr="00FA2F1F">
              <w:rPr>
                <w:rFonts w:hint="eastAsia"/>
                <w:sz w:val="24"/>
                <w:szCs w:val="24"/>
              </w:rPr>
              <w:t>，两年以</w:t>
            </w:r>
            <w:r w:rsidR="00FA2F1F" w:rsidRPr="00FA2F1F">
              <w:rPr>
                <w:rFonts w:hint="eastAsia"/>
                <w:sz w:val="24"/>
                <w:szCs w:val="24"/>
              </w:rPr>
              <w:t>上</w:t>
            </w:r>
            <w:r w:rsidRPr="00FA2F1F">
              <w:rPr>
                <w:rFonts w:hint="eastAsia"/>
                <w:sz w:val="24"/>
                <w:szCs w:val="24"/>
              </w:rPr>
              <w:t>的占比</w:t>
            </w:r>
            <w:r w:rsidRPr="00FA2F1F">
              <w:rPr>
                <w:rFonts w:hint="eastAsia"/>
                <w:sz w:val="24"/>
                <w:szCs w:val="24"/>
              </w:rPr>
              <w:t>56%</w:t>
            </w:r>
            <w:r w:rsidRPr="00FA2F1F">
              <w:rPr>
                <w:rFonts w:hint="eastAsia"/>
                <w:sz w:val="24"/>
                <w:szCs w:val="24"/>
              </w:rPr>
              <w:t>，从产品的结构来看，几乎都是</w:t>
            </w:r>
            <w:r w:rsidR="00FA2F1F" w:rsidRPr="00FA2F1F">
              <w:rPr>
                <w:rFonts w:hint="eastAsia"/>
                <w:sz w:val="24"/>
                <w:szCs w:val="24"/>
              </w:rPr>
              <w:t>抵押类融</w:t>
            </w:r>
            <w:r w:rsidR="00FA2F1F" w:rsidRPr="00FA2F1F">
              <w:rPr>
                <w:rFonts w:hint="eastAsia"/>
                <w:sz w:val="24"/>
                <w:szCs w:val="24"/>
              </w:rPr>
              <w:lastRenderedPageBreak/>
              <w:t>资，占比</w:t>
            </w:r>
            <w:r w:rsidRPr="00FA2F1F">
              <w:rPr>
                <w:rFonts w:hint="eastAsia"/>
                <w:sz w:val="24"/>
                <w:szCs w:val="24"/>
              </w:rPr>
              <w:t>达到</w:t>
            </w:r>
            <w:r w:rsidRPr="00FA2F1F">
              <w:rPr>
                <w:rFonts w:hint="eastAsia"/>
                <w:sz w:val="24"/>
                <w:szCs w:val="24"/>
              </w:rPr>
              <w:t>99%</w:t>
            </w:r>
            <w:r w:rsidR="00FA2F1F" w:rsidRPr="00FA2F1F">
              <w:rPr>
                <w:rFonts w:hint="eastAsia"/>
                <w:sz w:val="24"/>
                <w:szCs w:val="24"/>
              </w:rPr>
              <w:t>。</w:t>
            </w:r>
            <w:r w:rsidRPr="00FA2F1F">
              <w:rPr>
                <w:rFonts w:hint="eastAsia"/>
                <w:sz w:val="24"/>
                <w:szCs w:val="24"/>
              </w:rPr>
              <w:t>不管是从债务的期限或者是产品的结构上，</w:t>
            </w:r>
            <w:r w:rsidR="00FA2F1F" w:rsidRPr="00FA2F1F">
              <w:rPr>
                <w:rFonts w:hint="eastAsia"/>
                <w:sz w:val="24"/>
                <w:szCs w:val="24"/>
              </w:rPr>
              <w:t>以及</w:t>
            </w:r>
            <w:r w:rsidRPr="00FA2F1F">
              <w:rPr>
                <w:rFonts w:hint="eastAsia"/>
                <w:sz w:val="24"/>
                <w:szCs w:val="24"/>
              </w:rPr>
              <w:t>融资成本上</w:t>
            </w:r>
            <w:r w:rsidR="00FA2F1F" w:rsidRPr="00FA2F1F">
              <w:rPr>
                <w:rFonts w:hint="eastAsia"/>
                <w:sz w:val="24"/>
                <w:szCs w:val="24"/>
              </w:rPr>
              <w:t>都还</w:t>
            </w:r>
            <w:r w:rsidR="00BA6C14">
              <w:rPr>
                <w:rFonts w:hint="eastAsia"/>
                <w:sz w:val="24"/>
                <w:szCs w:val="24"/>
              </w:rPr>
              <w:t>是有很大的优化</w:t>
            </w:r>
            <w:r w:rsidRPr="00FA2F1F">
              <w:rPr>
                <w:rFonts w:hint="eastAsia"/>
                <w:sz w:val="24"/>
                <w:szCs w:val="24"/>
              </w:rPr>
              <w:t>空间，这也是</w:t>
            </w:r>
            <w:r w:rsidR="00FA2F1F" w:rsidRPr="00FA2F1F">
              <w:rPr>
                <w:rFonts w:hint="eastAsia"/>
                <w:sz w:val="24"/>
                <w:szCs w:val="24"/>
              </w:rPr>
              <w:t>公司未来财务工作的重点</w:t>
            </w:r>
            <w:r w:rsidRPr="00FA2F1F">
              <w:rPr>
                <w:rFonts w:hint="eastAsia"/>
                <w:sz w:val="24"/>
                <w:szCs w:val="24"/>
              </w:rPr>
              <w:t>方向。</w:t>
            </w:r>
          </w:p>
          <w:p w:rsidR="00777B52" w:rsidRPr="00720518" w:rsidRDefault="005828AA" w:rsidP="005828AA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828AA">
              <w:rPr>
                <w:rFonts w:hint="eastAsia"/>
                <w:sz w:val="24"/>
                <w:szCs w:val="24"/>
              </w:rPr>
              <w:t>公司</w:t>
            </w:r>
            <w:r w:rsidR="00777B52" w:rsidRPr="005828AA">
              <w:rPr>
                <w:rFonts w:hint="eastAsia"/>
                <w:sz w:val="24"/>
                <w:szCs w:val="24"/>
              </w:rPr>
              <w:t>现在的控股股东</w:t>
            </w:r>
            <w:r w:rsidR="00BA6C14">
              <w:rPr>
                <w:rFonts w:hint="eastAsia"/>
                <w:sz w:val="24"/>
                <w:szCs w:val="24"/>
              </w:rPr>
              <w:t>是</w:t>
            </w:r>
            <w:r w:rsidR="00777B52" w:rsidRPr="005828AA">
              <w:rPr>
                <w:rFonts w:hint="eastAsia"/>
                <w:sz w:val="24"/>
                <w:szCs w:val="24"/>
              </w:rPr>
              <w:t>建发股份，</w:t>
            </w:r>
            <w:r w:rsidRPr="005828AA">
              <w:rPr>
                <w:rFonts w:hint="eastAsia"/>
                <w:sz w:val="24"/>
                <w:szCs w:val="24"/>
              </w:rPr>
              <w:t>公司</w:t>
            </w:r>
            <w:r w:rsidR="00F64BED">
              <w:rPr>
                <w:rFonts w:hint="eastAsia"/>
                <w:sz w:val="24"/>
                <w:szCs w:val="24"/>
              </w:rPr>
              <w:t>已成为</w:t>
            </w:r>
            <w:r w:rsidR="00777B52" w:rsidRPr="005828AA">
              <w:rPr>
                <w:rFonts w:hint="eastAsia"/>
                <w:sz w:val="24"/>
                <w:szCs w:val="24"/>
              </w:rPr>
              <w:t>一家国有控股的上市公司</w:t>
            </w:r>
            <w:r w:rsidRPr="005828AA">
              <w:rPr>
                <w:rFonts w:hint="eastAsia"/>
                <w:sz w:val="24"/>
                <w:szCs w:val="24"/>
              </w:rPr>
              <w:t>。</w:t>
            </w:r>
            <w:r w:rsidR="00777B52" w:rsidRPr="005828AA">
              <w:rPr>
                <w:rFonts w:hint="eastAsia"/>
                <w:sz w:val="24"/>
                <w:szCs w:val="24"/>
              </w:rPr>
              <w:t>建发在金融资源上</w:t>
            </w:r>
            <w:r w:rsidRPr="005828AA">
              <w:rPr>
                <w:rFonts w:hint="eastAsia"/>
                <w:sz w:val="24"/>
                <w:szCs w:val="24"/>
              </w:rPr>
              <w:t>将会给公司带来</w:t>
            </w:r>
            <w:r w:rsidR="00777B52" w:rsidRPr="005828AA">
              <w:rPr>
                <w:rFonts w:hint="eastAsia"/>
                <w:sz w:val="24"/>
                <w:szCs w:val="24"/>
              </w:rPr>
              <w:t>很大的赋能，</w:t>
            </w:r>
            <w:r w:rsidRPr="005828AA">
              <w:rPr>
                <w:rFonts w:hint="eastAsia"/>
                <w:sz w:val="24"/>
                <w:szCs w:val="24"/>
              </w:rPr>
              <w:t>为公司导入优质的金融资源</w:t>
            </w:r>
            <w:r w:rsidR="00C72612">
              <w:rPr>
                <w:rFonts w:hint="eastAsia"/>
                <w:sz w:val="24"/>
                <w:szCs w:val="24"/>
              </w:rPr>
              <w:t>，</w:t>
            </w:r>
            <w:r w:rsidRPr="005828AA">
              <w:rPr>
                <w:rFonts w:hint="eastAsia"/>
                <w:sz w:val="24"/>
                <w:szCs w:val="24"/>
              </w:rPr>
              <w:t>公司的</w:t>
            </w:r>
            <w:r w:rsidR="00305D0E" w:rsidRPr="005828AA">
              <w:rPr>
                <w:rFonts w:hint="eastAsia"/>
                <w:sz w:val="24"/>
                <w:szCs w:val="24"/>
              </w:rPr>
              <w:t>融资渠道会进一步多元化</w:t>
            </w:r>
            <w:r w:rsidR="00777B52" w:rsidRPr="005828AA">
              <w:rPr>
                <w:rFonts w:hint="eastAsia"/>
                <w:sz w:val="24"/>
                <w:szCs w:val="24"/>
              </w:rPr>
              <w:t>，融资成本也会大幅降低</w:t>
            </w:r>
            <w:r w:rsidRPr="005828AA">
              <w:rPr>
                <w:rFonts w:hint="eastAsia"/>
                <w:sz w:val="24"/>
                <w:szCs w:val="24"/>
              </w:rPr>
              <w:t>。</w:t>
            </w:r>
            <w:r w:rsidR="00F64BED">
              <w:rPr>
                <w:rFonts w:hint="eastAsia"/>
                <w:sz w:val="24"/>
                <w:szCs w:val="24"/>
              </w:rPr>
              <w:t>近期</w:t>
            </w:r>
            <w:r w:rsidRPr="005828AA">
              <w:rPr>
                <w:rFonts w:hint="eastAsia"/>
                <w:sz w:val="24"/>
                <w:szCs w:val="24"/>
              </w:rPr>
              <w:t>，公司</w:t>
            </w:r>
            <w:r w:rsidR="00777B52" w:rsidRPr="005828AA">
              <w:rPr>
                <w:rFonts w:hint="eastAsia"/>
                <w:sz w:val="24"/>
                <w:szCs w:val="24"/>
              </w:rPr>
              <w:t>陆续跟中国银行、建设银行、平安银行、民生银行签署了</w:t>
            </w:r>
            <w:r w:rsidRPr="005828AA">
              <w:rPr>
                <w:rFonts w:hint="eastAsia"/>
                <w:sz w:val="24"/>
                <w:szCs w:val="24"/>
              </w:rPr>
              <w:t>战略</w:t>
            </w:r>
            <w:r w:rsidR="00777B52" w:rsidRPr="005828AA">
              <w:rPr>
                <w:rFonts w:hint="eastAsia"/>
                <w:sz w:val="24"/>
                <w:szCs w:val="24"/>
              </w:rPr>
              <w:t>合作协议，</w:t>
            </w:r>
            <w:r w:rsidRPr="005828AA">
              <w:rPr>
                <w:rFonts w:hint="eastAsia"/>
                <w:sz w:val="24"/>
                <w:szCs w:val="24"/>
              </w:rPr>
              <w:t>并已经开始进行综合授信的切换，以及</w:t>
            </w:r>
            <w:r w:rsidR="00777B52" w:rsidRPr="005828AA">
              <w:rPr>
                <w:rFonts w:hint="eastAsia"/>
                <w:sz w:val="24"/>
                <w:szCs w:val="24"/>
              </w:rPr>
              <w:t>融资项目</w:t>
            </w:r>
            <w:r w:rsidRPr="005828AA">
              <w:rPr>
                <w:rFonts w:hint="eastAsia"/>
                <w:sz w:val="24"/>
                <w:szCs w:val="24"/>
              </w:rPr>
              <w:t>的梳理和申报</w:t>
            </w:r>
            <w:r w:rsidR="00777B52" w:rsidRPr="005828AA">
              <w:rPr>
                <w:rFonts w:hint="eastAsia"/>
                <w:sz w:val="24"/>
                <w:szCs w:val="24"/>
              </w:rPr>
              <w:t>，</w:t>
            </w:r>
            <w:r w:rsidRPr="005828AA">
              <w:rPr>
                <w:rFonts w:hint="eastAsia"/>
                <w:sz w:val="24"/>
                <w:szCs w:val="24"/>
              </w:rPr>
              <w:t>之后</w:t>
            </w:r>
            <w:r w:rsidR="00777B52" w:rsidRPr="005828AA">
              <w:rPr>
                <w:rFonts w:hint="eastAsia"/>
                <w:sz w:val="24"/>
                <w:szCs w:val="24"/>
              </w:rPr>
              <w:t>还会增加</w:t>
            </w:r>
            <w:r w:rsidRPr="005828AA">
              <w:rPr>
                <w:rFonts w:hint="eastAsia"/>
                <w:sz w:val="24"/>
                <w:szCs w:val="24"/>
              </w:rPr>
              <w:t>与</w:t>
            </w:r>
            <w:r w:rsidR="00777B52" w:rsidRPr="005828AA">
              <w:rPr>
                <w:rFonts w:hint="eastAsia"/>
                <w:sz w:val="24"/>
                <w:szCs w:val="24"/>
              </w:rPr>
              <w:t>金融机构的合作，扩大整个授信额度，并且通过债务的置换，</w:t>
            </w:r>
            <w:r w:rsidR="00305D0E" w:rsidRPr="005828AA">
              <w:rPr>
                <w:rFonts w:hint="eastAsia"/>
                <w:sz w:val="24"/>
                <w:szCs w:val="24"/>
              </w:rPr>
              <w:t>优化</w:t>
            </w:r>
            <w:r w:rsidR="00777B52" w:rsidRPr="005828AA">
              <w:rPr>
                <w:rFonts w:hint="eastAsia"/>
                <w:sz w:val="24"/>
                <w:szCs w:val="24"/>
              </w:rPr>
              <w:t>有息负债</w:t>
            </w:r>
            <w:r w:rsidR="00F64BED">
              <w:rPr>
                <w:rFonts w:hint="eastAsia"/>
                <w:sz w:val="24"/>
                <w:szCs w:val="24"/>
              </w:rPr>
              <w:t>的产品</w:t>
            </w:r>
            <w:r w:rsidRPr="005828AA">
              <w:rPr>
                <w:rFonts w:hint="eastAsia"/>
                <w:sz w:val="24"/>
                <w:szCs w:val="24"/>
              </w:rPr>
              <w:t>和期限</w:t>
            </w:r>
            <w:r w:rsidR="00F64BED">
              <w:rPr>
                <w:rFonts w:hint="eastAsia"/>
                <w:sz w:val="24"/>
                <w:szCs w:val="24"/>
              </w:rPr>
              <w:t>结构</w:t>
            </w:r>
            <w:r w:rsidRPr="005828AA">
              <w:rPr>
                <w:rFonts w:hint="eastAsia"/>
                <w:sz w:val="24"/>
                <w:szCs w:val="24"/>
              </w:rPr>
              <w:t>，来降低融资成本，从而降低财务费用，提升</w:t>
            </w:r>
            <w:r w:rsidRPr="00720518">
              <w:rPr>
                <w:rFonts w:hint="eastAsia"/>
                <w:sz w:val="24"/>
                <w:szCs w:val="24"/>
              </w:rPr>
              <w:t>整个的经营效益</w:t>
            </w:r>
            <w:r w:rsidR="00777B52" w:rsidRPr="00720518">
              <w:rPr>
                <w:rFonts w:hint="eastAsia"/>
                <w:sz w:val="24"/>
                <w:szCs w:val="24"/>
              </w:rPr>
              <w:t>。</w:t>
            </w:r>
          </w:p>
          <w:p w:rsidR="00777B52" w:rsidRPr="00720518" w:rsidRDefault="00D41F94" w:rsidP="00D41F9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720518">
              <w:rPr>
                <w:rFonts w:hint="eastAsia"/>
                <w:sz w:val="24"/>
                <w:szCs w:val="24"/>
              </w:rPr>
              <w:t>另外，</w:t>
            </w:r>
            <w:r w:rsidR="00777B52" w:rsidRPr="00720518">
              <w:rPr>
                <w:rFonts w:hint="eastAsia"/>
                <w:sz w:val="24"/>
                <w:szCs w:val="24"/>
              </w:rPr>
              <w:t>今年</w:t>
            </w:r>
            <w:r w:rsidR="00777B52" w:rsidRPr="00720518">
              <w:rPr>
                <w:rFonts w:hint="eastAsia"/>
                <w:sz w:val="24"/>
                <w:szCs w:val="24"/>
              </w:rPr>
              <w:t>3</w:t>
            </w:r>
            <w:r w:rsidRPr="00720518">
              <w:rPr>
                <w:rFonts w:hint="eastAsia"/>
                <w:sz w:val="24"/>
                <w:szCs w:val="24"/>
              </w:rPr>
              <w:t>月</w:t>
            </w:r>
            <w:r w:rsidR="00777B52" w:rsidRPr="00720518">
              <w:rPr>
                <w:rFonts w:hint="eastAsia"/>
                <w:sz w:val="24"/>
                <w:szCs w:val="24"/>
              </w:rPr>
              <w:t>发改委的</w:t>
            </w:r>
            <w:r w:rsidR="00777B52" w:rsidRPr="00720518">
              <w:rPr>
                <w:rFonts w:hint="eastAsia"/>
                <w:sz w:val="24"/>
                <w:szCs w:val="24"/>
              </w:rPr>
              <w:t>236</w:t>
            </w:r>
            <w:r w:rsidR="00777B52" w:rsidRPr="00720518">
              <w:rPr>
                <w:rFonts w:hint="eastAsia"/>
                <w:sz w:val="24"/>
                <w:szCs w:val="24"/>
              </w:rPr>
              <w:t>号文</w:t>
            </w:r>
            <w:r w:rsidRPr="00720518">
              <w:rPr>
                <w:rFonts w:hint="eastAsia"/>
                <w:sz w:val="24"/>
                <w:szCs w:val="24"/>
              </w:rPr>
              <w:t>将</w:t>
            </w:r>
            <w:r w:rsidR="00777B52" w:rsidRPr="00720518">
              <w:rPr>
                <w:rFonts w:hint="eastAsia"/>
                <w:sz w:val="24"/>
                <w:szCs w:val="24"/>
              </w:rPr>
              <w:t>消费基础设施</w:t>
            </w:r>
            <w:r w:rsidR="00720518" w:rsidRPr="00720518">
              <w:rPr>
                <w:rFonts w:hint="eastAsia"/>
                <w:sz w:val="24"/>
                <w:szCs w:val="24"/>
              </w:rPr>
              <w:t>正式</w:t>
            </w:r>
            <w:r w:rsidR="00777B52" w:rsidRPr="00720518">
              <w:rPr>
                <w:rFonts w:hint="eastAsia"/>
                <w:sz w:val="24"/>
                <w:szCs w:val="24"/>
              </w:rPr>
              <w:t>纳入</w:t>
            </w:r>
            <w:r w:rsidR="00720518" w:rsidRPr="00720518">
              <w:rPr>
                <w:rFonts w:hint="eastAsia"/>
                <w:sz w:val="24"/>
                <w:szCs w:val="24"/>
              </w:rPr>
              <w:t>公募</w:t>
            </w:r>
            <w:r w:rsidR="00720518" w:rsidRPr="00720518">
              <w:rPr>
                <w:rFonts w:hint="eastAsia"/>
                <w:sz w:val="24"/>
                <w:szCs w:val="24"/>
              </w:rPr>
              <w:t>REITs</w:t>
            </w:r>
            <w:r w:rsidR="00777B52" w:rsidRPr="00720518">
              <w:rPr>
                <w:rFonts w:hint="eastAsia"/>
                <w:sz w:val="24"/>
                <w:szCs w:val="24"/>
              </w:rPr>
              <w:t>的试点范围，今年</w:t>
            </w:r>
            <w:r w:rsidR="00777B52" w:rsidRPr="00720518">
              <w:rPr>
                <w:rFonts w:hint="eastAsia"/>
                <w:sz w:val="24"/>
                <w:szCs w:val="24"/>
              </w:rPr>
              <w:t>7</w:t>
            </w:r>
            <w:r w:rsidR="00C749CF">
              <w:rPr>
                <w:rFonts w:hint="eastAsia"/>
                <w:sz w:val="24"/>
                <w:szCs w:val="24"/>
              </w:rPr>
              <w:t>月</w:t>
            </w:r>
            <w:r w:rsidR="00777B52" w:rsidRPr="00720518">
              <w:rPr>
                <w:rFonts w:hint="eastAsia"/>
                <w:sz w:val="24"/>
                <w:szCs w:val="24"/>
              </w:rPr>
              <w:t>商务部</w:t>
            </w:r>
            <w:r w:rsidR="00720518" w:rsidRPr="00720518">
              <w:rPr>
                <w:rFonts w:hint="eastAsia"/>
                <w:sz w:val="24"/>
                <w:szCs w:val="24"/>
              </w:rPr>
              <w:t>等</w:t>
            </w:r>
            <w:r w:rsidR="00777B52" w:rsidRPr="00720518">
              <w:rPr>
                <w:rFonts w:hint="eastAsia"/>
                <w:sz w:val="24"/>
                <w:szCs w:val="24"/>
              </w:rPr>
              <w:t>13</w:t>
            </w:r>
            <w:r w:rsidR="00777B52" w:rsidRPr="00720518">
              <w:rPr>
                <w:rFonts w:hint="eastAsia"/>
                <w:sz w:val="24"/>
                <w:szCs w:val="24"/>
              </w:rPr>
              <w:t>部门发布《关于促进家居消费若干措施的通知》，</w:t>
            </w:r>
            <w:r w:rsidR="00720518" w:rsidRPr="00720518">
              <w:rPr>
                <w:rFonts w:hint="eastAsia"/>
                <w:sz w:val="24"/>
                <w:szCs w:val="24"/>
              </w:rPr>
              <w:t>支持符合条件的家居卖场等商业网点项目发行</w:t>
            </w:r>
            <w:r w:rsidR="00720518" w:rsidRPr="00720518">
              <w:rPr>
                <w:rFonts w:hint="eastAsia"/>
                <w:sz w:val="24"/>
                <w:szCs w:val="24"/>
              </w:rPr>
              <w:t>REITs</w:t>
            </w:r>
            <w:r w:rsidR="00777B52" w:rsidRPr="00720518">
              <w:rPr>
                <w:rFonts w:hint="eastAsia"/>
                <w:sz w:val="24"/>
                <w:szCs w:val="24"/>
              </w:rPr>
              <w:t>。</w:t>
            </w:r>
            <w:r w:rsidR="00C749CF">
              <w:rPr>
                <w:rFonts w:hint="eastAsia"/>
                <w:sz w:val="24"/>
                <w:szCs w:val="24"/>
              </w:rPr>
              <w:t>公司作为国内领先的家居装饰和家具商场</w:t>
            </w:r>
            <w:r w:rsidR="00720518" w:rsidRPr="00720518">
              <w:rPr>
                <w:rFonts w:hint="eastAsia"/>
                <w:sz w:val="24"/>
                <w:szCs w:val="24"/>
              </w:rPr>
              <w:t>运营商，是首批消费基础设施</w:t>
            </w:r>
            <w:r w:rsidR="00720518" w:rsidRPr="00720518">
              <w:rPr>
                <w:rFonts w:hint="eastAsia"/>
                <w:sz w:val="24"/>
                <w:szCs w:val="24"/>
              </w:rPr>
              <w:t>REITs</w:t>
            </w:r>
            <w:r w:rsidR="00720518" w:rsidRPr="00720518">
              <w:rPr>
                <w:sz w:val="24"/>
                <w:szCs w:val="24"/>
              </w:rPr>
              <w:t>的</w:t>
            </w:r>
            <w:r w:rsidR="00C749CF">
              <w:rPr>
                <w:rFonts w:hint="eastAsia"/>
                <w:sz w:val="24"/>
                <w:szCs w:val="24"/>
              </w:rPr>
              <w:t>重点支持</w:t>
            </w:r>
            <w:r w:rsidR="00777B52" w:rsidRPr="00720518">
              <w:rPr>
                <w:rFonts w:hint="eastAsia"/>
                <w:sz w:val="24"/>
                <w:szCs w:val="24"/>
              </w:rPr>
              <w:t>类别</w:t>
            </w:r>
            <w:r w:rsidR="00720518" w:rsidRPr="00720518">
              <w:rPr>
                <w:rFonts w:hint="eastAsia"/>
                <w:sz w:val="24"/>
                <w:szCs w:val="24"/>
              </w:rPr>
              <w:t>。未来通过发行公募</w:t>
            </w:r>
            <w:r w:rsidR="00720518" w:rsidRPr="00720518">
              <w:rPr>
                <w:rFonts w:hint="eastAsia"/>
                <w:sz w:val="24"/>
                <w:szCs w:val="24"/>
              </w:rPr>
              <w:t>REITs</w:t>
            </w:r>
            <w:r w:rsidR="00777B52" w:rsidRPr="00720518">
              <w:rPr>
                <w:rFonts w:hint="eastAsia"/>
                <w:sz w:val="24"/>
                <w:szCs w:val="24"/>
              </w:rPr>
              <w:t>，可以盘活公司</w:t>
            </w:r>
            <w:r w:rsidR="00720518" w:rsidRPr="00720518">
              <w:rPr>
                <w:rFonts w:hint="eastAsia"/>
                <w:sz w:val="24"/>
                <w:szCs w:val="24"/>
              </w:rPr>
              <w:t>的重资产</w:t>
            </w:r>
            <w:r w:rsidR="00777B52" w:rsidRPr="00720518">
              <w:rPr>
                <w:rFonts w:hint="eastAsia"/>
                <w:sz w:val="24"/>
                <w:szCs w:val="24"/>
              </w:rPr>
              <w:t>物业，一方面降低资产负债率，另一方面向轻资产</w:t>
            </w:r>
            <w:r w:rsidR="00720518" w:rsidRPr="00720518">
              <w:rPr>
                <w:rFonts w:hint="eastAsia"/>
                <w:sz w:val="24"/>
                <w:szCs w:val="24"/>
              </w:rPr>
              <w:t>、</w:t>
            </w:r>
            <w:r w:rsidR="00777B52" w:rsidRPr="00720518">
              <w:rPr>
                <w:rFonts w:hint="eastAsia"/>
                <w:sz w:val="24"/>
                <w:szCs w:val="24"/>
              </w:rPr>
              <w:t>重运营转型</w:t>
            </w:r>
            <w:r w:rsidR="00357645">
              <w:rPr>
                <w:rFonts w:hint="eastAsia"/>
                <w:sz w:val="24"/>
                <w:szCs w:val="24"/>
              </w:rPr>
              <w:t>。</w:t>
            </w:r>
            <w:r w:rsidR="00720518" w:rsidRPr="00720518">
              <w:rPr>
                <w:rFonts w:hint="eastAsia"/>
                <w:sz w:val="24"/>
                <w:szCs w:val="24"/>
              </w:rPr>
              <w:t>公司</w:t>
            </w:r>
            <w:r w:rsidR="00357645">
              <w:rPr>
                <w:rFonts w:hint="eastAsia"/>
                <w:sz w:val="24"/>
                <w:szCs w:val="24"/>
              </w:rPr>
              <w:t>目前</w:t>
            </w:r>
            <w:r w:rsidR="00720518" w:rsidRPr="00720518">
              <w:rPr>
                <w:rFonts w:hint="eastAsia"/>
                <w:sz w:val="24"/>
                <w:szCs w:val="24"/>
              </w:rPr>
              <w:t>正</w:t>
            </w:r>
            <w:r w:rsidR="00777B52" w:rsidRPr="00720518">
              <w:rPr>
                <w:rFonts w:hint="eastAsia"/>
                <w:sz w:val="24"/>
                <w:szCs w:val="24"/>
              </w:rPr>
              <w:t>在积极探讨发行</w:t>
            </w:r>
            <w:r w:rsidR="00720518">
              <w:rPr>
                <w:rFonts w:hint="eastAsia"/>
                <w:sz w:val="24"/>
                <w:szCs w:val="24"/>
              </w:rPr>
              <w:t>公募</w:t>
            </w:r>
            <w:r w:rsidR="00720518" w:rsidRPr="00720518">
              <w:rPr>
                <w:rFonts w:hint="eastAsia"/>
                <w:sz w:val="24"/>
                <w:szCs w:val="24"/>
              </w:rPr>
              <w:t>REITs</w:t>
            </w:r>
            <w:r w:rsidR="00777B52" w:rsidRPr="00720518">
              <w:rPr>
                <w:rFonts w:hint="eastAsia"/>
                <w:sz w:val="24"/>
                <w:szCs w:val="24"/>
              </w:rPr>
              <w:t>的</w:t>
            </w:r>
            <w:r w:rsidR="00720518">
              <w:rPr>
                <w:rFonts w:hint="eastAsia"/>
                <w:sz w:val="24"/>
                <w:szCs w:val="24"/>
              </w:rPr>
              <w:t>可行性</w:t>
            </w:r>
            <w:r w:rsidR="00777B52" w:rsidRPr="00720518">
              <w:rPr>
                <w:rFonts w:hint="eastAsia"/>
                <w:sz w:val="24"/>
                <w:szCs w:val="24"/>
              </w:rPr>
              <w:t>方案。</w:t>
            </w:r>
          </w:p>
          <w:p w:rsidR="00004BFB" w:rsidRDefault="00004BFB" w:rsidP="00777B52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E7566C" w:rsidRPr="00E7566C" w:rsidRDefault="00E7566C" w:rsidP="00777B5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F55F7">
              <w:rPr>
                <w:rFonts w:hint="eastAsia"/>
                <w:b/>
                <w:sz w:val="24"/>
                <w:szCs w:val="24"/>
              </w:rPr>
              <w:t>2</w:t>
            </w:r>
            <w:r w:rsidRPr="001F55F7">
              <w:rPr>
                <w:b/>
                <w:sz w:val="24"/>
                <w:szCs w:val="24"/>
              </w:rPr>
              <w:t>023</w:t>
            </w:r>
            <w:r w:rsidRPr="001F55F7">
              <w:rPr>
                <w:b/>
                <w:sz w:val="24"/>
                <w:szCs w:val="24"/>
              </w:rPr>
              <w:t>年半年度</w:t>
            </w:r>
            <w:r>
              <w:rPr>
                <w:b/>
                <w:sz w:val="24"/>
                <w:szCs w:val="24"/>
              </w:rPr>
              <w:t>公司</w:t>
            </w:r>
            <w:r>
              <w:rPr>
                <w:rFonts w:hint="eastAsia"/>
                <w:b/>
                <w:sz w:val="24"/>
                <w:szCs w:val="24"/>
              </w:rPr>
              <w:t>运营</w:t>
            </w:r>
            <w:r w:rsidRPr="001F55F7">
              <w:rPr>
                <w:b/>
                <w:sz w:val="24"/>
                <w:szCs w:val="24"/>
              </w:rPr>
              <w:t>情况</w:t>
            </w:r>
            <w:r w:rsidR="006770D1">
              <w:rPr>
                <w:b/>
                <w:sz w:val="24"/>
                <w:szCs w:val="24"/>
              </w:rPr>
              <w:t>及展望</w:t>
            </w:r>
            <w:r w:rsidRPr="001F55F7">
              <w:rPr>
                <w:rFonts w:hint="eastAsia"/>
                <w:sz w:val="24"/>
                <w:szCs w:val="24"/>
              </w:rPr>
              <w:t>：</w:t>
            </w:r>
          </w:p>
          <w:p w:rsidR="00C53010" w:rsidRPr="00C53010" w:rsidRDefault="0048032E" w:rsidP="001E214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C53010">
              <w:rPr>
                <w:rFonts w:hint="eastAsia"/>
                <w:sz w:val="24"/>
                <w:szCs w:val="24"/>
              </w:rPr>
              <w:t>公司</w:t>
            </w:r>
            <w:r w:rsidR="00CC0EB0" w:rsidRPr="00C53010">
              <w:rPr>
                <w:rFonts w:hint="eastAsia"/>
                <w:sz w:val="24"/>
                <w:szCs w:val="24"/>
              </w:rPr>
              <w:t>坚定</w:t>
            </w:r>
            <w:r w:rsidR="00777B52" w:rsidRPr="00C53010">
              <w:rPr>
                <w:rFonts w:hint="eastAsia"/>
                <w:sz w:val="24"/>
                <w:szCs w:val="24"/>
              </w:rPr>
              <w:t>长期战略，</w:t>
            </w:r>
            <w:r w:rsidR="00C62510" w:rsidRPr="00C53010">
              <w:rPr>
                <w:rFonts w:hint="eastAsia"/>
                <w:sz w:val="24"/>
                <w:szCs w:val="24"/>
              </w:rPr>
              <w:t>做大做强</w:t>
            </w:r>
            <w:r w:rsidR="00777B52" w:rsidRPr="00C53010">
              <w:rPr>
                <w:rFonts w:hint="eastAsia"/>
                <w:sz w:val="24"/>
                <w:szCs w:val="24"/>
              </w:rPr>
              <w:t>在中国各级市场所建立</w:t>
            </w:r>
            <w:r w:rsidR="00CC0EB0" w:rsidRPr="00C53010">
              <w:rPr>
                <w:rFonts w:hint="eastAsia"/>
                <w:sz w:val="24"/>
                <w:szCs w:val="24"/>
              </w:rPr>
              <w:t>的</w:t>
            </w:r>
            <w:r w:rsidR="00777B52" w:rsidRPr="00C53010">
              <w:rPr>
                <w:rFonts w:hint="eastAsia"/>
                <w:sz w:val="24"/>
                <w:szCs w:val="24"/>
              </w:rPr>
              <w:t>中国最大的家居商业网络平台，一公里宽，一万米深，做强在整个大家居消费领域的生态和长期</w:t>
            </w:r>
            <w:r w:rsidR="00CC0EB0" w:rsidRPr="00C53010">
              <w:rPr>
                <w:rFonts w:hint="eastAsia"/>
                <w:sz w:val="24"/>
                <w:szCs w:val="24"/>
              </w:rPr>
              <w:t>竞争力</w:t>
            </w:r>
            <w:r w:rsidR="00777B52" w:rsidRPr="00C53010">
              <w:rPr>
                <w:rFonts w:hint="eastAsia"/>
                <w:sz w:val="24"/>
                <w:szCs w:val="24"/>
              </w:rPr>
              <w:t>的打造。</w:t>
            </w:r>
          </w:p>
          <w:p w:rsidR="00777B52" w:rsidRPr="00F042AD" w:rsidRDefault="00C62510" w:rsidP="001E214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="00C53010" w:rsidRPr="00F042AD">
              <w:rPr>
                <w:rFonts w:hint="eastAsia"/>
                <w:sz w:val="24"/>
                <w:szCs w:val="24"/>
              </w:rPr>
              <w:t>长期竞争力的打造</w:t>
            </w:r>
            <w:r w:rsidR="00777B52" w:rsidRPr="00F042AD">
              <w:rPr>
                <w:rFonts w:hint="eastAsia"/>
                <w:sz w:val="24"/>
                <w:szCs w:val="24"/>
              </w:rPr>
              <w:t>来自于</w:t>
            </w:r>
            <w:r w:rsidR="00C53010" w:rsidRPr="00F042AD">
              <w:rPr>
                <w:rFonts w:hint="eastAsia"/>
                <w:sz w:val="24"/>
                <w:szCs w:val="24"/>
              </w:rPr>
              <w:t>公司在全国所构建</w:t>
            </w:r>
            <w:r w:rsidR="00777B52" w:rsidRPr="00F042AD">
              <w:rPr>
                <w:rFonts w:hint="eastAsia"/>
                <w:sz w:val="24"/>
                <w:szCs w:val="24"/>
              </w:rPr>
              <w:t>的从一级到三级市场</w:t>
            </w:r>
            <w:r w:rsidR="00F042AD" w:rsidRPr="00F042AD">
              <w:rPr>
                <w:rFonts w:hint="eastAsia"/>
                <w:sz w:val="24"/>
                <w:szCs w:val="24"/>
              </w:rPr>
              <w:t>的网络</w:t>
            </w:r>
            <w:r w:rsidR="00777B52" w:rsidRPr="00F042AD">
              <w:rPr>
                <w:rFonts w:hint="eastAsia"/>
                <w:sz w:val="24"/>
                <w:szCs w:val="24"/>
              </w:rPr>
              <w:t>布局</w:t>
            </w:r>
            <w:r w:rsidR="00C53010" w:rsidRPr="00F042AD">
              <w:rPr>
                <w:rFonts w:hint="eastAsia"/>
                <w:sz w:val="24"/>
                <w:szCs w:val="24"/>
              </w:rPr>
              <w:t>及</w:t>
            </w:r>
            <w:r w:rsidR="00367530">
              <w:rPr>
                <w:rFonts w:hint="eastAsia"/>
                <w:sz w:val="24"/>
                <w:szCs w:val="24"/>
              </w:rPr>
              <w:t>目前通过轻资产</w:t>
            </w:r>
            <w:r w:rsidR="00777B52" w:rsidRPr="00F042AD">
              <w:rPr>
                <w:rFonts w:hint="eastAsia"/>
                <w:sz w:val="24"/>
                <w:szCs w:val="24"/>
              </w:rPr>
              <w:t>方式</w:t>
            </w:r>
            <w:r w:rsidR="00367530">
              <w:rPr>
                <w:rFonts w:hint="eastAsia"/>
                <w:sz w:val="24"/>
                <w:szCs w:val="24"/>
              </w:rPr>
              <w:t>的</w:t>
            </w:r>
            <w:r w:rsidR="00777B52" w:rsidRPr="00F042AD">
              <w:rPr>
                <w:rFonts w:hint="eastAsia"/>
                <w:sz w:val="24"/>
                <w:szCs w:val="24"/>
              </w:rPr>
              <w:t>渗透</w:t>
            </w:r>
            <w:r w:rsidR="00C53010" w:rsidRPr="00F042AD">
              <w:rPr>
                <w:rFonts w:hint="eastAsia"/>
                <w:sz w:val="24"/>
                <w:szCs w:val="24"/>
              </w:rPr>
              <w:t>，</w:t>
            </w:r>
            <w:r w:rsidR="00777B52" w:rsidRPr="00F042AD">
              <w:rPr>
                <w:rFonts w:hint="eastAsia"/>
                <w:sz w:val="24"/>
                <w:szCs w:val="24"/>
              </w:rPr>
              <w:t>如何利用好在过去</w:t>
            </w:r>
            <w:r w:rsidR="00777B52" w:rsidRPr="00F042AD">
              <w:rPr>
                <w:rFonts w:hint="eastAsia"/>
                <w:sz w:val="24"/>
                <w:szCs w:val="24"/>
              </w:rPr>
              <w:t>30</w:t>
            </w:r>
            <w:r w:rsidR="00777B52" w:rsidRPr="00F042AD">
              <w:rPr>
                <w:rFonts w:hint="eastAsia"/>
                <w:sz w:val="24"/>
                <w:szCs w:val="24"/>
              </w:rPr>
              <w:t>年房地产发展红</w:t>
            </w:r>
            <w:r w:rsidR="00C53010" w:rsidRPr="00F042AD">
              <w:rPr>
                <w:rFonts w:hint="eastAsia"/>
                <w:sz w:val="24"/>
                <w:szCs w:val="24"/>
              </w:rPr>
              <w:t>利当中已经构建的网络，加强对行业深度的渗透，更好服务目前正在</w:t>
            </w:r>
            <w:r w:rsidR="00F042AD" w:rsidRPr="00F042AD">
              <w:rPr>
                <w:rFonts w:hint="eastAsia"/>
                <w:sz w:val="24"/>
                <w:szCs w:val="24"/>
              </w:rPr>
              <w:t>由</w:t>
            </w:r>
            <w:r w:rsidR="00777B52" w:rsidRPr="00F042AD">
              <w:rPr>
                <w:rFonts w:hint="eastAsia"/>
                <w:sz w:val="24"/>
                <w:szCs w:val="24"/>
              </w:rPr>
              <w:t>房地产红利时代进入到房地产</w:t>
            </w:r>
            <w:r w:rsidR="00C53010" w:rsidRPr="00F042AD">
              <w:rPr>
                <w:rFonts w:hint="eastAsia"/>
                <w:sz w:val="24"/>
                <w:szCs w:val="24"/>
              </w:rPr>
              <w:t>存量时代</w:t>
            </w:r>
            <w:r w:rsidR="00F042AD" w:rsidRPr="00F042AD">
              <w:rPr>
                <w:rFonts w:hint="eastAsia"/>
                <w:sz w:val="24"/>
                <w:szCs w:val="24"/>
              </w:rPr>
              <w:t>的市场</w:t>
            </w:r>
            <w:r w:rsidR="00777B52" w:rsidRPr="00F042AD">
              <w:rPr>
                <w:rFonts w:hint="eastAsia"/>
                <w:sz w:val="24"/>
                <w:szCs w:val="24"/>
              </w:rPr>
              <w:t>。</w:t>
            </w:r>
          </w:p>
          <w:p w:rsidR="00D868B3" w:rsidRDefault="00973364" w:rsidP="00D868B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  <w:highlight w:val="yellow"/>
              </w:rPr>
            </w:pPr>
            <w:r w:rsidRPr="000325CB">
              <w:rPr>
                <w:sz w:val="24"/>
                <w:szCs w:val="24"/>
              </w:rPr>
              <w:t>公司</w:t>
            </w:r>
            <w:r w:rsidRPr="000325CB">
              <w:rPr>
                <w:rFonts w:hint="eastAsia"/>
                <w:sz w:val="24"/>
                <w:szCs w:val="24"/>
              </w:rPr>
              <w:t>判断未来中国的房地产市场、中国</w:t>
            </w:r>
            <w:r w:rsidR="0096128C">
              <w:rPr>
                <w:rFonts w:hint="eastAsia"/>
                <w:sz w:val="24"/>
                <w:szCs w:val="24"/>
              </w:rPr>
              <w:t>的</w:t>
            </w:r>
            <w:r w:rsidRPr="000325CB">
              <w:rPr>
                <w:rFonts w:hint="eastAsia"/>
                <w:sz w:val="24"/>
                <w:szCs w:val="24"/>
              </w:rPr>
              <w:t>大家居市场，会逐渐告别过去的高增长时代，进入长期健康稳健良性发展的时代，因此公司</w:t>
            </w:r>
            <w:r w:rsidRPr="000325CB">
              <w:rPr>
                <w:rFonts w:hint="eastAsia"/>
                <w:sz w:val="24"/>
                <w:szCs w:val="24"/>
              </w:rPr>
              <w:lastRenderedPageBreak/>
              <w:t>在三年前开始调整店态结构，与国家供给侧的改革、结构性的调整不谋而合</w:t>
            </w:r>
            <w:r w:rsidR="00EA2D47" w:rsidRPr="00D868B3">
              <w:rPr>
                <w:rFonts w:hint="eastAsia"/>
                <w:sz w:val="24"/>
                <w:szCs w:val="24"/>
              </w:rPr>
              <w:t>。公司以至尊</w:t>
            </w:r>
            <w:r w:rsidR="00EA2D47" w:rsidRPr="00D868B3">
              <w:rPr>
                <w:rFonts w:hint="eastAsia"/>
                <w:sz w:val="24"/>
                <w:szCs w:val="24"/>
              </w:rPr>
              <w:t>MALL+</w:t>
            </w:r>
            <w:r w:rsidR="00EA2D47" w:rsidRPr="00D868B3">
              <w:rPr>
                <w:rFonts w:hint="eastAsia"/>
                <w:sz w:val="24"/>
                <w:szCs w:val="24"/>
              </w:rPr>
              <w:t>一号店</w:t>
            </w:r>
            <w:r w:rsidR="00EA2D47" w:rsidRPr="00D868B3">
              <w:rPr>
                <w:rFonts w:hint="eastAsia"/>
                <w:sz w:val="24"/>
                <w:szCs w:val="24"/>
              </w:rPr>
              <w:t>+</w:t>
            </w:r>
            <w:r w:rsidR="00EA2D47" w:rsidRPr="00D868B3">
              <w:rPr>
                <w:rFonts w:hint="eastAsia"/>
                <w:sz w:val="24"/>
                <w:szCs w:val="24"/>
              </w:rPr>
              <w:t>标杆商的店态组合，启航超级百</w:t>
            </w:r>
            <w:r w:rsidR="00EA2D47" w:rsidRPr="00D868B3">
              <w:rPr>
                <w:rFonts w:hint="eastAsia"/>
                <w:sz w:val="24"/>
                <w:szCs w:val="24"/>
              </w:rPr>
              <w:t>Mall</w:t>
            </w:r>
            <w:r w:rsidR="00EA2D47" w:rsidRPr="00D868B3">
              <w:rPr>
                <w:rFonts w:hint="eastAsia"/>
                <w:sz w:val="24"/>
                <w:szCs w:val="24"/>
              </w:rPr>
              <w:t>。</w:t>
            </w:r>
            <w:r w:rsidR="00451210" w:rsidRPr="00D868B3">
              <w:rPr>
                <w:rFonts w:hint="eastAsia"/>
                <w:sz w:val="24"/>
                <w:szCs w:val="24"/>
              </w:rPr>
              <w:t>公司的</w:t>
            </w:r>
            <w:r w:rsidR="00451210" w:rsidRPr="00D868B3">
              <w:rPr>
                <w:rFonts w:hint="eastAsia"/>
                <w:sz w:val="24"/>
                <w:szCs w:val="24"/>
              </w:rPr>
              <w:t>9</w:t>
            </w:r>
            <w:r w:rsidR="00451210" w:rsidRPr="00D868B3">
              <w:rPr>
                <w:sz w:val="24"/>
                <w:szCs w:val="24"/>
              </w:rPr>
              <w:t>家</w:t>
            </w:r>
            <w:r w:rsidR="00451210" w:rsidRPr="00D868B3">
              <w:rPr>
                <w:rFonts w:hint="eastAsia"/>
                <w:sz w:val="24"/>
                <w:szCs w:val="24"/>
              </w:rPr>
              <w:t>至尊</w:t>
            </w:r>
            <w:r w:rsidR="00451210" w:rsidRPr="00D868B3">
              <w:rPr>
                <w:rFonts w:hint="eastAsia"/>
                <w:sz w:val="24"/>
                <w:szCs w:val="24"/>
              </w:rPr>
              <w:t>MALL</w:t>
            </w:r>
            <w:r w:rsidR="00451210" w:rsidRPr="00D868B3">
              <w:rPr>
                <w:rFonts w:hint="eastAsia"/>
                <w:sz w:val="24"/>
                <w:szCs w:val="24"/>
              </w:rPr>
              <w:t>，以进口和国产高端为主的品牌矩阵，服务各地的高净值人群</w:t>
            </w:r>
            <w:r w:rsidR="00707D64" w:rsidRPr="00D868B3">
              <w:rPr>
                <w:rFonts w:hint="eastAsia"/>
                <w:sz w:val="24"/>
                <w:szCs w:val="24"/>
              </w:rPr>
              <w:t>。</w:t>
            </w:r>
            <w:r w:rsidR="00451210" w:rsidRPr="00D868B3">
              <w:rPr>
                <w:rFonts w:hint="eastAsia"/>
                <w:sz w:val="24"/>
                <w:szCs w:val="24"/>
              </w:rPr>
              <w:t>3</w:t>
            </w:r>
            <w:r w:rsidR="00451210" w:rsidRPr="00D868B3">
              <w:rPr>
                <w:sz w:val="24"/>
                <w:szCs w:val="24"/>
              </w:rPr>
              <w:t>2</w:t>
            </w:r>
            <w:r w:rsidR="00451210" w:rsidRPr="00D868B3">
              <w:rPr>
                <w:sz w:val="24"/>
                <w:szCs w:val="24"/>
              </w:rPr>
              <w:t>家</w:t>
            </w:r>
            <w:r w:rsidR="00336280" w:rsidRPr="00D868B3">
              <w:rPr>
                <w:rFonts w:hint="eastAsia"/>
                <w:sz w:val="24"/>
                <w:szCs w:val="24"/>
              </w:rPr>
              <w:t>一</w:t>
            </w:r>
            <w:r w:rsidR="00451210" w:rsidRPr="00D868B3">
              <w:rPr>
                <w:rFonts w:hint="eastAsia"/>
                <w:sz w:val="24"/>
                <w:szCs w:val="24"/>
              </w:rPr>
              <w:t>号店是公司在各个一线市场以及一些二线市场所长期布局</w:t>
            </w:r>
            <w:r w:rsidR="000325CB" w:rsidRPr="00D868B3">
              <w:rPr>
                <w:rFonts w:hint="eastAsia"/>
                <w:sz w:val="24"/>
                <w:szCs w:val="24"/>
              </w:rPr>
              <w:t>的自建自营商场</w:t>
            </w:r>
            <w:r w:rsidR="00451210" w:rsidRPr="00D868B3">
              <w:rPr>
                <w:rFonts w:hint="eastAsia"/>
                <w:sz w:val="24"/>
                <w:szCs w:val="24"/>
              </w:rPr>
              <w:t>，</w:t>
            </w:r>
            <w:r w:rsidR="000325CB" w:rsidRPr="00D868B3">
              <w:rPr>
                <w:rFonts w:hint="eastAsia"/>
                <w:sz w:val="24"/>
                <w:szCs w:val="24"/>
              </w:rPr>
              <w:t>体量比较大，既可以满足刚需消费者人群，又能满足升级消费的中产阶级，同时也能满足各个城市高净值的人群，</w:t>
            </w:r>
            <w:r w:rsidR="0096128C" w:rsidRPr="00D868B3">
              <w:rPr>
                <w:rFonts w:hint="eastAsia"/>
                <w:sz w:val="24"/>
                <w:szCs w:val="24"/>
              </w:rPr>
              <w:t>一号店</w:t>
            </w:r>
            <w:r w:rsidR="0096128C">
              <w:rPr>
                <w:rFonts w:hint="eastAsia"/>
                <w:sz w:val="24"/>
                <w:szCs w:val="24"/>
              </w:rPr>
              <w:t>面向全生命周期全体用户</w:t>
            </w:r>
            <w:r w:rsidR="000325CB" w:rsidRPr="00D868B3">
              <w:rPr>
                <w:rFonts w:hint="eastAsia"/>
                <w:sz w:val="24"/>
                <w:szCs w:val="24"/>
              </w:rPr>
              <w:t>画像，客群</w:t>
            </w:r>
            <w:r w:rsidR="00707D64" w:rsidRPr="00D868B3">
              <w:rPr>
                <w:rFonts w:hint="eastAsia"/>
                <w:sz w:val="24"/>
                <w:szCs w:val="24"/>
              </w:rPr>
              <w:t>定位广泛</w:t>
            </w:r>
            <w:r w:rsidR="000325CB" w:rsidRPr="00D868B3">
              <w:rPr>
                <w:rFonts w:hint="eastAsia"/>
                <w:sz w:val="24"/>
                <w:szCs w:val="24"/>
              </w:rPr>
              <w:t>，</w:t>
            </w:r>
            <w:r w:rsidR="00707D64" w:rsidRPr="00D868B3">
              <w:rPr>
                <w:rFonts w:hint="eastAsia"/>
                <w:sz w:val="24"/>
                <w:szCs w:val="24"/>
              </w:rPr>
              <w:t>拥有极强的市场适应能力。</w:t>
            </w:r>
            <w:r w:rsidR="00451210" w:rsidRPr="00D868B3">
              <w:rPr>
                <w:sz w:val="24"/>
                <w:szCs w:val="24"/>
              </w:rPr>
              <w:t>第</w:t>
            </w:r>
            <w:r w:rsidR="00451210" w:rsidRPr="00D868B3">
              <w:rPr>
                <w:rFonts w:hint="eastAsia"/>
                <w:sz w:val="24"/>
                <w:szCs w:val="24"/>
              </w:rPr>
              <w:t>3</w:t>
            </w:r>
            <w:r w:rsidR="00451210" w:rsidRPr="00D868B3">
              <w:rPr>
                <w:sz w:val="24"/>
                <w:szCs w:val="24"/>
              </w:rPr>
              <w:t>3</w:t>
            </w:r>
            <w:r w:rsidR="00451210" w:rsidRPr="00D868B3">
              <w:rPr>
                <w:sz w:val="24"/>
                <w:szCs w:val="24"/>
              </w:rPr>
              <w:t>家</w:t>
            </w:r>
            <w:r w:rsidR="00336280" w:rsidRPr="00D868B3">
              <w:rPr>
                <w:rFonts w:hint="eastAsia"/>
                <w:sz w:val="24"/>
                <w:szCs w:val="24"/>
              </w:rPr>
              <w:t>一</w:t>
            </w:r>
            <w:r w:rsidR="00451210" w:rsidRPr="00D868B3">
              <w:rPr>
                <w:rFonts w:hint="eastAsia"/>
                <w:sz w:val="24"/>
                <w:szCs w:val="24"/>
              </w:rPr>
              <w:t>号店将于近期盛大开业</w:t>
            </w:r>
            <w:r w:rsidR="00707D64" w:rsidRPr="00D868B3">
              <w:rPr>
                <w:rFonts w:hint="eastAsia"/>
                <w:sz w:val="24"/>
                <w:szCs w:val="24"/>
              </w:rPr>
              <w:t>。公司在全国</w:t>
            </w:r>
            <w:r w:rsidR="00777B52" w:rsidRPr="00D868B3">
              <w:rPr>
                <w:rFonts w:hint="eastAsia"/>
                <w:sz w:val="24"/>
                <w:szCs w:val="24"/>
              </w:rPr>
              <w:t>有</w:t>
            </w:r>
            <w:r w:rsidR="00777B52" w:rsidRPr="00D868B3">
              <w:rPr>
                <w:rFonts w:hint="eastAsia"/>
                <w:sz w:val="24"/>
                <w:szCs w:val="24"/>
              </w:rPr>
              <w:t>59</w:t>
            </w:r>
            <w:r w:rsidR="00777B52" w:rsidRPr="00D868B3">
              <w:rPr>
                <w:rFonts w:hint="eastAsia"/>
                <w:sz w:val="24"/>
                <w:szCs w:val="24"/>
              </w:rPr>
              <w:t>家标杆商场，是</w:t>
            </w:r>
            <w:r w:rsidR="00707D64" w:rsidRPr="00D868B3">
              <w:rPr>
                <w:rFonts w:hint="eastAsia"/>
                <w:sz w:val="24"/>
                <w:szCs w:val="24"/>
              </w:rPr>
              <w:t>公司最容易在</w:t>
            </w:r>
            <w:r w:rsidR="008E7A19" w:rsidRPr="00D868B3">
              <w:rPr>
                <w:rFonts w:hint="eastAsia"/>
                <w:sz w:val="24"/>
                <w:szCs w:val="24"/>
              </w:rPr>
              <w:t>各级市场</w:t>
            </w:r>
            <w:r w:rsidR="00707D64" w:rsidRPr="00D868B3">
              <w:rPr>
                <w:rFonts w:hint="eastAsia"/>
                <w:sz w:val="24"/>
                <w:szCs w:val="24"/>
              </w:rPr>
              <w:t>复制的一种模式。</w:t>
            </w:r>
            <w:r w:rsidR="0007492A" w:rsidRPr="00D868B3">
              <w:rPr>
                <w:rFonts w:hint="eastAsia"/>
                <w:sz w:val="24"/>
                <w:szCs w:val="24"/>
              </w:rPr>
              <w:t>标杆商场</w:t>
            </w:r>
            <w:r w:rsidR="0007492A">
              <w:rPr>
                <w:rFonts w:hint="eastAsia"/>
                <w:sz w:val="24"/>
                <w:szCs w:val="24"/>
              </w:rPr>
              <w:t>在</w:t>
            </w:r>
            <w:r w:rsidR="00777B52" w:rsidRPr="00D868B3">
              <w:rPr>
                <w:rFonts w:hint="eastAsia"/>
                <w:sz w:val="24"/>
                <w:szCs w:val="24"/>
              </w:rPr>
              <w:t>一线市场</w:t>
            </w:r>
            <w:r w:rsidR="00707D64" w:rsidRPr="00D868B3">
              <w:rPr>
                <w:rFonts w:hint="eastAsia"/>
                <w:sz w:val="24"/>
                <w:szCs w:val="24"/>
              </w:rPr>
              <w:t>体量上会大一点，下沉市场会小一点</w:t>
            </w:r>
            <w:r w:rsidR="0007492A">
              <w:rPr>
                <w:rFonts w:hint="eastAsia"/>
                <w:sz w:val="24"/>
                <w:szCs w:val="24"/>
              </w:rPr>
              <w:t>，基本上都是主流</w:t>
            </w:r>
            <w:r w:rsidR="00777B52" w:rsidRPr="00D868B3">
              <w:rPr>
                <w:rFonts w:hint="eastAsia"/>
                <w:sz w:val="24"/>
                <w:szCs w:val="24"/>
              </w:rPr>
              <w:t>品牌，可以完全满足刚</w:t>
            </w:r>
            <w:r w:rsidR="00707D64" w:rsidRPr="00D868B3">
              <w:rPr>
                <w:rFonts w:hint="eastAsia"/>
                <w:sz w:val="24"/>
                <w:szCs w:val="24"/>
              </w:rPr>
              <w:t>需消费者、改善型消费者以及中产阶级</w:t>
            </w:r>
            <w:r w:rsidR="0007492A">
              <w:rPr>
                <w:rFonts w:hint="eastAsia"/>
                <w:sz w:val="24"/>
                <w:szCs w:val="24"/>
              </w:rPr>
              <w:t>对</w:t>
            </w:r>
            <w:r w:rsidR="00707D64" w:rsidRPr="00D868B3">
              <w:rPr>
                <w:rFonts w:hint="eastAsia"/>
                <w:sz w:val="24"/>
                <w:szCs w:val="24"/>
              </w:rPr>
              <w:t>品质生活的消费需求。</w:t>
            </w:r>
            <w:r w:rsidR="00777B52" w:rsidRPr="00D868B3">
              <w:rPr>
                <w:rFonts w:hint="eastAsia"/>
                <w:sz w:val="24"/>
                <w:szCs w:val="24"/>
              </w:rPr>
              <w:t>超级百</w:t>
            </w:r>
            <w:r w:rsidR="00777B52" w:rsidRPr="00D868B3">
              <w:rPr>
                <w:rFonts w:hint="eastAsia"/>
                <w:sz w:val="24"/>
                <w:szCs w:val="24"/>
              </w:rPr>
              <w:t>MALL</w:t>
            </w:r>
            <w:r w:rsidR="00777B52" w:rsidRPr="00D868B3">
              <w:rPr>
                <w:rFonts w:hint="eastAsia"/>
                <w:sz w:val="24"/>
                <w:szCs w:val="24"/>
              </w:rPr>
              <w:t>将引领</w:t>
            </w:r>
            <w:r w:rsidR="00D868B3" w:rsidRPr="00D868B3">
              <w:rPr>
                <w:rFonts w:hint="eastAsia"/>
                <w:sz w:val="24"/>
                <w:szCs w:val="24"/>
              </w:rPr>
              <w:t>公司在中国整个大家居生态中的发展，也</w:t>
            </w:r>
            <w:r w:rsidR="00777B52" w:rsidRPr="00D868B3">
              <w:rPr>
                <w:rFonts w:hint="eastAsia"/>
                <w:sz w:val="24"/>
                <w:szCs w:val="24"/>
              </w:rPr>
              <w:t>奠定了</w:t>
            </w:r>
            <w:r w:rsidR="00D868B3" w:rsidRPr="00D868B3">
              <w:rPr>
                <w:rFonts w:hint="eastAsia"/>
                <w:sz w:val="24"/>
                <w:szCs w:val="24"/>
              </w:rPr>
              <w:t>公司</w:t>
            </w:r>
            <w:r w:rsidR="00777B52" w:rsidRPr="00D868B3">
              <w:rPr>
                <w:rFonts w:hint="eastAsia"/>
                <w:sz w:val="24"/>
                <w:szCs w:val="24"/>
              </w:rPr>
              <w:t>行业龙头</w:t>
            </w:r>
            <w:r w:rsidR="00D868B3" w:rsidRPr="00D868B3">
              <w:rPr>
                <w:rFonts w:hint="eastAsia"/>
                <w:sz w:val="24"/>
                <w:szCs w:val="24"/>
              </w:rPr>
              <w:t>的地</w:t>
            </w:r>
            <w:r w:rsidR="00777B52" w:rsidRPr="00D868B3">
              <w:rPr>
                <w:rFonts w:hint="eastAsia"/>
                <w:sz w:val="24"/>
                <w:szCs w:val="24"/>
              </w:rPr>
              <w:t>位</w:t>
            </w:r>
            <w:r w:rsidR="00D868B3" w:rsidRPr="00D868B3">
              <w:rPr>
                <w:rFonts w:hint="eastAsia"/>
                <w:sz w:val="24"/>
                <w:szCs w:val="24"/>
              </w:rPr>
              <w:t>。</w:t>
            </w:r>
          </w:p>
          <w:p w:rsidR="00285F70" w:rsidRDefault="00D868B3" w:rsidP="00285F70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D868B3">
              <w:rPr>
                <w:rFonts w:hint="eastAsia"/>
                <w:sz w:val="24"/>
                <w:szCs w:val="24"/>
              </w:rPr>
              <w:t>当</w:t>
            </w:r>
            <w:r w:rsidR="00777B52" w:rsidRPr="00D868B3">
              <w:rPr>
                <w:rFonts w:hint="eastAsia"/>
                <w:sz w:val="24"/>
                <w:szCs w:val="24"/>
              </w:rPr>
              <w:t>房地产进入存量时代，</w:t>
            </w:r>
            <w:r w:rsidRPr="00D868B3">
              <w:rPr>
                <w:rFonts w:hint="eastAsia"/>
                <w:sz w:val="24"/>
                <w:szCs w:val="24"/>
              </w:rPr>
              <w:t>告别高速发展，公司</w:t>
            </w:r>
            <w:r w:rsidR="00777B52" w:rsidRPr="00D868B3">
              <w:rPr>
                <w:rFonts w:hint="eastAsia"/>
                <w:sz w:val="24"/>
                <w:szCs w:val="24"/>
              </w:rPr>
              <w:t>所构建的超级百</w:t>
            </w:r>
            <w:r w:rsidR="00777B52" w:rsidRPr="00D868B3">
              <w:rPr>
                <w:rFonts w:hint="eastAsia"/>
                <w:sz w:val="24"/>
                <w:szCs w:val="24"/>
              </w:rPr>
              <w:t>MALL</w:t>
            </w:r>
            <w:r w:rsidR="00777B52" w:rsidRPr="00D868B3">
              <w:rPr>
                <w:rFonts w:hint="eastAsia"/>
                <w:sz w:val="24"/>
                <w:szCs w:val="24"/>
              </w:rPr>
              <w:t>以及</w:t>
            </w:r>
            <w:r w:rsidRPr="00D868B3">
              <w:rPr>
                <w:rFonts w:hint="eastAsia"/>
                <w:sz w:val="24"/>
                <w:szCs w:val="24"/>
              </w:rPr>
              <w:t>四百多个商场，是公司在最好的改革开放</w:t>
            </w:r>
            <w:r w:rsidRPr="00D868B3">
              <w:rPr>
                <w:rFonts w:hint="eastAsia"/>
                <w:sz w:val="24"/>
                <w:szCs w:val="24"/>
              </w:rPr>
              <w:t>40</w:t>
            </w:r>
            <w:r w:rsidRPr="00D868B3">
              <w:rPr>
                <w:rFonts w:hint="eastAsia"/>
                <w:sz w:val="24"/>
                <w:szCs w:val="24"/>
              </w:rPr>
              <w:t>年、巨大的房地产红利下，抓住红利构建的难以打破的行业壁垒。中国的家居消费正在脱离房地产产业形成自己的产业周期，在此背景下，越是完善、越是优质的网络布局，越能为未来深挖存量市场获得长久优势。</w:t>
            </w:r>
          </w:p>
          <w:p w:rsidR="00770710" w:rsidRDefault="00285F70" w:rsidP="00770710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85F70">
              <w:rPr>
                <w:sz w:val="24"/>
                <w:szCs w:val="24"/>
              </w:rPr>
              <w:t>公司</w:t>
            </w:r>
            <w:r w:rsidRPr="00285F70">
              <w:rPr>
                <w:rFonts w:hint="eastAsia"/>
                <w:sz w:val="24"/>
                <w:szCs w:val="24"/>
              </w:rPr>
              <w:t>服务的</w:t>
            </w:r>
            <w:r w:rsidR="00777B52" w:rsidRPr="00285F70">
              <w:rPr>
                <w:rFonts w:hint="eastAsia"/>
                <w:sz w:val="24"/>
                <w:szCs w:val="24"/>
              </w:rPr>
              <w:t>小微企业，客观来讲是整个家居行业</w:t>
            </w:r>
            <w:r w:rsidRPr="00285F70">
              <w:rPr>
                <w:rFonts w:hint="eastAsia"/>
                <w:sz w:val="24"/>
                <w:szCs w:val="24"/>
              </w:rPr>
              <w:t>中的</w:t>
            </w:r>
            <w:r w:rsidR="00777B52" w:rsidRPr="00285F70">
              <w:rPr>
                <w:rFonts w:hint="eastAsia"/>
                <w:sz w:val="24"/>
                <w:szCs w:val="24"/>
              </w:rPr>
              <w:t>最小经营单元，</w:t>
            </w:r>
            <w:r w:rsidRPr="00285F70">
              <w:rPr>
                <w:rFonts w:hint="eastAsia"/>
                <w:sz w:val="24"/>
                <w:szCs w:val="24"/>
              </w:rPr>
              <w:t>其</w:t>
            </w:r>
            <w:r w:rsidR="00777B52" w:rsidRPr="00285F70">
              <w:rPr>
                <w:rFonts w:hint="eastAsia"/>
                <w:sz w:val="24"/>
                <w:szCs w:val="24"/>
              </w:rPr>
              <w:t>抗风险能力相对比较弱，</w:t>
            </w:r>
            <w:r w:rsidR="002548BC" w:rsidRPr="00285F70">
              <w:rPr>
                <w:rFonts w:hint="eastAsia"/>
                <w:sz w:val="24"/>
                <w:szCs w:val="24"/>
              </w:rPr>
              <w:t>因此</w:t>
            </w:r>
            <w:r w:rsidRPr="00285F70">
              <w:rPr>
                <w:rFonts w:hint="eastAsia"/>
                <w:sz w:val="24"/>
                <w:szCs w:val="24"/>
              </w:rPr>
              <w:t>在</w:t>
            </w:r>
            <w:r w:rsidR="002548BC" w:rsidRPr="00285F70">
              <w:rPr>
                <w:rFonts w:hint="eastAsia"/>
                <w:sz w:val="24"/>
                <w:szCs w:val="24"/>
              </w:rPr>
              <w:t>过去三年受到疫情的影响比较大</w:t>
            </w:r>
            <w:r w:rsidR="00777B52" w:rsidRPr="00285F70">
              <w:rPr>
                <w:rFonts w:hint="eastAsia"/>
                <w:sz w:val="24"/>
                <w:szCs w:val="24"/>
              </w:rPr>
              <w:t>。所以，</w:t>
            </w:r>
            <w:r w:rsidR="002548BC" w:rsidRPr="00285F70">
              <w:rPr>
                <w:rFonts w:hint="eastAsia"/>
                <w:sz w:val="24"/>
                <w:szCs w:val="24"/>
              </w:rPr>
              <w:t>即使</w:t>
            </w:r>
            <w:r w:rsidR="00777B52" w:rsidRPr="00285F70">
              <w:rPr>
                <w:rFonts w:hint="eastAsia"/>
                <w:sz w:val="24"/>
                <w:szCs w:val="24"/>
              </w:rPr>
              <w:t>疫情</w:t>
            </w:r>
            <w:r w:rsidRPr="00285F70">
              <w:rPr>
                <w:rFonts w:hint="eastAsia"/>
                <w:sz w:val="24"/>
                <w:szCs w:val="24"/>
              </w:rPr>
              <w:t>已经</w:t>
            </w:r>
            <w:r w:rsidR="00777B52" w:rsidRPr="00285F70">
              <w:rPr>
                <w:rFonts w:hint="eastAsia"/>
                <w:sz w:val="24"/>
                <w:szCs w:val="24"/>
              </w:rPr>
              <w:t>过去，</w:t>
            </w:r>
            <w:r w:rsidRPr="00285F70">
              <w:rPr>
                <w:rFonts w:hint="eastAsia"/>
                <w:sz w:val="24"/>
                <w:szCs w:val="24"/>
              </w:rPr>
              <w:t>由于</w:t>
            </w:r>
            <w:r w:rsidR="00777B52" w:rsidRPr="00285F70">
              <w:rPr>
                <w:rFonts w:hint="eastAsia"/>
                <w:sz w:val="24"/>
                <w:szCs w:val="24"/>
              </w:rPr>
              <w:t>他们的融资渠道</w:t>
            </w:r>
            <w:r w:rsidRPr="00285F70">
              <w:rPr>
                <w:rFonts w:hint="eastAsia"/>
                <w:sz w:val="24"/>
                <w:szCs w:val="24"/>
              </w:rPr>
              <w:t>、融资手段</w:t>
            </w:r>
            <w:r w:rsidR="00777B52" w:rsidRPr="00285F70">
              <w:rPr>
                <w:rFonts w:hint="eastAsia"/>
                <w:sz w:val="24"/>
                <w:szCs w:val="24"/>
              </w:rPr>
              <w:t>少，</w:t>
            </w:r>
            <w:r w:rsidRPr="00285F70">
              <w:rPr>
                <w:rFonts w:hint="eastAsia"/>
                <w:sz w:val="24"/>
                <w:szCs w:val="24"/>
              </w:rPr>
              <w:t>难以</w:t>
            </w:r>
            <w:r w:rsidR="00E43646">
              <w:rPr>
                <w:rFonts w:hint="eastAsia"/>
                <w:sz w:val="24"/>
                <w:szCs w:val="24"/>
              </w:rPr>
              <w:t>快速地</w:t>
            </w:r>
            <w:r w:rsidR="00777B52" w:rsidRPr="00285F70">
              <w:rPr>
                <w:rFonts w:hint="eastAsia"/>
                <w:sz w:val="24"/>
                <w:szCs w:val="24"/>
              </w:rPr>
              <w:t>从市场波段中走出来，</w:t>
            </w:r>
            <w:r w:rsidR="002548BC" w:rsidRPr="00285F70">
              <w:rPr>
                <w:rFonts w:hint="eastAsia"/>
                <w:sz w:val="24"/>
                <w:szCs w:val="24"/>
              </w:rPr>
              <w:t>因此</w:t>
            </w:r>
            <w:r w:rsidRPr="00285F70">
              <w:rPr>
                <w:rFonts w:hint="eastAsia"/>
                <w:sz w:val="24"/>
                <w:szCs w:val="24"/>
              </w:rPr>
              <w:t>公司</w:t>
            </w:r>
            <w:r w:rsidR="00777B52" w:rsidRPr="00285F70">
              <w:rPr>
                <w:rFonts w:hint="eastAsia"/>
                <w:sz w:val="24"/>
                <w:szCs w:val="24"/>
              </w:rPr>
              <w:t>上半年的业绩</w:t>
            </w:r>
            <w:r w:rsidR="002548BC" w:rsidRPr="00285F70">
              <w:rPr>
                <w:rFonts w:hint="eastAsia"/>
                <w:sz w:val="24"/>
                <w:szCs w:val="24"/>
              </w:rPr>
              <w:t>仍</w:t>
            </w:r>
            <w:r w:rsidRPr="00285F70">
              <w:rPr>
                <w:rFonts w:hint="eastAsia"/>
                <w:sz w:val="24"/>
                <w:szCs w:val="24"/>
              </w:rPr>
              <w:t>会</w:t>
            </w:r>
            <w:r w:rsidR="00E43646">
              <w:rPr>
                <w:rFonts w:hint="eastAsia"/>
                <w:sz w:val="24"/>
                <w:szCs w:val="24"/>
              </w:rPr>
              <w:t>受</w:t>
            </w:r>
            <w:r w:rsidRPr="00285F70">
              <w:rPr>
                <w:rFonts w:hint="eastAsia"/>
                <w:sz w:val="24"/>
                <w:szCs w:val="24"/>
              </w:rPr>
              <w:t>疫情的后续影响，但公司认为影响是短暂的。</w:t>
            </w:r>
            <w:r w:rsidR="00777B52" w:rsidRPr="00285F70">
              <w:rPr>
                <w:rFonts w:hint="eastAsia"/>
                <w:sz w:val="24"/>
                <w:szCs w:val="24"/>
              </w:rPr>
              <w:t>同时</w:t>
            </w:r>
            <w:r w:rsidRPr="00285F70">
              <w:rPr>
                <w:rFonts w:hint="eastAsia"/>
                <w:sz w:val="24"/>
                <w:szCs w:val="24"/>
              </w:rPr>
              <w:t>，这样的影响倒逼公司</w:t>
            </w:r>
            <w:r w:rsidR="002548BC" w:rsidRPr="00285F70">
              <w:rPr>
                <w:rFonts w:hint="eastAsia"/>
                <w:sz w:val="24"/>
                <w:szCs w:val="24"/>
              </w:rPr>
              <w:t>作为龙头</w:t>
            </w:r>
            <w:r w:rsidRPr="00285F70">
              <w:rPr>
                <w:rFonts w:hint="eastAsia"/>
                <w:sz w:val="24"/>
                <w:szCs w:val="24"/>
              </w:rPr>
              <w:t>进行</w:t>
            </w:r>
            <w:r w:rsidR="00777B52" w:rsidRPr="00285F70">
              <w:rPr>
                <w:rFonts w:hint="eastAsia"/>
                <w:sz w:val="24"/>
                <w:szCs w:val="24"/>
              </w:rPr>
              <w:t>反思，未来过了房地产红利之后，整个生态如何打造？</w:t>
            </w:r>
            <w:r w:rsidRPr="00285F70">
              <w:rPr>
                <w:rFonts w:hint="eastAsia"/>
                <w:sz w:val="24"/>
                <w:szCs w:val="24"/>
              </w:rPr>
              <w:t>因此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777B52" w:rsidRPr="00285F70">
              <w:rPr>
                <w:rFonts w:hint="eastAsia"/>
                <w:sz w:val="24"/>
                <w:szCs w:val="24"/>
              </w:rPr>
              <w:t>在过去三年</w:t>
            </w:r>
            <w:r w:rsidRPr="00285F70">
              <w:rPr>
                <w:rFonts w:hint="eastAsia"/>
                <w:sz w:val="24"/>
                <w:szCs w:val="24"/>
              </w:rPr>
              <w:t>，公司</w:t>
            </w:r>
            <w:r w:rsidR="00777B52" w:rsidRPr="00285F70">
              <w:rPr>
                <w:rFonts w:hint="eastAsia"/>
                <w:sz w:val="24"/>
                <w:szCs w:val="24"/>
              </w:rPr>
              <w:t>进行非常积极</w:t>
            </w:r>
            <w:r w:rsidRPr="00285F70">
              <w:rPr>
                <w:rFonts w:hint="eastAsia"/>
                <w:sz w:val="24"/>
                <w:szCs w:val="24"/>
              </w:rPr>
              <w:t>的尝试探索，围绕家居</w:t>
            </w:r>
            <w:r w:rsidR="00777B52" w:rsidRPr="00285F70">
              <w:rPr>
                <w:rFonts w:hint="eastAsia"/>
                <w:sz w:val="24"/>
                <w:szCs w:val="24"/>
              </w:rPr>
              <w:t>建材主品类主赛道，一方面构筑原来的主阵地的护城河壁垒，另一方面</w:t>
            </w:r>
            <w:r w:rsidRPr="00285F70">
              <w:rPr>
                <w:rFonts w:hint="eastAsia"/>
                <w:sz w:val="24"/>
                <w:szCs w:val="24"/>
              </w:rPr>
              <w:t>去拓品类，打造多业</w:t>
            </w:r>
            <w:r>
              <w:rPr>
                <w:rFonts w:hint="eastAsia"/>
                <w:sz w:val="24"/>
                <w:szCs w:val="24"/>
              </w:rPr>
              <w:t>态融合、</w:t>
            </w:r>
            <w:r w:rsidRPr="00285F70">
              <w:rPr>
                <w:rFonts w:hint="eastAsia"/>
                <w:sz w:val="24"/>
                <w:szCs w:val="24"/>
              </w:rPr>
              <w:t>大家居</w:t>
            </w:r>
            <w:r w:rsidR="00777B52" w:rsidRPr="00285F70">
              <w:rPr>
                <w:rFonts w:hint="eastAsia"/>
                <w:sz w:val="24"/>
                <w:szCs w:val="24"/>
              </w:rPr>
              <w:t>一站式</w:t>
            </w:r>
            <w:r>
              <w:rPr>
                <w:rFonts w:hint="eastAsia"/>
                <w:sz w:val="24"/>
                <w:szCs w:val="24"/>
              </w:rPr>
              <w:t>消费</w:t>
            </w:r>
            <w:r w:rsidR="00777B52" w:rsidRPr="00285F70">
              <w:rPr>
                <w:rFonts w:hint="eastAsia"/>
                <w:sz w:val="24"/>
                <w:szCs w:val="24"/>
              </w:rPr>
              <w:t>生态。</w:t>
            </w:r>
          </w:p>
          <w:p w:rsidR="000148EC" w:rsidRPr="000148EC" w:rsidRDefault="00770710" w:rsidP="000148E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46618D">
              <w:rPr>
                <w:rFonts w:hint="eastAsia"/>
                <w:sz w:val="24"/>
                <w:szCs w:val="24"/>
              </w:rPr>
              <w:t>汽车</w:t>
            </w:r>
            <w:r w:rsidR="00437E7C">
              <w:rPr>
                <w:rFonts w:hint="eastAsia"/>
                <w:sz w:val="24"/>
                <w:szCs w:val="24"/>
              </w:rPr>
              <w:t>、</w:t>
            </w:r>
            <w:r w:rsidRPr="0046618D">
              <w:rPr>
                <w:rFonts w:hint="eastAsia"/>
                <w:sz w:val="24"/>
                <w:szCs w:val="24"/>
              </w:rPr>
              <w:t>家电、家居、餐饮</w:t>
            </w:r>
            <w:r w:rsidR="00940AF4" w:rsidRPr="0046618D">
              <w:rPr>
                <w:rFonts w:hint="eastAsia"/>
                <w:sz w:val="24"/>
                <w:szCs w:val="24"/>
              </w:rPr>
              <w:t>——“四大金刚”</w:t>
            </w:r>
            <w:r w:rsidRPr="0046618D">
              <w:rPr>
                <w:rFonts w:hint="eastAsia"/>
                <w:sz w:val="24"/>
                <w:szCs w:val="24"/>
              </w:rPr>
              <w:t>是恢复和扩大消费的重点领域，</w:t>
            </w:r>
            <w:r w:rsidR="00940AF4" w:rsidRPr="0046618D">
              <w:rPr>
                <w:rFonts w:hint="eastAsia"/>
                <w:sz w:val="24"/>
                <w:szCs w:val="24"/>
              </w:rPr>
              <w:t>公司全部有所涉足。在过去三年时间里，公司的电器面积</w:t>
            </w:r>
            <w:r w:rsidR="00940AF4" w:rsidRPr="0046618D">
              <w:rPr>
                <w:rFonts w:hint="eastAsia"/>
                <w:sz w:val="24"/>
                <w:szCs w:val="24"/>
              </w:rPr>
              <w:lastRenderedPageBreak/>
              <w:t>占比从</w:t>
            </w:r>
            <w:r w:rsidR="0046618D" w:rsidRPr="0046618D">
              <w:rPr>
                <w:sz w:val="24"/>
                <w:szCs w:val="24"/>
              </w:rPr>
              <w:t>不到</w:t>
            </w:r>
            <w:r w:rsidR="00940AF4" w:rsidRPr="0046618D">
              <w:rPr>
                <w:sz w:val="24"/>
                <w:szCs w:val="24"/>
              </w:rPr>
              <w:t>2</w:t>
            </w:r>
            <w:r w:rsidR="00940AF4" w:rsidRPr="0046618D">
              <w:rPr>
                <w:rFonts w:hint="eastAsia"/>
                <w:sz w:val="24"/>
                <w:szCs w:val="24"/>
              </w:rPr>
              <w:t>%</w:t>
            </w:r>
            <w:r w:rsidR="00940AF4" w:rsidRPr="0046618D">
              <w:rPr>
                <w:rFonts w:hint="eastAsia"/>
                <w:sz w:val="24"/>
                <w:szCs w:val="24"/>
              </w:rPr>
              <w:t>，</w:t>
            </w:r>
            <w:r w:rsidR="00940AF4" w:rsidRPr="0046618D">
              <w:rPr>
                <w:sz w:val="24"/>
                <w:szCs w:val="24"/>
              </w:rPr>
              <w:t>到目前超过</w:t>
            </w:r>
            <w:r w:rsidR="00940AF4" w:rsidRPr="0046618D">
              <w:rPr>
                <w:rFonts w:hint="eastAsia"/>
                <w:sz w:val="24"/>
                <w:szCs w:val="24"/>
              </w:rPr>
              <w:t>9%</w:t>
            </w:r>
            <w:r w:rsidR="00940AF4" w:rsidRPr="0046618D">
              <w:rPr>
                <w:rFonts w:hint="eastAsia"/>
                <w:sz w:val="24"/>
                <w:szCs w:val="24"/>
              </w:rPr>
              <w:t>，</w:t>
            </w:r>
            <w:r w:rsidR="0046618D" w:rsidRPr="0046618D">
              <w:rPr>
                <w:rFonts w:hint="eastAsia"/>
                <w:sz w:val="24"/>
                <w:szCs w:val="24"/>
              </w:rPr>
              <w:t>在</w:t>
            </w:r>
            <w:r w:rsidR="00940AF4" w:rsidRPr="0046618D">
              <w:rPr>
                <w:rFonts w:hint="eastAsia"/>
                <w:sz w:val="24"/>
                <w:szCs w:val="24"/>
              </w:rPr>
              <w:t>全国有超过</w:t>
            </w:r>
            <w:r w:rsidR="00940AF4" w:rsidRPr="0046618D">
              <w:rPr>
                <w:rFonts w:hint="eastAsia"/>
                <w:sz w:val="24"/>
                <w:szCs w:val="24"/>
              </w:rPr>
              <w:t>170</w:t>
            </w:r>
            <w:r w:rsidR="00940AF4" w:rsidRPr="0046618D">
              <w:rPr>
                <w:rFonts w:hint="eastAsia"/>
                <w:sz w:val="24"/>
                <w:szCs w:val="24"/>
              </w:rPr>
              <w:t>家超万方的智能电器生活馆，</w:t>
            </w:r>
            <w:r w:rsidR="00777B52" w:rsidRPr="0046618D">
              <w:rPr>
                <w:rFonts w:hint="eastAsia"/>
                <w:sz w:val="24"/>
                <w:szCs w:val="24"/>
              </w:rPr>
              <w:t>以中高端消费为切入点，打造高端化、</w:t>
            </w:r>
            <w:r w:rsidR="00940AF4" w:rsidRPr="0046618D">
              <w:rPr>
                <w:rFonts w:hint="eastAsia"/>
                <w:sz w:val="24"/>
                <w:szCs w:val="24"/>
              </w:rPr>
              <w:t>套系化</w:t>
            </w:r>
            <w:r w:rsidR="00777B52" w:rsidRPr="0046618D">
              <w:rPr>
                <w:rFonts w:hint="eastAsia"/>
                <w:sz w:val="24"/>
                <w:szCs w:val="24"/>
              </w:rPr>
              <w:t>、场景化、</w:t>
            </w:r>
            <w:r w:rsidR="00940AF4" w:rsidRPr="0046618D">
              <w:rPr>
                <w:rFonts w:hint="eastAsia"/>
                <w:sz w:val="24"/>
                <w:szCs w:val="24"/>
              </w:rPr>
              <w:t>智能化为标签</w:t>
            </w:r>
            <w:r w:rsidR="0046618D" w:rsidRPr="0046618D">
              <w:rPr>
                <w:rFonts w:hint="eastAsia"/>
                <w:sz w:val="24"/>
                <w:szCs w:val="24"/>
              </w:rPr>
              <w:t>的</w:t>
            </w:r>
            <w:r w:rsidR="00777B52" w:rsidRPr="0046618D">
              <w:rPr>
                <w:rFonts w:hint="eastAsia"/>
                <w:sz w:val="24"/>
                <w:szCs w:val="24"/>
              </w:rPr>
              <w:t>家电</w:t>
            </w:r>
            <w:r w:rsidR="00940AF4" w:rsidRPr="0046618D">
              <w:rPr>
                <w:rFonts w:hint="eastAsia"/>
                <w:sz w:val="24"/>
                <w:szCs w:val="24"/>
              </w:rPr>
              <w:t>馆</w:t>
            </w:r>
            <w:r w:rsidR="00777B52" w:rsidRPr="0046618D">
              <w:rPr>
                <w:rFonts w:hint="eastAsia"/>
                <w:sz w:val="24"/>
                <w:szCs w:val="24"/>
              </w:rPr>
              <w:t>，</w:t>
            </w:r>
            <w:r w:rsidR="0046618D" w:rsidRPr="0046618D">
              <w:rPr>
                <w:rFonts w:hint="eastAsia"/>
                <w:sz w:val="24"/>
                <w:szCs w:val="24"/>
              </w:rPr>
              <w:t>成功切入到电器行业，</w:t>
            </w:r>
            <w:r w:rsidR="00940AF4" w:rsidRPr="0046618D">
              <w:rPr>
                <w:rFonts w:hint="eastAsia"/>
                <w:sz w:val="24"/>
                <w:szCs w:val="24"/>
              </w:rPr>
              <w:t>在</w:t>
            </w:r>
            <w:r w:rsidR="00777B52" w:rsidRPr="0046618D">
              <w:rPr>
                <w:rFonts w:hint="eastAsia"/>
                <w:sz w:val="24"/>
                <w:szCs w:val="24"/>
              </w:rPr>
              <w:t>新零售时代，</w:t>
            </w:r>
            <w:r w:rsidR="0046618D" w:rsidRPr="0046618D">
              <w:rPr>
                <w:rFonts w:hint="eastAsia"/>
                <w:sz w:val="24"/>
                <w:szCs w:val="24"/>
              </w:rPr>
              <w:t>公司</w:t>
            </w:r>
            <w:r w:rsidR="00777B52" w:rsidRPr="0046618D">
              <w:rPr>
                <w:rFonts w:hint="eastAsia"/>
                <w:sz w:val="24"/>
                <w:szCs w:val="24"/>
              </w:rPr>
              <w:t>发挥自身场景优势</w:t>
            </w:r>
            <w:r w:rsidR="0046618D" w:rsidRPr="0046618D">
              <w:rPr>
                <w:rFonts w:hint="eastAsia"/>
                <w:sz w:val="24"/>
                <w:szCs w:val="24"/>
              </w:rPr>
              <w:t>、</w:t>
            </w:r>
            <w:r w:rsidR="00777B52" w:rsidRPr="0046618D">
              <w:rPr>
                <w:rFonts w:hint="eastAsia"/>
                <w:sz w:val="24"/>
                <w:szCs w:val="24"/>
              </w:rPr>
              <w:t>空间优势，在中高端</w:t>
            </w:r>
            <w:r w:rsidR="0046618D" w:rsidRPr="0046618D">
              <w:rPr>
                <w:rFonts w:hint="eastAsia"/>
                <w:sz w:val="24"/>
                <w:szCs w:val="24"/>
              </w:rPr>
              <w:t>电器</w:t>
            </w:r>
            <w:r w:rsidR="00777B52" w:rsidRPr="0046618D">
              <w:rPr>
                <w:rFonts w:hint="eastAsia"/>
                <w:sz w:val="24"/>
                <w:szCs w:val="24"/>
              </w:rPr>
              <w:t>市场上大有</w:t>
            </w:r>
            <w:r w:rsidR="00777B52" w:rsidRPr="000148EC">
              <w:rPr>
                <w:rFonts w:hint="eastAsia"/>
                <w:sz w:val="24"/>
                <w:szCs w:val="24"/>
              </w:rPr>
              <w:t>可为。</w:t>
            </w:r>
          </w:p>
          <w:p w:rsidR="000148EC" w:rsidRDefault="000148EC" w:rsidP="000148E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0148EC">
              <w:rPr>
                <w:rFonts w:hint="eastAsia"/>
                <w:sz w:val="24"/>
                <w:szCs w:val="24"/>
              </w:rPr>
              <w:t>另外，公司正</w:t>
            </w:r>
            <w:r w:rsidR="00777B52" w:rsidRPr="000148EC">
              <w:rPr>
                <w:rFonts w:hint="eastAsia"/>
                <w:sz w:val="24"/>
                <w:szCs w:val="24"/>
              </w:rPr>
              <w:t>在打造餐饮</w:t>
            </w:r>
            <w:r w:rsidRPr="000148EC">
              <w:rPr>
                <w:rFonts w:hint="eastAsia"/>
                <w:sz w:val="24"/>
                <w:szCs w:val="24"/>
              </w:rPr>
              <w:t>品类</w:t>
            </w:r>
            <w:r w:rsidR="00777B52" w:rsidRPr="000148EC">
              <w:rPr>
                <w:rFonts w:hint="eastAsia"/>
                <w:sz w:val="24"/>
                <w:szCs w:val="24"/>
              </w:rPr>
              <w:t>，</w:t>
            </w:r>
            <w:r w:rsidRPr="000148EC">
              <w:rPr>
                <w:rFonts w:hint="eastAsia"/>
                <w:sz w:val="24"/>
                <w:szCs w:val="24"/>
              </w:rPr>
              <w:t>目前</w:t>
            </w:r>
            <w:r w:rsidR="00E02318">
              <w:rPr>
                <w:rFonts w:hint="eastAsia"/>
                <w:sz w:val="24"/>
                <w:szCs w:val="24"/>
              </w:rPr>
              <w:t>包括麦当劳、奈雪、瑞幸等</w:t>
            </w:r>
            <w:r w:rsidR="00777B52" w:rsidRPr="000148EC">
              <w:rPr>
                <w:rFonts w:hint="eastAsia"/>
                <w:sz w:val="24"/>
                <w:szCs w:val="24"/>
              </w:rPr>
              <w:t>都</w:t>
            </w:r>
            <w:r w:rsidRPr="000148EC">
              <w:rPr>
                <w:rFonts w:hint="eastAsia"/>
                <w:sz w:val="24"/>
                <w:szCs w:val="24"/>
              </w:rPr>
              <w:t>与公司</w:t>
            </w:r>
            <w:r w:rsidR="00777B52" w:rsidRPr="000148EC">
              <w:rPr>
                <w:rFonts w:hint="eastAsia"/>
                <w:sz w:val="24"/>
                <w:szCs w:val="24"/>
              </w:rPr>
              <w:t>建立了全国范围的战略</w:t>
            </w:r>
            <w:r w:rsidRPr="000148EC">
              <w:rPr>
                <w:rFonts w:hint="eastAsia"/>
                <w:sz w:val="24"/>
                <w:szCs w:val="24"/>
              </w:rPr>
              <w:t>合作。</w:t>
            </w:r>
            <w:r w:rsidRPr="000148EC">
              <w:rPr>
                <w:rFonts w:hint="eastAsia"/>
                <w:sz w:val="24"/>
                <w:szCs w:val="24"/>
              </w:rPr>
              <w:t>8</w:t>
            </w:r>
            <w:r w:rsidRPr="000148EC">
              <w:rPr>
                <w:rFonts w:hint="eastAsia"/>
                <w:sz w:val="24"/>
                <w:szCs w:val="24"/>
              </w:rPr>
              <w:t>日</w:t>
            </w:r>
            <w:r w:rsidRPr="000148EC">
              <w:rPr>
                <w:rFonts w:hint="eastAsia"/>
                <w:sz w:val="24"/>
                <w:szCs w:val="24"/>
              </w:rPr>
              <w:t>29</w:t>
            </w:r>
            <w:r w:rsidRPr="000148EC">
              <w:rPr>
                <w:rFonts w:hint="eastAsia"/>
                <w:sz w:val="24"/>
                <w:szCs w:val="24"/>
              </w:rPr>
              <w:t>日中国连锁经营协会（</w:t>
            </w:r>
            <w:r w:rsidRPr="000148EC">
              <w:rPr>
                <w:rFonts w:hint="eastAsia"/>
                <w:sz w:val="24"/>
                <w:szCs w:val="24"/>
              </w:rPr>
              <w:t>CCFA</w:t>
            </w:r>
            <w:r w:rsidRPr="000148EC">
              <w:rPr>
                <w:rFonts w:hint="eastAsia"/>
                <w:sz w:val="24"/>
                <w:szCs w:val="24"/>
              </w:rPr>
              <w:t>）公布</w:t>
            </w:r>
            <w:r w:rsidRPr="000148EC">
              <w:rPr>
                <w:rFonts w:hint="eastAsia"/>
                <w:sz w:val="24"/>
                <w:szCs w:val="24"/>
              </w:rPr>
              <w:t>2023</w:t>
            </w:r>
            <w:r w:rsidRPr="000148EC">
              <w:rPr>
                <w:rFonts w:hint="eastAsia"/>
                <w:sz w:val="24"/>
                <w:szCs w:val="24"/>
              </w:rPr>
              <w:t>“</w:t>
            </w:r>
            <w:r w:rsidRPr="000148EC">
              <w:rPr>
                <w:rFonts w:hint="eastAsia"/>
                <w:sz w:val="24"/>
                <w:szCs w:val="24"/>
              </w:rPr>
              <w:t>CCFA</w:t>
            </w:r>
            <w:r w:rsidRPr="000148EC">
              <w:rPr>
                <w:rFonts w:hint="eastAsia"/>
                <w:sz w:val="24"/>
                <w:szCs w:val="24"/>
              </w:rPr>
              <w:t>金百合时尚零售与时尚消费”最佳实践案例名单</w:t>
            </w:r>
            <w:r w:rsidR="00CD23BD">
              <w:rPr>
                <w:rFonts w:hint="eastAsia"/>
                <w:sz w:val="24"/>
                <w:szCs w:val="24"/>
              </w:rPr>
              <w:t>，</w:t>
            </w:r>
            <w:r w:rsidRPr="000148EC">
              <w:rPr>
                <w:rFonts w:hint="eastAsia"/>
                <w:sz w:val="24"/>
                <w:szCs w:val="24"/>
              </w:rPr>
              <w:t>公司凭借“时尚餐饮品类新篇章，为您打造全新购物体验”入选经营模式创新案例。</w:t>
            </w:r>
          </w:p>
          <w:p w:rsidR="006770D1" w:rsidRDefault="000148EC" w:rsidP="00287F09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6770D1">
              <w:rPr>
                <w:sz w:val="24"/>
                <w:szCs w:val="24"/>
              </w:rPr>
              <w:t>十大主题馆配以</w:t>
            </w:r>
            <w:r w:rsidRPr="006770D1">
              <w:rPr>
                <w:rFonts w:hint="eastAsia"/>
                <w:sz w:val="24"/>
                <w:szCs w:val="24"/>
              </w:rPr>
              <w:t>时尚餐饮，通过精细化的运营，高频带动低频，细分消费圈层，</w:t>
            </w:r>
            <w:r w:rsidR="00287F09" w:rsidRPr="006770D1">
              <w:rPr>
                <w:rFonts w:hint="eastAsia"/>
                <w:sz w:val="24"/>
                <w:szCs w:val="24"/>
              </w:rPr>
              <w:t>引领一站式关联消费，这是公司</w:t>
            </w:r>
            <w:r w:rsidRPr="006770D1">
              <w:rPr>
                <w:rFonts w:hint="eastAsia"/>
                <w:sz w:val="24"/>
                <w:szCs w:val="24"/>
              </w:rPr>
              <w:t>目前主要的经营策略</w:t>
            </w:r>
            <w:r w:rsidR="00287F09" w:rsidRPr="006770D1">
              <w:rPr>
                <w:rFonts w:hint="eastAsia"/>
                <w:sz w:val="24"/>
                <w:szCs w:val="24"/>
              </w:rPr>
              <w:t>，公司将以在电器</w:t>
            </w:r>
            <w:r w:rsidR="00CD23BD">
              <w:rPr>
                <w:rFonts w:hint="eastAsia"/>
                <w:sz w:val="24"/>
                <w:szCs w:val="24"/>
              </w:rPr>
              <w:t>领域</w:t>
            </w:r>
            <w:r w:rsidR="00287F09" w:rsidRPr="006770D1">
              <w:rPr>
                <w:rFonts w:hint="eastAsia"/>
                <w:sz w:val="24"/>
                <w:szCs w:val="24"/>
              </w:rPr>
              <w:t>取得的成功在其他领域</w:t>
            </w:r>
            <w:r w:rsidR="00CD23BD">
              <w:rPr>
                <w:rFonts w:hint="eastAsia"/>
                <w:sz w:val="24"/>
                <w:szCs w:val="24"/>
              </w:rPr>
              <w:t>进行</w:t>
            </w:r>
            <w:r w:rsidR="00287F09" w:rsidRPr="006770D1">
              <w:rPr>
                <w:rFonts w:hint="eastAsia"/>
                <w:sz w:val="24"/>
                <w:szCs w:val="24"/>
              </w:rPr>
              <w:t>复制。</w:t>
            </w:r>
          </w:p>
          <w:p w:rsidR="00777B52" w:rsidRPr="00F23014" w:rsidRDefault="00287F09" w:rsidP="00287F09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6770D1">
              <w:rPr>
                <w:rFonts w:hint="eastAsia"/>
                <w:sz w:val="24"/>
                <w:szCs w:val="24"/>
              </w:rPr>
              <w:t>此外，</w:t>
            </w:r>
            <w:r w:rsidR="00777B52" w:rsidRPr="006770D1">
              <w:rPr>
                <w:rFonts w:hint="eastAsia"/>
                <w:sz w:val="24"/>
                <w:szCs w:val="24"/>
              </w:rPr>
              <w:t>从上个月开始，</w:t>
            </w:r>
            <w:r w:rsidRPr="006770D1">
              <w:rPr>
                <w:rFonts w:hint="eastAsia"/>
                <w:sz w:val="24"/>
                <w:szCs w:val="24"/>
              </w:rPr>
              <w:t>苹果</w:t>
            </w:r>
            <w:r w:rsidR="00777B52" w:rsidRPr="006770D1">
              <w:rPr>
                <w:rFonts w:hint="eastAsia"/>
                <w:sz w:val="24"/>
                <w:szCs w:val="24"/>
              </w:rPr>
              <w:t>开始入驻红星美凯龙，首批的</w:t>
            </w:r>
            <w:r w:rsidR="00777B52" w:rsidRPr="006770D1">
              <w:rPr>
                <w:rFonts w:hint="eastAsia"/>
                <w:sz w:val="24"/>
                <w:szCs w:val="24"/>
              </w:rPr>
              <w:t>22</w:t>
            </w:r>
            <w:r w:rsidR="00777B52" w:rsidRPr="006770D1">
              <w:rPr>
                <w:rFonts w:hint="eastAsia"/>
                <w:sz w:val="24"/>
                <w:szCs w:val="24"/>
              </w:rPr>
              <w:t>家</w:t>
            </w:r>
            <w:r w:rsidR="00DD5C23">
              <w:rPr>
                <w:rFonts w:hint="eastAsia"/>
                <w:sz w:val="24"/>
                <w:szCs w:val="24"/>
              </w:rPr>
              <w:t>店将于这两个月陆续开业，随着苹果对红星美凯龙的进驻</w:t>
            </w:r>
            <w:r w:rsidR="00777B52" w:rsidRPr="00F23014">
              <w:rPr>
                <w:rFonts w:hint="eastAsia"/>
                <w:sz w:val="24"/>
                <w:szCs w:val="24"/>
              </w:rPr>
              <w:t>，</w:t>
            </w:r>
            <w:r w:rsidR="00C724A9" w:rsidRPr="00F23014">
              <w:rPr>
                <w:rFonts w:hint="eastAsia"/>
                <w:sz w:val="24"/>
                <w:szCs w:val="24"/>
              </w:rPr>
              <w:t>公司</w:t>
            </w:r>
            <w:r w:rsidR="00777B52" w:rsidRPr="00F23014">
              <w:rPr>
                <w:rFonts w:hint="eastAsia"/>
                <w:sz w:val="24"/>
                <w:szCs w:val="24"/>
              </w:rPr>
              <w:t>将会把</w:t>
            </w:r>
            <w:r w:rsidR="00C724A9" w:rsidRPr="00F23014">
              <w:rPr>
                <w:rFonts w:hint="eastAsia"/>
                <w:sz w:val="24"/>
                <w:szCs w:val="24"/>
              </w:rPr>
              <w:t>电器</w:t>
            </w:r>
            <w:r w:rsidR="00777B52" w:rsidRPr="00F23014">
              <w:rPr>
                <w:rFonts w:hint="eastAsia"/>
                <w:sz w:val="24"/>
                <w:szCs w:val="24"/>
              </w:rPr>
              <w:t>领域延展到</w:t>
            </w:r>
            <w:r w:rsidR="00777B52" w:rsidRPr="00F23014">
              <w:rPr>
                <w:rFonts w:hint="eastAsia"/>
                <w:sz w:val="24"/>
                <w:szCs w:val="24"/>
              </w:rPr>
              <w:t>3C</w:t>
            </w:r>
            <w:r w:rsidR="00C724A9" w:rsidRPr="00F23014">
              <w:rPr>
                <w:rFonts w:hint="eastAsia"/>
                <w:sz w:val="24"/>
                <w:szCs w:val="24"/>
              </w:rPr>
              <w:t>家电</w:t>
            </w:r>
            <w:r w:rsidR="00777B52" w:rsidRPr="00F23014">
              <w:rPr>
                <w:rFonts w:hint="eastAsia"/>
                <w:sz w:val="24"/>
                <w:szCs w:val="24"/>
              </w:rPr>
              <w:t>。</w:t>
            </w:r>
          </w:p>
          <w:p w:rsidR="00777B52" w:rsidRPr="00F23014" w:rsidRDefault="00777B52" w:rsidP="00777B5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23014">
              <w:rPr>
                <w:rFonts w:hint="eastAsia"/>
                <w:sz w:val="24"/>
                <w:szCs w:val="24"/>
              </w:rPr>
              <w:t xml:space="preserve">    9</w:t>
            </w:r>
            <w:r w:rsidRPr="00F23014">
              <w:rPr>
                <w:rFonts w:hint="eastAsia"/>
                <w:sz w:val="24"/>
                <w:szCs w:val="24"/>
              </w:rPr>
              <w:t>月</w:t>
            </w:r>
            <w:r w:rsidRPr="00F23014">
              <w:rPr>
                <w:rFonts w:hint="eastAsia"/>
                <w:sz w:val="24"/>
                <w:szCs w:val="24"/>
              </w:rPr>
              <w:t>5</w:t>
            </w:r>
            <w:r w:rsidR="00E32CE2">
              <w:rPr>
                <w:rFonts w:hint="eastAsia"/>
                <w:sz w:val="24"/>
                <w:szCs w:val="24"/>
              </w:rPr>
              <w:t>日将举办</w:t>
            </w:r>
            <w:r w:rsidRPr="00F23014">
              <w:rPr>
                <w:rFonts w:hint="eastAsia"/>
                <w:sz w:val="24"/>
                <w:szCs w:val="24"/>
              </w:rPr>
              <w:t>第</w:t>
            </w:r>
            <w:r w:rsidRPr="00F23014">
              <w:rPr>
                <w:rFonts w:hint="eastAsia"/>
                <w:sz w:val="24"/>
                <w:szCs w:val="24"/>
              </w:rPr>
              <w:t>52</w:t>
            </w:r>
            <w:r w:rsidRPr="00F23014">
              <w:rPr>
                <w:rFonts w:hint="eastAsia"/>
                <w:sz w:val="24"/>
                <w:szCs w:val="24"/>
              </w:rPr>
              <w:t>届中国家博会上海</w:t>
            </w:r>
            <w:r w:rsidR="00F23014" w:rsidRPr="00F23014">
              <w:rPr>
                <w:rFonts w:hint="eastAsia"/>
                <w:sz w:val="24"/>
                <w:szCs w:val="24"/>
              </w:rPr>
              <w:t>场，户外家具及</w:t>
            </w:r>
            <w:r w:rsidRPr="00F23014">
              <w:rPr>
                <w:rFonts w:hint="eastAsia"/>
                <w:sz w:val="24"/>
                <w:szCs w:val="24"/>
              </w:rPr>
              <w:t>办公</w:t>
            </w:r>
            <w:r w:rsidR="00F23014" w:rsidRPr="00F23014">
              <w:rPr>
                <w:rFonts w:hint="eastAsia"/>
                <w:sz w:val="24"/>
                <w:szCs w:val="24"/>
              </w:rPr>
              <w:t>家</w:t>
            </w:r>
            <w:r w:rsidR="00437E7C">
              <w:rPr>
                <w:rFonts w:hint="eastAsia"/>
                <w:sz w:val="24"/>
                <w:szCs w:val="24"/>
              </w:rPr>
              <w:t>具</w:t>
            </w:r>
            <w:r w:rsidR="00F23014" w:rsidRPr="00F23014">
              <w:rPr>
                <w:rFonts w:hint="eastAsia"/>
                <w:sz w:val="24"/>
                <w:szCs w:val="24"/>
              </w:rPr>
              <w:t>的</w:t>
            </w:r>
            <w:r w:rsidRPr="00F23014">
              <w:rPr>
                <w:rFonts w:hint="eastAsia"/>
                <w:sz w:val="24"/>
                <w:szCs w:val="24"/>
              </w:rPr>
              <w:t>招展面积达到了</w:t>
            </w:r>
            <w:r w:rsidRPr="00F23014">
              <w:rPr>
                <w:rFonts w:hint="eastAsia"/>
                <w:sz w:val="24"/>
                <w:szCs w:val="24"/>
              </w:rPr>
              <w:t>2</w:t>
            </w:r>
            <w:r w:rsidR="0033198F">
              <w:rPr>
                <w:rFonts w:hint="eastAsia"/>
                <w:sz w:val="24"/>
                <w:szCs w:val="24"/>
              </w:rPr>
              <w:t>万方，展会是行业的风向标，展会是行业的晴雨表，</w:t>
            </w:r>
            <w:r w:rsidRPr="00F23014">
              <w:rPr>
                <w:rFonts w:hint="eastAsia"/>
                <w:sz w:val="24"/>
                <w:szCs w:val="24"/>
              </w:rPr>
              <w:t>户外</w:t>
            </w:r>
            <w:r w:rsidR="00F23014" w:rsidRPr="00F23014">
              <w:rPr>
                <w:rFonts w:hint="eastAsia"/>
                <w:sz w:val="24"/>
                <w:szCs w:val="24"/>
              </w:rPr>
              <w:t>家具和办公家具在展会领域</w:t>
            </w:r>
            <w:r w:rsidRPr="00F23014">
              <w:rPr>
                <w:rFonts w:hint="eastAsia"/>
                <w:sz w:val="24"/>
                <w:szCs w:val="24"/>
              </w:rPr>
              <w:t>取得的突破，</w:t>
            </w:r>
            <w:r w:rsidR="00F23014" w:rsidRPr="00F23014">
              <w:rPr>
                <w:rFonts w:hint="eastAsia"/>
                <w:sz w:val="24"/>
                <w:szCs w:val="24"/>
              </w:rPr>
              <w:t>预示着未来</w:t>
            </w:r>
            <w:r w:rsidRPr="00F23014">
              <w:rPr>
                <w:rFonts w:hint="eastAsia"/>
                <w:sz w:val="24"/>
                <w:szCs w:val="24"/>
              </w:rPr>
              <w:t>很快可以</w:t>
            </w:r>
            <w:r w:rsidR="00F23014" w:rsidRPr="00F23014">
              <w:rPr>
                <w:rFonts w:hint="eastAsia"/>
                <w:sz w:val="24"/>
                <w:szCs w:val="24"/>
              </w:rPr>
              <w:t>在红星美凯龙</w:t>
            </w:r>
            <w:r w:rsidRPr="00F23014">
              <w:rPr>
                <w:rFonts w:hint="eastAsia"/>
                <w:sz w:val="24"/>
                <w:szCs w:val="24"/>
              </w:rPr>
              <w:t>看到非常丰富的办公</w:t>
            </w:r>
            <w:r w:rsidR="00F23014" w:rsidRPr="00F23014">
              <w:rPr>
                <w:rFonts w:hint="eastAsia"/>
                <w:sz w:val="24"/>
                <w:szCs w:val="24"/>
              </w:rPr>
              <w:t>家具</w:t>
            </w:r>
            <w:r w:rsidRPr="00F23014">
              <w:rPr>
                <w:rFonts w:hint="eastAsia"/>
                <w:sz w:val="24"/>
                <w:szCs w:val="24"/>
              </w:rPr>
              <w:t>和</w:t>
            </w:r>
            <w:r w:rsidR="00F23014" w:rsidRPr="00F23014">
              <w:rPr>
                <w:rFonts w:hint="eastAsia"/>
                <w:sz w:val="24"/>
                <w:szCs w:val="24"/>
              </w:rPr>
              <w:t>户外家具产品</w:t>
            </w:r>
            <w:r w:rsidRPr="00F23014">
              <w:rPr>
                <w:rFonts w:hint="eastAsia"/>
                <w:sz w:val="24"/>
                <w:szCs w:val="24"/>
              </w:rPr>
              <w:t>。</w:t>
            </w:r>
          </w:p>
          <w:p w:rsidR="00E552E0" w:rsidRDefault="00777B52" w:rsidP="00E552E0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5C7068">
              <w:rPr>
                <w:rFonts w:hint="eastAsia"/>
                <w:sz w:val="24"/>
                <w:szCs w:val="24"/>
              </w:rPr>
              <w:t>另外，</w:t>
            </w:r>
            <w:r w:rsidR="00BC04D9" w:rsidRPr="005C7068">
              <w:rPr>
                <w:rFonts w:hint="eastAsia"/>
                <w:sz w:val="24"/>
                <w:szCs w:val="24"/>
              </w:rPr>
              <w:t>在刚刚起步的汽车领域，尤其是在建发入主公司之后，无论是新能源汽车、传统汽车乃至豪华二手车，公司都在尝试打造成功的案例。</w:t>
            </w:r>
            <w:r w:rsidRPr="005C7068">
              <w:rPr>
                <w:rFonts w:hint="eastAsia"/>
                <w:sz w:val="24"/>
                <w:szCs w:val="24"/>
              </w:rPr>
              <w:t>目前在</w:t>
            </w:r>
            <w:r w:rsidR="00BC04D9" w:rsidRPr="005C7068">
              <w:rPr>
                <w:rFonts w:hint="eastAsia"/>
                <w:sz w:val="24"/>
                <w:szCs w:val="24"/>
              </w:rPr>
              <w:t>武汉额头湾、</w:t>
            </w:r>
            <w:r w:rsidR="000C5CAF" w:rsidRPr="005C7068">
              <w:rPr>
                <w:rFonts w:hint="eastAsia"/>
                <w:sz w:val="24"/>
                <w:szCs w:val="24"/>
              </w:rPr>
              <w:t>重庆二郎、太原龙城大街</w:t>
            </w:r>
            <w:r w:rsidR="00BC04D9" w:rsidRPr="005C7068">
              <w:rPr>
                <w:rFonts w:hint="eastAsia"/>
                <w:sz w:val="24"/>
                <w:szCs w:val="24"/>
              </w:rPr>
              <w:t>、哈尔滨松北</w:t>
            </w:r>
            <w:r w:rsidRPr="005C7068">
              <w:rPr>
                <w:rFonts w:hint="eastAsia"/>
                <w:sz w:val="24"/>
                <w:szCs w:val="24"/>
              </w:rPr>
              <w:t>商场等已经开</w:t>
            </w:r>
            <w:r w:rsidR="000C5CAF" w:rsidRPr="005C7068">
              <w:rPr>
                <w:rFonts w:hint="eastAsia"/>
                <w:sz w:val="24"/>
                <w:szCs w:val="24"/>
              </w:rPr>
              <w:t>了</w:t>
            </w:r>
            <w:r w:rsidRPr="005C7068">
              <w:rPr>
                <w:rFonts w:hint="eastAsia"/>
                <w:sz w:val="24"/>
                <w:szCs w:val="24"/>
              </w:rPr>
              <w:t>一万方以上</w:t>
            </w:r>
            <w:r w:rsidR="000C5CAF" w:rsidRPr="005C7068">
              <w:rPr>
                <w:rFonts w:hint="eastAsia"/>
                <w:sz w:val="24"/>
                <w:szCs w:val="24"/>
              </w:rPr>
              <w:t>的汽车主题馆。</w:t>
            </w:r>
            <w:r w:rsidR="00E32CE2">
              <w:rPr>
                <w:rFonts w:hint="eastAsia"/>
                <w:sz w:val="24"/>
                <w:szCs w:val="24"/>
              </w:rPr>
              <w:t>公司</w:t>
            </w:r>
            <w:r w:rsidR="005C7068">
              <w:rPr>
                <w:rFonts w:hint="eastAsia"/>
                <w:sz w:val="24"/>
                <w:szCs w:val="24"/>
              </w:rPr>
              <w:t>将</w:t>
            </w:r>
            <w:r w:rsidR="00E32CE2">
              <w:rPr>
                <w:rFonts w:hint="eastAsia"/>
                <w:sz w:val="24"/>
                <w:szCs w:val="24"/>
              </w:rPr>
              <w:t>与建发</w:t>
            </w:r>
            <w:r w:rsidR="000C5CAF" w:rsidRPr="005C7068">
              <w:rPr>
                <w:rFonts w:hint="eastAsia"/>
                <w:sz w:val="24"/>
                <w:szCs w:val="24"/>
              </w:rPr>
              <w:t>共同加快在整个汽车领域的开拓</w:t>
            </w:r>
            <w:r w:rsidRPr="005C7068">
              <w:rPr>
                <w:rFonts w:hint="eastAsia"/>
                <w:sz w:val="24"/>
                <w:szCs w:val="24"/>
              </w:rPr>
              <w:t>。</w:t>
            </w:r>
          </w:p>
          <w:p w:rsidR="00E552E0" w:rsidRPr="00EA58BC" w:rsidRDefault="00E552E0" w:rsidP="00E552E0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E552E0">
              <w:rPr>
                <w:rFonts w:hint="eastAsia"/>
                <w:sz w:val="24"/>
                <w:szCs w:val="24"/>
              </w:rPr>
              <w:t>公司在两年前开始在重庆渝北、南昌一号店商场做</w:t>
            </w:r>
            <w:r w:rsidRPr="00E552E0">
              <w:rPr>
                <w:rFonts w:hint="eastAsia"/>
                <w:sz w:val="24"/>
                <w:szCs w:val="24"/>
              </w:rPr>
              <w:t>M+</w:t>
            </w:r>
            <w:r w:rsidRPr="00E552E0">
              <w:rPr>
                <w:rFonts w:hint="eastAsia"/>
                <w:sz w:val="24"/>
                <w:szCs w:val="24"/>
              </w:rPr>
              <w:t>高端设计中心的试点。公司认为未来年轻消费者会越来越依赖于设计师打造的全屋</w:t>
            </w:r>
            <w:r w:rsidR="00E32CE2">
              <w:rPr>
                <w:rFonts w:hint="eastAsia"/>
                <w:sz w:val="24"/>
                <w:szCs w:val="24"/>
              </w:rPr>
              <w:t>设计</w:t>
            </w:r>
            <w:r w:rsidRPr="00E552E0">
              <w:rPr>
                <w:rFonts w:hint="eastAsia"/>
                <w:sz w:val="24"/>
                <w:szCs w:val="24"/>
              </w:rPr>
              <w:t>方案，设计师将成为未来高端流量的非常重要的一个入口。公司在宁波、杭州、郑州、上海、天津等全国</w:t>
            </w:r>
            <w:r w:rsidRPr="00E552E0">
              <w:rPr>
                <w:rFonts w:hint="eastAsia"/>
                <w:sz w:val="24"/>
                <w:szCs w:val="24"/>
              </w:rPr>
              <w:t>16</w:t>
            </w:r>
            <w:r w:rsidRPr="00E552E0">
              <w:rPr>
                <w:rFonts w:hint="eastAsia"/>
                <w:sz w:val="24"/>
                <w:szCs w:val="24"/>
              </w:rPr>
              <w:t>个城市的第一批</w:t>
            </w:r>
            <w:r w:rsidRPr="00E552E0">
              <w:rPr>
                <w:rFonts w:hint="eastAsia"/>
                <w:sz w:val="24"/>
                <w:szCs w:val="24"/>
              </w:rPr>
              <w:t>M+</w:t>
            </w:r>
            <w:r w:rsidRPr="00E552E0">
              <w:rPr>
                <w:rFonts w:hint="eastAsia"/>
                <w:sz w:val="24"/>
                <w:szCs w:val="24"/>
              </w:rPr>
              <w:t>高端设计中心的打造将于今年</w:t>
            </w:r>
            <w:r w:rsidRPr="00E552E0">
              <w:rPr>
                <w:rFonts w:hint="eastAsia"/>
                <w:sz w:val="24"/>
                <w:szCs w:val="24"/>
              </w:rPr>
              <w:t>10</w:t>
            </w:r>
            <w:r w:rsidRPr="00E552E0">
              <w:rPr>
                <w:rFonts w:hint="eastAsia"/>
                <w:sz w:val="24"/>
                <w:szCs w:val="24"/>
              </w:rPr>
              <w:t>月国庆前落成。在未来三年，公司</w:t>
            </w:r>
            <w:r w:rsidRPr="00E552E0">
              <w:rPr>
                <w:rFonts w:hint="eastAsia"/>
                <w:sz w:val="24"/>
                <w:szCs w:val="24"/>
              </w:rPr>
              <w:lastRenderedPageBreak/>
              <w:t>将会有序推进</w:t>
            </w:r>
            <w:r w:rsidRPr="00E552E0">
              <w:rPr>
                <w:rFonts w:hint="eastAsia"/>
                <w:sz w:val="24"/>
                <w:szCs w:val="24"/>
              </w:rPr>
              <w:t>M+</w:t>
            </w:r>
            <w:r w:rsidRPr="00E552E0">
              <w:rPr>
                <w:rFonts w:hint="eastAsia"/>
                <w:sz w:val="24"/>
                <w:szCs w:val="24"/>
              </w:rPr>
              <w:t>高端设计中心在红星美凯龙各个商场的落地，实现</w:t>
            </w:r>
            <w:r w:rsidRPr="00EA58BC">
              <w:rPr>
                <w:rFonts w:hint="eastAsia"/>
                <w:sz w:val="24"/>
                <w:szCs w:val="24"/>
              </w:rPr>
              <w:t>三年之内全覆盖。</w:t>
            </w:r>
          </w:p>
          <w:p w:rsidR="00EA58BC" w:rsidRPr="00EA58BC" w:rsidRDefault="00E552E0" w:rsidP="00EA58BC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EA58BC">
              <w:rPr>
                <w:sz w:val="24"/>
                <w:szCs w:val="24"/>
              </w:rPr>
              <w:t>在过去一年</w:t>
            </w:r>
            <w:r w:rsidR="00777B52" w:rsidRPr="00EA58BC">
              <w:rPr>
                <w:rFonts w:hint="eastAsia"/>
                <w:sz w:val="24"/>
                <w:szCs w:val="24"/>
              </w:rPr>
              <w:t>半的时间</w:t>
            </w:r>
            <w:r w:rsidRPr="00EA58BC">
              <w:rPr>
                <w:rFonts w:hint="eastAsia"/>
                <w:sz w:val="24"/>
                <w:szCs w:val="24"/>
              </w:rPr>
              <w:t>里</w:t>
            </w:r>
            <w:r w:rsidR="00777B52" w:rsidRPr="00EA58BC">
              <w:rPr>
                <w:rFonts w:hint="eastAsia"/>
                <w:sz w:val="24"/>
                <w:szCs w:val="24"/>
              </w:rPr>
              <w:t>，</w:t>
            </w:r>
            <w:r w:rsidRPr="00EA58BC">
              <w:rPr>
                <w:rFonts w:hint="eastAsia"/>
                <w:sz w:val="24"/>
                <w:szCs w:val="24"/>
              </w:rPr>
              <w:t>M+</w:t>
            </w:r>
            <w:r w:rsidRPr="00EA58BC">
              <w:rPr>
                <w:rFonts w:hint="eastAsia"/>
                <w:sz w:val="24"/>
                <w:szCs w:val="24"/>
              </w:rPr>
              <w:t>高端</w:t>
            </w:r>
            <w:r w:rsidR="00777B52" w:rsidRPr="00EA58BC">
              <w:rPr>
                <w:rFonts w:hint="eastAsia"/>
                <w:sz w:val="24"/>
                <w:szCs w:val="24"/>
              </w:rPr>
              <w:t>设计中心面积占比从过去</w:t>
            </w:r>
            <w:r w:rsidR="00777B52" w:rsidRPr="00EA58BC">
              <w:rPr>
                <w:rFonts w:hint="eastAsia"/>
                <w:sz w:val="24"/>
                <w:szCs w:val="24"/>
              </w:rPr>
              <w:t>0.2</w:t>
            </w:r>
            <w:r w:rsidRPr="00EA58BC">
              <w:rPr>
                <w:rFonts w:hint="eastAsia"/>
                <w:sz w:val="24"/>
                <w:szCs w:val="24"/>
              </w:rPr>
              <w:t>%</w:t>
            </w:r>
            <w:r w:rsidR="00777B52" w:rsidRPr="00EA58BC">
              <w:rPr>
                <w:rFonts w:hint="eastAsia"/>
                <w:sz w:val="24"/>
                <w:szCs w:val="24"/>
              </w:rPr>
              <w:t>，提升到</w:t>
            </w:r>
            <w:r w:rsidR="00777B52" w:rsidRPr="00EA58BC">
              <w:rPr>
                <w:rFonts w:hint="eastAsia"/>
                <w:sz w:val="24"/>
                <w:szCs w:val="24"/>
              </w:rPr>
              <w:t>2.6%</w:t>
            </w:r>
            <w:r w:rsidR="00777B52" w:rsidRPr="00EA58BC">
              <w:rPr>
                <w:rFonts w:hint="eastAsia"/>
                <w:sz w:val="24"/>
                <w:szCs w:val="24"/>
              </w:rPr>
              <w:t>，两个多点就是</w:t>
            </w:r>
            <w:r w:rsidR="00777B52" w:rsidRPr="00EA58BC">
              <w:rPr>
                <w:rFonts w:hint="eastAsia"/>
                <w:sz w:val="24"/>
                <w:szCs w:val="24"/>
              </w:rPr>
              <w:t>40</w:t>
            </w:r>
            <w:r w:rsidR="00777B52" w:rsidRPr="00EA58BC">
              <w:rPr>
                <w:rFonts w:hint="eastAsia"/>
                <w:sz w:val="24"/>
                <w:szCs w:val="24"/>
              </w:rPr>
              <w:t>多万方，</w:t>
            </w:r>
            <w:r w:rsidRPr="00EA58BC">
              <w:rPr>
                <w:rFonts w:hint="eastAsia"/>
                <w:sz w:val="24"/>
                <w:szCs w:val="24"/>
              </w:rPr>
              <w:t>意味着大批设计工作室在</w:t>
            </w:r>
            <w:r w:rsidR="00EA58BC" w:rsidRPr="00EA58BC">
              <w:rPr>
                <w:rFonts w:hint="eastAsia"/>
                <w:sz w:val="24"/>
                <w:szCs w:val="24"/>
              </w:rPr>
              <w:t>向</w:t>
            </w:r>
            <w:r w:rsidR="00777B52" w:rsidRPr="00EA58BC">
              <w:rPr>
                <w:rFonts w:hint="eastAsia"/>
                <w:sz w:val="24"/>
                <w:szCs w:val="24"/>
              </w:rPr>
              <w:t>红星美凯龙这样的大家居生态涌入。</w:t>
            </w:r>
          </w:p>
          <w:p w:rsidR="00813DCA" w:rsidRPr="00622ACA" w:rsidRDefault="00777B52" w:rsidP="00813DCA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EA58BC">
              <w:rPr>
                <w:rFonts w:hint="eastAsia"/>
                <w:sz w:val="24"/>
                <w:szCs w:val="24"/>
              </w:rPr>
              <w:t>随着一个个</w:t>
            </w:r>
            <w:r w:rsidRPr="00EA58BC">
              <w:rPr>
                <w:rFonts w:hint="eastAsia"/>
                <w:sz w:val="24"/>
                <w:szCs w:val="24"/>
              </w:rPr>
              <w:t>M+</w:t>
            </w:r>
            <w:r w:rsidR="00EA58BC" w:rsidRPr="00EA58BC">
              <w:rPr>
                <w:rFonts w:hint="eastAsia"/>
                <w:sz w:val="24"/>
                <w:szCs w:val="24"/>
              </w:rPr>
              <w:t>高端设计中心的落成</w:t>
            </w:r>
            <w:r w:rsidRPr="00EA58BC">
              <w:rPr>
                <w:rFonts w:hint="eastAsia"/>
                <w:sz w:val="24"/>
                <w:szCs w:val="24"/>
              </w:rPr>
              <w:t>，</w:t>
            </w:r>
            <w:r w:rsidR="00EA58BC" w:rsidRPr="00EA58BC">
              <w:rPr>
                <w:rFonts w:hint="eastAsia"/>
                <w:sz w:val="24"/>
                <w:szCs w:val="24"/>
              </w:rPr>
              <w:t>一个个</w:t>
            </w:r>
            <w:r w:rsidRPr="00EA58BC">
              <w:rPr>
                <w:rFonts w:hint="eastAsia"/>
                <w:sz w:val="24"/>
                <w:szCs w:val="24"/>
              </w:rPr>
              <w:t>万方的高端智能</w:t>
            </w:r>
            <w:r w:rsidR="00EA58BC" w:rsidRPr="00EA58BC">
              <w:rPr>
                <w:rFonts w:hint="eastAsia"/>
                <w:sz w:val="24"/>
                <w:szCs w:val="24"/>
              </w:rPr>
              <w:t>电器</w:t>
            </w:r>
            <w:r w:rsidRPr="00EA58BC">
              <w:rPr>
                <w:rFonts w:hint="eastAsia"/>
                <w:sz w:val="24"/>
                <w:szCs w:val="24"/>
              </w:rPr>
              <w:t>生活馆的落成，</w:t>
            </w:r>
            <w:r w:rsidR="00EA58BC" w:rsidRPr="00EA58BC">
              <w:rPr>
                <w:rFonts w:hint="eastAsia"/>
                <w:sz w:val="24"/>
                <w:szCs w:val="24"/>
              </w:rPr>
              <w:t>一个个</w:t>
            </w:r>
            <w:r w:rsidRPr="00EA58BC">
              <w:rPr>
                <w:rFonts w:hint="eastAsia"/>
                <w:sz w:val="24"/>
                <w:szCs w:val="24"/>
              </w:rPr>
              <w:t>汽车主题馆的落成，加上十大主题馆的打造，红星美凯龙面向年轻消费者的</w:t>
            </w:r>
            <w:r w:rsidR="00EA58BC" w:rsidRPr="00EA58BC">
              <w:rPr>
                <w:rFonts w:hint="eastAsia"/>
                <w:sz w:val="24"/>
                <w:szCs w:val="24"/>
              </w:rPr>
              <w:t>大家居生态的</w:t>
            </w:r>
            <w:r w:rsidRPr="00EA58BC">
              <w:rPr>
                <w:rFonts w:hint="eastAsia"/>
                <w:sz w:val="24"/>
                <w:szCs w:val="24"/>
              </w:rPr>
              <w:t>雏形已然形成，</w:t>
            </w:r>
            <w:r w:rsidR="00EA58BC" w:rsidRPr="00EA58BC">
              <w:rPr>
                <w:rFonts w:hint="eastAsia"/>
                <w:sz w:val="24"/>
                <w:szCs w:val="24"/>
              </w:rPr>
              <w:t>且</w:t>
            </w:r>
            <w:r w:rsidRPr="00EA58BC">
              <w:rPr>
                <w:rFonts w:hint="eastAsia"/>
                <w:sz w:val="24"/>
                <w:szCs w:val="24"/>
              </w:rPr>
              <w:t>目前正处在关键的</w:t>
            </w:r>
            <w:r w:rsidR="00EA58BC" w:rsidRPr="00EA58BC">
              <w:rPr>
                <w:rFonts w:hint="eastAsia"/>
                <w:sz w:val="24"/>
                <w:szCs w:val="24"/>
              </w:rPr>
              <w:t>构建</w:t>
            </w:r>
            <w:r w:rsidRPr="00EA58BC">
              <w:rPr>
                <w:rFonts w:hint="eastAsia"/>
                <w:sz w:val="24"/>
                <w:szCs w:val="24"/>
              </w:rPr>
              <w:t>期，这是未来</w:t>
            </w:r>
            <w:r w:rsidRPr="00EA58BC">
              <w:rPr>
                <w:rFonts w:hint="eastAsia"/>
                <w:sz w:val="24"/>
                <w:szCs w:val="24"/>
              </w:rPr>
              <w:t>5</w:t>
            </w:r>
            <w:r w:rsidRPr="00EA58BC">
              <w:rPr>
                <w:rFonts w:hint="eastAsia"/>
                <w:sz w:val="24"/>
                <w:szCs w:val="24"/>
              </w:rPr>
              <w:t>年到</w:t>
            </w:r>
            <w:r w:rsidRPr="00EA58BC">
              <w:rPr>
                <w:rFonts w:hint="eastAsia"/>
                <w:sz w:val="24"/>
                <w:szCs w:val="24"/>
              </w:rPr>
              <w:t>10</w:t>
            </w:r>
            <w:r w:rsidRPr="00EA58BC">
              <w:rPr>
                <w:rFonts w:hint="eastAsia"/>
                <w:sz w:val="24"/>
                <w:szCs w:val="24"/>
              </w:rPr>
              <w:t>年发展的常态，</w:t>
            </w:r>
            <w:r w:rsidR="00EA58BC" w:rsidRPr="00EA58BC">
              <w:rPr>
                <w:rFonts w:hint="eastAsia"/>
                <w:sz w:val="24"/>
                <w:szCs w:val="24"/>
              </w:rPr>
              <w:t>即，</w:t>
            </w:r>
            <w:r w:rsidRPr="00EA58BC">
              <w:rPr>
                <w:rFonts w:hint="eastAsia"/>
                <w:sz w:val="24"/>
                <w:szCs w:val="24"/>
              </w:rPr>
              <w:t>如何更好</w:t>
            </w:r>
            <w:r w:rsidR="00EA58BC" w:rsidRPr="00EA58BC">
              <w:rPr>
                <w:rFonts w:hint="eastAsia"/>
                <w:sz w:val="24"/>
                <w:szCs w:val="24"/>
              </w:rPr>
              <w:t>地</w:t>
            </w:r>
            <w:r w:rsidRPr="00EA58BC">
              <w:rPr>
                <w:rFonts w:hint="eastAsia"/>
                <w:sz w:val="24"/>
                <w:szCs w:val="24"/>
              </w:rPr>
              <w:t>面向年轻的消费群体</w:t>
            </w:r>
            <w:r w:rsidR="00EA58BC" w:rsidRPr="00EA58BC">
              <w:rPr>
                <w:rFonts w:hint="eastAsia"/>
                <w:sz w:val="24"/>
                <w:szCs w:val="24"/>
              </w:rPr>
              <w:t>，如何</w:t>
            </w:r>
            <w:r w:rsidRPr="00EA58BC">
              <w:rPr>
                <w:rFonts w:hint="eastAsia"/>
                <w:sz w:val="24"/>
                <w:szCs w:val="24"/>
              </w:rPr>
              <w:t>用全新</w:t>
            </w:r>
            <w:r w:rsidR="00863DD6">
              <w:rPr>
                <w:rFonts w:hint="eastAsia"/>
                <w:sz w:val="24"/>
                <w:szCs w:val="24"/>
              </w:rPr>
              <w:t>的商业模式满足多样化</w:t>
            </w:r>
            <w:r w:rsidRPr="00EA58BC">
              <w:rPr>
                <w:rFonts w:hint="eastAsia"/>
                <w:sz w:val="24"/>
                <w:szCs w:val="24"/>
              </w:rPr>
              <w:t>个性化的消费者</w:t>
            </w:r>
            <w:r w:rsidR="00EA58BC" w:rsidRPr="00EA58BC">
              <w:rPr>
                <w:rFonts w:hint="eastAsia"/>
                <w:sz w:val="24"/>
                <w:szCs w:val="24"/>
              </w:rPr>
              <w:t>需求。公司正在</w:t>
            </w:r>
            <w:r w:rsidRPr="00EA58BC">
              <w:rPr>
                <w:rFonts w:hint="eastAsia"/>
                <w:sz w:val="24"/>
                <w:szCs w:val="24"/>
              </w:rPr>
              <w:t>积极探索</w:t>
            </w:r>
            <w:r w:rsidR="00EA58BC" w:rsidRPr="00EA58BC">
              <w:rPr>
                <w:rFonts w:hint="eastAsia"/>
                <w:sz w:val="24"/>
                <w:szCs w:val="24"/>
              </w:rPr>
              <w:t>的路上</w:t>
            </w:r>
            <w:r w:rsidRPr="00EA58BC">
              <w:rPr>
                <w:rFonts w:hint="eastAsia"/>
                <w:sz w:val="24"/>
                <w:szCs w:val="24"/>
              </w:rPr>
              <w:t>深耕推动，</w:t>
            </w:r>
            <w:r w:rsidR="00EA58BC" w:rsidRPr="00EA58BC">
              <w:rPr>
                <w:rFonts w:hint="eastAsia"/>
                <w:sz w:val="24"/>
                <w:szCs w:val="24"/>
              </w:rPr>
              <w:t>并且</w:t>
            </w:r>
            <w:r w:rsidRPr="00622ACA">
              <w:rPr>
                <w:rFonts w:hint="eastAsia"/>
                <w:sz w:val="24"/>
                <w:szCs w:val="24"/>
              </w:rPr>
              <w:t>也取得</w:t>
            </w:r>
            <w:r w:rsidR="00EA58BC" w:rsidRPr="00622ACA">
              <w:rPr>
                <w:rFonts w:hint="eastAsia"/>
                <w:sz w:val="24"/>
                <w:szCs w:val="24"/>
              </w:rPr>
              <w:t>了</w:t>
            </w:r>
            <w:r w:rsidRPr="00622ACA">
              <w:rPr>
                <w:rFonts w:hint="eastAsia"/>
                <w:sz w:val="24"/>
                <w:szCs w:val="24"/>
              </w:rPr>
              <w:t>阶段性的成果。</w:t>
            </w:r>
          </w:p>
          <w:p w:rsidR="00D83E03" w:rsidRDefault="00777B52" w:rsidP="00622ACA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622ACA">
              <w:rPr>
                <w:rFonts w:hint="eastAsia"/>
                <w:sz w:val="24"/>
                <w:szCs w:val="24"/>
              </w:rPr>
              <w:t>在刚刚结束的</w:t>
            </w:r>
            <w:r w:rsidRPr="00622ACA">
              <w:rPr>
                <w:rFonts w:hint="eastAsia"/>
                <w:sz w:val="24"/>
                <w:szCs w:val="24"/>
              </w:rPr>
              <w:t>818</w:t>
            </w:r>
            <w:r w:rsidR="00D83E03">
              <w:rPr>
                <w:rFonts w:hint="eastAsia"/>
                <w:sz w:val="24"/>
                <w:szCs w:val="24"/>
              </w:rPr>
              <w:t>大促</w:t>
            </w:r>
            <w:r w:rsidR="00813DCA" w:rsidRPr="00622ACA">
              <w:rPr>
                <w:rFonts w:hint="eastAsia"/>
                <w:sz w:val="24"/>
                <w:szCs w:val="24"/>
              </w:rPr>
              <w:t>中，</w:t>
            </w:r>
            <w:r w:rsidRPr="00622ACA">
              <w:rPr>
                <w:rFonts w:hint="eastAsia"/>
                <w:sz w:val="24"/>
                <w:szCs w:val="24"/>
              </w:rPr>
              <w:t>车流量同比上升</w:t>
            </w:r>
            <w:r w:rsidRPr="00622ACA">
              <w:rPr>
                <w:rFonts w:hint="eastAsia"/>
                <w:sz w:val="24"/>
                <w:szCs w:val="24"/>
              </w:rPr>
              <w:t>13%</w:t>
            </w:r>
            <w:r w:rsidRPr="00622ACA">
              <w:rPr>
                <w:rFonts w:hint="eastAsia"/>
                <w:sz w:val="24"/>
                <w:szCs w:val="24"/>
              </w:rPr>
              <w:t>，销售额同比上升</w:t>
            </w:r>
            <w:r w:rsidRPr="00622ACA">
              <w:rPr>
                <w:rFonts w:hint="eastAsia"/>
                <w:sz w:val="24"/>
                <w:szCs w:val="24"/>
              </w:rPr>
              <w:t>20%</w:t>
            </w:r>
            <w:r w:rsidRPr="00622ACA">
              <w:rPr>
                <w:rFonts w:hint="eastAsia"/>
                <w:sz w:val="24"/>
                <w:szCs w:val="24"/>
              </w:rPr>
              <w:t>，</w:t>
            </w:r>
            <w:r w:rsidR="007C3C21" w:rsidRPr="00622ACA">
              <w:rPr>
                <w:rFonts w:hint="eastAsia"/>
                <w:sz w:val="24"/>
                <w:szCs w:val="24"/>
              </w:rPr>
              <w:t>销售额</w:t>
            </w:r>
            <w:r w:rsidR="00FC27A9" w:rsidRPr="00622ACA">
              <w:rPr>
                <w:rFonts w:hint="eastAsia"/>
                <w:sz w:val="24"/>
                <w:szCs w:val="24"/>
              </w:rPr>
              <w:t>在四</w:t>
            </w:r>
            <w:r w:rsidR="00863DD6">
              <w:rPr>
                <w:rFonts w:hint="eastAsia"/>
                <w:sz w:val="24"/>
                <w:szCs w:val="24"/>
              </w:rPr>
              <w:t>到</w:t>
            </w:r>
            <w:r w:rsidR="00FC27A9" w:rsidRPr="00622ACA">
              <w:rPr>
                <w:rFonts w:hint="eastAsia"/>
                <w:sz w:val="24"/>
                <w:szCs w:val="24"/>
              </w:rPr>
              <w:t>六月</w:t>
            </w:r>
            <w:r w:rsidR="00863DD6">
              <w:rPr>
                <w:rFonts w:hint="eastAsia"/>
                <w:sz w:val="24"/>
                <w:szCs w:val="24"/>
              </w:rPr>
              <w:t>的萎靡之后出现了强势的抬头</w:t>
            </w:r>
            <w:r w:rsidRPr="00622ACA">
              <w:rPr>
                <w:rFonts w:hint="eastAsia"/>
                <w:sz w:val="24"/>
                <w:szCs w:val="24"/>
              </w:rPr>
              <w:t>迹象。</w:t>
            </w:r>
          </w:p>
          <w:p w:rsidR="00D83E03" w:rsidRPr="00D83E03" w:rsidRDefault="00777B52" w:rsidP="00622ACA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622ACA">
              <w:rPr>
                <w:rFonts w:hint="eastAsia"/>
                <w:sz w:val="24"/>
                <w:szCs w:val="24"/>
              </w:rPr>
              <w:t>在即将到来的中国第</w:t>
            </w:r>
            <w:r w:rsidRPr="00622ACA">
              <w:rPr>
                <w:rFonts w:hint="eastAsia"/>
                <w:sz w:val="24"/>
                <w:szCs w:val="24"/>
              </w:rPr>
              <w:t>52</w:t>
            </w:r>
            <w:r w:rsidRPr="00622ACA">
              <w:rPr>
                <w:rFonts w:hint="eastAsia"/>
                <w:sz w:val="24"/>
                <w:szCs w:val="24"/>
              </w:rPr>
              <w:t>届家博会</w:t>
            </w:r>
            <w:r w:rsidR="00FC27A9" w:rsidRPr="00622ACA">
              <w:rPr>
                <w:rFonts w:hint="eastAsia"/>
                <w:sz w:val="24"/>
                <w:szCs w:val="24"/>
              </w:rPr>
              <w:t>上海场，</w:t>
            </w:r>
            <w:r w:rsidRPr="00622ACA">
              <w:rPr>
                <w:rFonts w:hint="eastAsia"/>
                <w:sz w:val="24"/>
                <w:szCs w:val="24"/>
              </w:rPr>
              <w:t>商务部</w:t>
            </w:r>
            <w:r w:rsidR="00FC27A9" w:rsidRPr="00622ACA">
              <w:rPr>
                <w:rFonts w:hint="eastAsia"/>
                <w:sz w:val="24"/>
                <w:szCs w:val="24"/>
              </w:rPr>
              <w:t>副</w:t>
            </w:r>
            <w:r w:rsidRPr="00622ACA">
              <w:rPr>
                <w:rFonts w:hint="eastAsia"/>
                <w:sz w:val="24"/>
                <w:szCs w:val="24"/>
              </w:rPr>
              <w:t>部长将</w:t>
            </w:r>
            <w:r w:rsidR="00FC27A9" w:rsidRPr="00622ACA">
              <w:rPr>
                <w:rFonts w:hint="eastAsia"/>
                <w:sz w:val="24"/>
                <w:szCs w:val="24"/>
              </w:rPr>
              <w:t>会出席</w:t>
            </w:r>
            <w:bookmarkStart w:id="0" w:name="_GoBack"/>
            <w:bookmarkEnd w:id="0"/>
            <w:r w:rsidRPr="00622ACA">
              <w:rPr>
                <w:rFonts w:hint="eastAsia"/>
                <w:sz w:val="24"/>
                <w:szCs w:val="24"/>
              </w:rPr>
              <w:t>共同举办的</w:t>
            </w:r>
            <w:r w:rsidRPr="00622ACA">
              <w:rPr>
                <w:rFonts w:hint="eastAsia"/>
                <w:sz w:val="24"/>
                <w:szCs w:val="24"/>
              </w:rPr>
              <w:t>2023</w:t>
            </w:r>
            <w:r w:rsidRPr="00622ACA">
              <w:rPr>
                <w:rFonts w:hint="eastAsia"/>
                <w:sz w:val="24"/>
                <w:szCs w:val="24"/>
              </w:rPr>
              <w:t>家居</w:t>
            </w:r>
            <w:r w:rsidR="00FC27A9" w:rsidRPr="00622ACA">
              <w:rPr>
                <w:rFonts w:hint="eastAsia"/>
                <w:sz w:val="24"/>
                <w:szCs w:val="24"/>
              </w:rPr>
              <w:t>焕新</w:t>
            </w:r>
            <w:r w:rsidR="00D83E03">
              <w:rPr>
                <w:rFonts w:hint="eastAsia"/>
                <w:sz w:val="24"/>
                <w:szCs w:val="24"/>
              </w:rPr>
              <w:t>消费季启动仪式。</w:t>
            </w:r>
            <w:r w:rsidR="00FC27A9" w:rsidRPr="00622ACA">
              <w:rPr>
                <w:rFonts w:hint="eastAsia"/>
                <w:sz w:val="24"/>
                <w:szCs w:val="24"/>
              </w:rPr>
              <w:t>公司</w:t>
            </w:r>
            <w:r w:rsidRPr="00622ACA">
              <w:rPr>
                <w:rFonts w:hint="eastAsia"/>
                <w:sz w:val="24"/>
                <w:szCs w:val="24"/>
              </w:rPr>
              <w:t>通过中国家博会</w:t>
            </w:r>
            <w:r w:rsidR="00FC27A9" w:rsidRPr="00622ACA">
              <w:rPr>
                <w:rFonts w:hint="eastAsia"/>
                <w:sz w:val="24"/>
                <w:szCs w:val="24"/>
              </w:rPr>
              <w:t>——</w:t>
            </w:r>
            <w:r w:rsidRPr="00622ACA">
              <w:rPr>
                <w:rFonts w:hint="eastAsia"/>
                <w:sz w:val="24"/>
                <w:szCs w:val="24"/>
              </w:rPr>
              <w:t>中国最高级</w:t>
            </w:r>
            <w:r w:rsidR="00FC27A9" w:rsidRPr="00622ACA">
              <w:rPr>
                <w:rFonts w:hint="eastAsia"/>
                <w:sz w:val="24"/>
                <w:szCs w:val="24"/>
              </w:rPr>
              <w:t>的展会</w:t>
            </w:r>
            <w:r w:rsidRPr="00622ACA">
              <w:rPr>
                <w:rFonts w:hint="eastAsia"/>
                <w:sz w:val="24"/>
                <w:szCs w:val="24"/>
              </w:rPr>
              <w:t>平台，</w:t>
            </w:r>
            <w:r w:rsidR="00FC27A9" w:rsidRPr="00622ACA">
              <w:rPr>
                <w:rFonts w:hint="eastAsia"/>
                <w:sz w:val="24"/>
                <w:szCs w:val="24"/>
              </w:rPr>
              <w:t>借助政府部门</w:t>
            </w:r>
            <w:r w:rsidRPr="00622ACA">
              <w:rPr>
                <w:rFonts w:hint="eastAsia"/>
                <w:sz w:val="24"/>
                <w:szCs w:val="24"/>
              </w:rPr>
              <w:t>的力量</w:t>
            </w:r>
            <w:r w:rsidR="00FC27A9" w:rsidRPr="00622ACA">
              <w:rPr>
                <w:rFonts w:hint="eastAsia"/>
                <w:sz w:val="24"/>
                <w:szCs w:val="24"/>
              </w:rPr>
              <w:t>，</w:t>
            </w:r>
            <w:r w:rsidRPr="00622ACA">
              <w:rPr>
                <w:rFonts w:hint="eastAsia"/>
                <w:sz w:val="24"/>
                <w:szCs w:val="24"/>
              </w:rPr>
              <w:t>强势</w:t>
            </w:r>
            <w:r w:rsidR="00640634">
              <w:rPr>
                <w:rFonts w:hint="eastAsia"/>
                <w:sz w:val="24"/>
                <w:szCs w:val="24"/>
              </w:rPr>
              <w:t>打开</w:t>
            </w:r>
            <w:r w:rsidRPr="00622ACA">
              <w:rPr>
                <w:rFonts w:hint="eastAsia"/>
                <w:sz w:val="24"/>
                <w:szCs w:val="24"/>
              </w:rPr>
              <w:t>今</w:t>
            </w:r>
            <w:r w:rsidRPr="00D83E03">
              <w:rPr>
                <w:rFonts w:hint="eastAsia"/>
                <w:sz w:val="24"/>
                <w:szCs w:val="24"/>
              </w:rPr>
              <w:t>年下半年</w:t>
            </w:r>
            <w:r w:rsidR="00FC27A9" w:rsidRPr="00D83E03">
              <w:rPr>
                <w:rFonts w:hint="eastAsia"/>
                <w:sz w:val="24"/>
                <w:szCs w:val="24"/>
              </w:rPr>
              <w:t>国庆、</w:t>
            </w:r>
            <w:r w:rsidRPr="00D83E03">
              <w:rPr>
                <w:rFonts w:hint="eastAsia"/>
                <w:sz w:val="24"/>
                <w:szCs w:val="24"/>
              </w:rPr>
              <w:t>双十一</w:t>
            </w:r>
            <w:r w:rsidR="00FC27A9" w:rsidRPr="00D83E03">
              <w:rPr>
                <w:rFonts w:hint="eastAsia"/>
                <w:sz w:val="24"/>
                <w:szCs w:val="24"/>
              </w:rPr>
              <w:t>的秋装市场</w:t>
            </w:r>
            <w:r w:rsidRPr="00D83E03">
              <w:rPr>
                <w:rFonts w:hint="eastAsia"/>
                <w:sz w:val="24"/>
                <w:szCs w:val="24"/>
              </w:rPr>
              <w:t>。</w:t>
            </w:r>
            <w:r w:rsidR="00622ACA" w:rsidRPr="00D83E03">
              <w:rPr>
                <w:rFonts w:hint="eastAsia"/>
                <w:sz w:val="24"/>
                <w:szCs w:val="24"/>
              </w:rPr>
              <w:t>公司相信，一系列的营销措施和规划</w:t>
            </w:r>
            <w:r w:rsidRPr="00D83E03">
              <w:rPr>
                <w:rFonts w:hint="eastAsia"/>
                <w:sz w:val="24"/>
                <w:szCs w:val="24"/>
              </w:rPr>
              <w:t>将会给下半年</w:t>
            </w:r>
            <w:r w:rsidR="00622ACA" w:rsidRPr="00D83E03">
              <w:rPr>
                <w:rFonts w:hint="eastAsia"/>
                <w:sz w:val="24"/>
                <w:szCs w:val="24"/>
              </w:rPr>
              <w:t>的市场</w:t>
            </w:r>
            <w:r w:rsidRPr="00D83E03">
              <w:rPr>
                <w:rFonts w:hint="eastAsia"/>
                <w:sz w:val="24"/>
                <w:szCs w:val="24"/>
              </w:rPr>
              <w:t>注入新的活力和动力，</w:t>
            </w:r>
            <w:r w:rsidR="00D83E03" w:rsidRPr="00D83E03">
              <w:rPr>
                <w:rFonts w:hint="eastAsia"/>
                <w:sz w:val="24"/>
                <w:szCs w:val="24"/>
              </w:rPr>
              <w:t>助力</w:t>
            </w:r>
            <w:r w:rsidRPr="00D83E03">
              <w:rPr>
                <w:rFonts w:hint="eastAsia"/>
                <w:sz w:val="24"/>
                <w:szCs w:val="24"/>
              </w:rPr>
              <w:t>冲刺年度业绩的达成。</w:t>
            </w:r>
          </w:p>
          <w:p w:rsidR="00777B52" w:rsidRPr="00622ACA" w:rsidRDefault="00777B52" w:rsidP="00622ACA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D83E03">
              <w:rPr>
                <w:rFonts w:hint="eastAsia"/>
                <w:sz w:val="24"/>
                <w:szCs w:val="24"/>
              </w:rPr>
              <w:t>随着</w:t>
            </w:r>
            <w:r w:rsidRPr="00D83E03">
              <w:rPr>
                <w:rFonts w:hint="eastAsia"/>
                <w:sz w:val="24"/>
                <w:szCs w:val="24"/>
              </w:rPr>
              <w:t>818</w:t>
            </w:r>
            <w:r w:rsidRPr="00D83E03">
              <w:rPr>
                <w:rFonts w:hint="eastAsia"/>
                <w:sz w:val="24"/>
                <w:szCs w:val="24"/>
              </w:rPr>
              <w:t>销售的增长，也随着商务部关于促进家居消费若干措施以及细则的出台，</w:t>
            </w:r>
            <w:r w:rsidR="00622ACA" w:rsidRPr="00D83E03">
              <w:rPr>
                <w:rFonts w:hint="eastAsia"/>
                <w:sz w:val="24"/>
                <w:szCs w:val="24"/>
              </w:rPr>
              <w:t>公司</w:t>
            </w:r>
            <w:r w:rsidRPr="00D83E03">
              <w:rPr>
                <w:rFonts w:hint="eastAsia"/>
                <w:sz w:val="24"/>
                <w:szCs w:val="24"/>
              </w:rPr>
              <w:t>作为行业的龙头企业第一时间能够感受到政策的变化，感受到政策力量</w:t>
            </w:r>
            <w:r w:rsidR="00D83E03" w:rsidRPr="00D83E03">
              <w:rPr>
                <w:rFonts w:hint="eastAsia"/>
                <w:sz w:val="24"/>
                <w:szCs w:val="24"/>
              </w:rPr>
              <w:t>，</w:t>
            </w:r>
            <w:r w:rsidRPr="00D83E03">
              <w:rPr>
                <w:rFonts w:hint="eastAsia"/>
                <w:sz w:val="24"/>
                <w:szCs w:val="24"/>
              </w:rPr>
              <w:t>也将发挥行业龙头企业作用，带动行业的上下游共同发力市场</w:t>
            </w:r>
            <w:r w:rsidR="00622ACA" w:rsidRPr="00D83E03">
              <w:rPr>
                <w:rFonts w:hint="eastAsia"/>
                <w:sz w:val="24"/>
                <w:szCs w:val="24"/>
              </w:rPr>
              <w:t>。</w:t>
            </w:r>
            <w:r w:rsidR="00D83E03" w:rsidRPr="00D83E03">
              <w:rPr>
                <w:rFonts w:hint="eastAsia"/>
                <w:sz w:val="24"/>
                <w:szCs w:val="24"/>
              </w:rPr>
              <w:t>公司相信通过多种举措的共同</w:t>
            </w:r>
            <w:r w:rsidRPr="00D83E03">
              <w:rPr>
                <w:rFonts w:hint="eastAsia"/>
                <w:sz w:val="24"/>
                <w:szCs w:val="24"/>
              </w:rPr>
              <w:t>发力，</w:t>
            </w:r>
            <w:r w:rsidR="00D83E03" w:rsidRPr="00D83E03">
              <w:rPr>
                <w:rFonts w:hint="eastAsia"/>
                <w:sz w:val="24"/>
                <w:szCs w:val="24"/>
              </w:rPr>
              <w:t>在</w:t>
            </w:r>
            <w:r w:rsidRPr="00D83E03">
              <w:rPr>
                <w:rFonts w:hint="eastAsia"/>
                <w:sz w:val="24"/>
                <w:szCs w:val="24"/>
              </w:rPr>
              <w:t>国家政策的提升之下，</w:t>
            </w:r>
            <w:r w:rsidR="00D83E03" w:rsidRPr="00D83E03">
              <w:rPr>
                <w:rFonts w:hint="eastAsia"/>
                <w:sz w:val="24"/>
                <w:szCs w:val="24"/>
              </w:rPr>
              <w:t>在</w:t>
            </w:r>
            <w:r w:rsidRPr="00D83E03">
              <w:rPr>
                <w:rFonts w:hint="eastAsia"/>
                <w:sz w:val="24"/>
                <w:szCs w:val="24"/>
              </w:rPr>
              <w:t>全行业共同努力之下，市场一定会逐渐回暖，</w:t>
            </w:r>
            <w:r w:rsidR="00D83E03" w:rsidRPr="00D83E03">
              <w:rPr>
                <w:rFonts w:hint="eastAsia"/>
                <w:sz w:val="24"/>
                <w:szCs w:val="24"/>
              </w:rPr>
              <w:t>公司</w:t>
            </w:r>
            <w:r w:rsidRPr="00D83E03">
              <w:rPr>
                <w:rFonts w:hint="eastAsia"/>
                <w:sz w:val="24"/>
                <w:szCs w:val="24"/>
              </w:rPr>
              <w:t>也一定</w:t>
            </w:r>
            <w:r w:rsidR="00D83E03" w:rsidRPr="00D83E03">
              <w:rPr>
                <w:rFonts w:hint="eastAsia"/>
                <w:sz w:val="24"/>
                <w:szCs w:val="24"/>
              </w:rPr>
              <w:t>会</w:t>
            </w:r>
            <w:r w:rsidRPr="00D83E03">
              <w:rPr>
                <w:rFonts w:hint="eastAsia"/>
                <w:sz w:val="24"/>
                <w:szCs w:val="24"/>
              </w:rPr>
              <w:t>从</w:t>
            </w:r>
            <w:r w:rsidR="00D83E03" w:rsidRPr="00D83E03">
              <w:rPr>
                <w:rFonts w:hint="eastAsia"/>
                <w:sz w:val="24"/>
                <w:szCs w:val="24"/>
              </w:rPr>
              <w:t>所坚持的重运营</w:t>
            </w:r>
            <w:r w:rsidRPr="00D83E03">
              <w:rPr>
                <w:rFonts w:hint="eastAsia"/>
                <w:sz w:val="24"/>
                <w:szCs w:val="24"/>
              </w:rPr>
              <w:t>中获得出租率</w:t>
            </w:r>
            <w:r w:rsidR="00D83E03" w:rsidRPr="00D83E03">
              <w:rPr>
                <w:rFonts w:hint="eastAsia"/>
                <w:sz w:val="24"/>
                <w:szCs w:val="24"/>
              </w:rPr>
              <w:t>、</w:t>
            </w:r>
            <w:r w:rsidRPr="00D83E03">
              <w:rPr>
                <w:rFonts w:hint="eastAsia"/>
                <w:sz w:val="24"/>
                <w:szCs w:val="24"/>
              </w:rPr>
              <w:t>经营收入和利润</w:t>
            </w:r>
            <w:r w:rsidR="00D83E03" w:rsidRPr="00D83E03">
              <w:rPr>
                <w:rFonts w:hint="eastAsia"/>
                <w:sz w:val="24"/>
                <w:szCs w:val="24"/>
              </w:rPr>
              <w:t>的提升</w:t>
            </w:r>
            <w:r w:rsidRPr="00D83E03">
              <w:rPr>
                <w:rFonts w:hint="eastAsia"/>
                <w:sz w:val="24"/>
                <w:szCs w:val="24"/>
              </w:rPr>
              <w:t>。</w:t>
            </w:r>
          </w:p>
          <w:p w:rsidR="00622ACA" w:rsidRDefault="00622ACA" w:rsidP="00777B52">
            <w:pPr>
              <w:spacing w:line="360" w:lineRule="auto"/>
              <w:jc w:val="left"/>
              <w:rPr>
                <w:sz w:val="24"/>
                <w:szCs w:val="24"/>
                <w:highlight w:val="yellow"/>
              </w:rPr>
            </w:pPr>
          </w:p>
          <w:p w:rsidR="00622ACA" w:rsidRPr="00B1651D" w:rsidRDefault="00622ACA" w:rsidP="00777B52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B1651D">
              <w:rPr>
                <w:b/>
                <w:sz w:val="24"/>
                <w:szCs w:val="24"/>
              </w:rPr>
              <w:t>提问环节</w:t>
            </w:r>
            <w:r w:rsidRPr="00B1651D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777B52" w:rsidRPr="00DB5AA9" w:rsidRDefault="00B1651D" w:rsidP="00777B5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1651D">
              <w:rPr>
                <w:rFonts w:hint="eastAsia"/>
                <w:sz w:val="24"/>
                <w:szCs w:val="24"/>
              </w:rPr>
              <w:t>Q</w:t>
            </w:r>
            <w:r w:rsidRPr="00B1651D">
              <w:rPr>
                <w:rFonts w:hint="eastAsia"/>
                <w:sz w:val="24"/>
                <w:szCs w:val="24"/>
              </w:rPr>
              <w:t>：</w:t>
            </w:r>
            <w:r w:rsidR="00777B52" w:rsidRPr="00B1651D">
              <w:rPr>
                <w:rFonts w:hint="eastAsia"/>
                <w:sz w:val="24"/>
                <w:szCs w:val="24"/>
              </w:rPr>
              <w:t>目</w:t>
            </w:r>
            <w:r w:rsidR="00D160DF">
              <w:rPr>
                <w:rFonts w:hint="eastAsia"/>
                <w:sz w:val="24"/>
                <w:szCs w:val="24"/>
              </w:rPr>
              <w:t>前地产销售还是有一些压力的，公司如何看待后续家居方面的</w:t>
            </w:r>
            <w:r w:rsidR="00D160DF">
              <w:rPr>
                <w:rFonts w:hint="eastAsia"/>
                <w:sz w:val="24"/>
                <w:szCs w:val="24"/>
              </w:rPr>
              <w:lastRenderedPageBreak/>
              <w:t>需</w:t>
            </w:r>
            <w:r w:rsidR="00D160DF" w:rsidRPr="00DB5AA9">
              <w:rPr>
                <w:rFonts w:hint="eastAsia"/>
                <w:sz w:val="24"/>
                <w:szCs w:val="24"/>
              </w:rPr>
              <w:t>求？</w:t>
            </w:r>
            <w:r w:rsidR="00777B52" w:rsidRPr="00DB5AA9">
              <w:rPr>
                <w:rFonts w:hint="eastAsia"/>
                <w:sz w:val="24"/>
                <w:szCs w:val="24"/>
              </w:rPr>
              <w:t>门店的规划方面，公司未来门店有哪些拓展的计划</w:t>
            </w:r>
            <w:r w:rsidR="00D160DF" w:rsidRPr="00DB5AA9">
              <w:rPr>
                <w:rFonts w:hint="eastAsia"/>
                <w:sz w:val="24"/>
                <w:szCs w:val="24"/>
              </w:rPr>
              <w:t>以及</w:t>
            </w:r>
            <w:r w:rsidR="00777B52" w:rsidRPr="00DB5AA9">
              <w:rPr>
                <w:rFonts w:hint="eastAsia"/>
                <w:sz w:val="24"/>
                <w:szCs w:val="24"/>
              </w:rPr>
              <w:t>未来开店空间怎么看？</w:t>
            </w:r>
            <w:r w:rsidR="002227DA" w:rsidRPr="00DB5AA9">
              <w:rPr>
                <w:rFonts w:hint="eastAsia"/>
                <w:sz w:val="24"/>
                <w:szCs w:val="24"/>
              </w:rPr>
              <w:t xml:space="preserve"> </w:t>
            </w:r>
          </w:p>
          <w:p w:rsidR="00777B52" w:rsidRPr="00DB5AA9" w:rsidRDefault="00777B52" w:rsidP="00777B5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B5AA9">
              <w:rPr>
                <w:rFonts w:hint="eastAsia"/>
                <w:sz w:val="24"/>
                <w:szCs w:val="24"/>
              </w:rPr>
              <w:t xml:space="preserve">    </w:t>
            </w:r>
            <w:r w:rsidRPr="00DB5AA9">
              <w:rPr>
                <w:rFonts w:hint="eastAsia"/>
                <w:sz w:val="24"/>
                <w:szCs w:val="24"/>
              </w:rPr>
              <w:t>第一，地产销售的压力</w:t>
            </w:r>
            <w:r w:rsidR="00DB5AA9" w:rsidRPr="00DB5AA9">
              <w:rPr>
                <w:rFonts w:hint="eastAsia"/>
                <w:sz w:val="24"/>
                <w:szCs w:val="24"/>
              </w:rPr>
              <w:t>确实非常大，但是公司从运营的角度</w:t>
            </w:r>
            <w:r w:rsidRPr="00DB5AA9">
              <w:rPr>
                <w:rFonts w:hint="eastAsia"/>
                <w:sz w:val="24"/>
                <w:szCs w:val="24"/>
              </w:rPr>
              <w:t>，</w:t>
            </w:r>
            <w:r w:rsidR="00DB5AA9" w:rsidRPr="00DB5AA9">
              <w:rPr>
                <w:rFonts w:hint="eastAsia"/>
                <w:sz w:val="24"/>
                <w:szCs w:val="24"/>
              </w:rPr>
              <w:t>正视地产</w:t>
            </w:r>
            <w:r w:rsidRPr="00DB5AA9">
              <w:rPr>
                <w:rFonts w:hint="eastAsia"/>
                <w:sz w:val="24"/>
                <w:szCs w:val="24"/>
              </w:rPr>
              <w:t>形成的压力</w:t>
            </w:r>
            <w:r w:rsidR="00DB5AA9" w:rsidRPr="00DB5AA9">
              <w:rPr>
                <w:rFonts w:hint="eastAsia"/>
                <w:sz w:val="24"/>
                <w:szCs w:val="24"/>
              </w:rPr>
              <w:t>的同时，公司也注意到，</w:t>
            </w:r>
            <w:r w:rsidRPr="00DB5AA9">
              <w:rPr>
                <w:rFonts w:hint="eastAsia"/>
                <w:sz w:val="24"/>
                <w:szCs w:val="24"/>
              </w:rPr>
              <w:t>中国有</w:t>
            </w:r>
            <w:r w:rsidRPr="00DB5AA9">
              <w:rPr>
                <w:rFonts w:hint="eastAsia"/>
                <w:sz w:val="24"/>
                <w:szCs w:val="24"/>
              </w:rPr>
              <w:t>14</w:t>
            </w:r>
            <w:r w:rsidRPr="00DB5AA9">
              <w:rPr>
                <w:rFonts w:hint="eastAsia"/>
                <w:sz w:val="24"/>
                <w:szCs w:val="24"/>
              </w:rPr>
              <w:t>亿的存量市场，在过去</w:t>
            </w:r>
            <w:r w:rsidRPr="00DB5AA9">
              <w:rPr>
                <w:rFonts w:hint="eastAsia"/>
                <w:sz w:val="24"/>
                <w:szCs w:val="24"/>
              </w:rPr>
              <w:t>20</w:t>
            </w:r>
            <w:r w:rsidRPr="00DB5AA9">
              <w:rPr>
                <w:rFonts w:hint="eastAsia"/>
                <w:sz w:val="24"/>
                <w:szCs w:val="24"/>
              </w:rPr>
              <w:t>年盖了</w:t>
            </w:r>
            <w:r w:rsidRPr="00DB5AA9">
              <w:rPr>
                <w:rFonts w:hint="eastAsia"/>
                <w:sz w:val="24"/>
                <w:szCs w:val="24"/>
              </w:rPr>
              <w:t>90%</w:t>
            </w:r>
            <w:r w:rsidRPr="00DB5AA9">
              <w:rPr>
                <w:rFonts w:hint="eastAsia"/>
                <w:sz w:val="24"/>
                <w:szCs w:val="24"/>
              </w:rPr>
              <w:t>以上的房子，</w:t>
            </w:r>
            <w:r w:rsidRPr="00DB5AA9">
              <w:rPr>
                <w:rFonts w:hint="eastAsia"/>
                <w:sz w:val="24"/>
                <w:szCs w:val="24"/>
              </w:rPr>
              <w:t>90%</w:t>
            </w:r>
            <w:r w:rsidRPr="00DB5AA9">
              <w:rPr>
                <w:rFonts w:hint="eastAsia"/>
                <w:sz w:val="24"/>
                <w:szCs w:val="24"/>
              </w:rPr>
              <w:t>都进入到了</w:t>
            </w:r>
            <w:r w:rsidR="002227DA" w:rsidRPr="00DB5AA9">
              <w:rPr>
                <w:rFonts w:hint="eastAsia"/>
                <w:sz w:val="24"/>
                <w:szCs w:val="24"/>
              </w:rPr>
              <w:t>二次、三次</w:t>
            </w:r>
            <w:r w:rsidRPr="00DB5AA9">
              <w:rPr>
                <w:rFonts w:hint="eastAsia"/>
                <w:sz w:val="24"/>
                <w:szCs w:val="24"/>
              </w:rPr>
              <w:t>装修的</w:t>
            </w:r>
            <w:r w:rsidR="002227DA" w:rsidRPr="00DB5AA9">
              <w:rPr>
                <w:rFonts w:hint="eastAsia"/>
                <w:sz w:val="24"/>
                <w:szCs w:val="24"/>
              </w:rPr>
              <w:t>时代</w:t>
            </w:r>
            <w:r w:rsidRPr="00DB5AA9">
              <w:rPr>
                <w:rFonts w:hint="eastAsia"/>
                <w:sz w:val="24"/>
                <w:szCs w:val="24"/>
              </w:rPr>
              <w:t>，这是过去大家忽视的市场，也是</w:t>
            </w:r>
            <w:r w:rsidR="00DB5AA9" w:rsidRPr="00DB5AA9">
              <w:rPr>
                <w:rFonts w:hint="eastAsia"/>
                <w:sz w:val="24"/>
                <w:szCs w:val="24"/>
              </w:rPr>
              <w:t>中国</w:t>
            </w:r>
            <w:r w:rsidRPr="00DB5AA9">
              <w:rPr>
                <w:rFonts w:hint="eastAsia"/>
                <w:sz w:val="24"/>
                <w:szCs w:val="24"/>
              </w:rPr>
              <w:t>家居行业正在脱离房地产行业形成自己独立产业周期的数据来源</w:t>
            </w:r>
            <w:r w:rsidR="00DB5AA9" w:rsidRPr="00DB5AA9">
              <w:rPr>
                <w:rFonts w:hint="eastAsia"/>
                <w:sz w:val="24"/>
                <w:szCs w:val="24"/>
              </w:rPr>
              <w:t>。</w:t>
            </w:r>
            <w:r w:rsidRPr="00DB5AA9">
              <w:rPr>
                <w:rFonts w:hint="eastAsia"/>
                <w:sz w:val="24"/>
                <w:szCs w:val="24"/>
              </w:rPr>
              <w:t>在全国局部地区地产还是比较红火的，</w:t>
            </w:r>
            <w:r w:rsidR="00DB5AA9" w:rsidRPr="00DB5AA9">
              <w:rPr>
                <w:rFonts w:hint="eastAsia"/>
                <w:sz w:val="24"/>
                <w:szCs w:val="24"/>
              </w:rPr>
              <w:t>在另一些地区，公司的主要运营</w:t>
            </w:r>
            <w:r w:rsidRPr="00DB5AA9">
              <w:rPr>
                <w:rFonts w:hint="eastAsia"/>
                <w:sz w:val="24"/>
                <w:szCs w:val="24"/>
              </w:rPr>
              <w:t>重心迅速切换到存量市场</w:t>
            </w:r>
            <w:r w:rsidR="002227DA" w:rsidRPr="00DB5AA9">
              <w:rPr>
                <w:rFonts w:hint="eastAsia"/>
                <w:sz w:val="24"/>
                <w:szCs w:val="24"/>
              </w:rPr>
              <w:t>的挖掘</w:t>
            </w:r>
            <w:r w:rsidRPr="00DB5AA9">
              <w:rPr>
                <w:rFonts w:hint="eastAsia"/>
                <w:sz w:val="24"/>
                <w:szCs w:val="24"/>
              </w:rPr>
              <w:t>，</w:t>
            </w:r>
            <w:r w:rsidR="00DB5AA9" w:rsidRPr="00DB5AA9">
              <w:rPr>
                <w:rFonts w:hint="eastAsia"/>
                <w:sz w:val="24"/>
                <w:szCs w:val="24"/>
              </w:rPr>
              <w:t>包括对于设计中心、</w:t>
            </w:r>
            <w:r w:rsidRPr="00DB5AA9">
              <w:rPr>
                <w:rFonts w:hint="eastAsia"/>
                <w:sz w:val="24"/>
                <w:szCs w:val="24"/>
              </w:rPr>
              <w:t>家装能力的打造，</w:t>
            </w:r>
            <w:r w:rsidR="00DB5AA9" w:rsidRPr="00DB5AA9">
              <w:rPr>
                <w:rFonts w:hint="eastAsia"/>
                <w:sz w:val="24"/>
                <w:szCs w:val="24"/>
              </w:rPr>
              <w:t>拓展</w:t>
            </w:r>
            <w:r w:rsidRPr="00DB5AA9">
              <w:rPr>
                <w:rFonts w:hint="eastAsia"/>
                <w:sz w:val="24"/>
                <w:szCs w:val="24"/>
              </w:rPr>
              <w:t>新品类等</w:t>
            </w:r>
            <w:r w:rsidR="00DB5AA9" w:rsidRPr="00DB5AA9">
              <w:rPr>
                <w:rFonts w:hint="eastAsia"/>
                <w:sz w:val="24"/>
                <w:szCs w:val="24"/>
              </w:rPr>
              <w:t>，这些</w:t>
            </w:r>
            <w:r w:rsidRPr="00DB5AA9">
              <w:rPr>
                <w:rFonts w:hint="eastAsia"/>
                <w:sz w:val="24"/>
                <w:szCs w:val="24"/>
              </w:rPr>
              <w:t>都是</w:t>
            </w:r>
            <w:r w:rsidR="00DB5AA9" w:rsidRPr="00DB5AA9">
              <w:rPr>
                <w:rFonts w:hint="eastAsia"/>
                <w:sz w:val="24"/>
                <w:szCs w:val="24"/>
              </w:rPr>
              <w:t>公司面临压力</w:t>
            </w:r>
            <w:r w:rsidRPr="00DB5AA9">
              <w:rPr>
                <w:rFonts w:hint="eastAsia"/>
                <w:sz w:val="24"/>
                <w:szCs w:val="24"/>
              </w:rPr>
              <w:t>积极应对市场的举措。</w:t>
            </w:r>
          </w:p>
          <w:p w:rsidR="00DB5AA9" w:rsidRPr="009E0FBC" w:rsidRDefault="00777B52" w:rsidP="00DB5AA9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 w:rsidRPr="00DB5AA9">
              <w:rPr>
                <w:rFonts w:hint="eastAsia"/>
                <w:sz w:val="24"/>
                <w:szCs w:val="24"/>
              </w:rPr>
              <w:t>第二，门店</w:t>
            </w:r>
            <w:r w:rsidR="00291C35">
              <w:rPr>
                <w:rFonts w:hint="eastAsia"/>
                <w:sz w:val="24"/>
                <w:szCs w:val="24"/>
              </w:rPr>
              <w:t>的扩张</w:t>
            </w:r>
            <w:r w:rsidRPr="00DB5AA9">
              <w:rPr>
                <w:rFonts w:hint="eastAsia"/>
                <w:sz w:val="24"/>
                <w:szCs w:val="24"/>
              </w:rPr>
              <w:t>计划，</w:t>
            </w:r>
            <w:r w:rsidR="00DB5AA9" w:rsidRPr="00DB5AA9">
              <w:rPr>
                <w:rFonts w:hint="eastAsia"/>
                <w:sz w:val="24"/>
                <w:szCs w:val="24"/>
              </w:rPr>
              <w:t>公司过去构建了非常庞大的全国性网络，也基本完成了在核心市场的战略布局，公司</w:t>
            </w:r>
            <w:r w:rsidRPr="00DB5AA9">
              <w:rPr>
                <w:rFonts w:hint="eastAsia"/>
                <w:sz w:val="24"/>
                <w:szCs w:val="24"/>
              </w:rPr>
              <w:t>还有一些在建项目，</w:t>
            </w:r>
            <w:r w:rsidR="00DB5AA9" w:rsidRPr="00DB5AA9">
              <w:rPr>
                <w:rFonts w:hint="eastAsia"/>
                <w:sz w:val="24"/>
                <w:szCs w:val="24"/>
              </w:rPr>
              <w:t>未来</w:t>
            </w:r>
            <w:r w:rsidRPr="00DB5AA9">
              <w:rPr>
                <w:rFonts w:hint="eastAsia"/>
                <w:sz w:val="24"/>
                <w:szCs w:val="24"/>
              </w:rPr>
              <w:t>会去优化</w:t>
            </w:r>
            <w:r w:rsidR="00DB5AA9" w:rsidRPr="00DB5AA9">
              <w:rPr>
                <w:rFonts w:hint="eastAsia"/>
                <w:sz w:val="24"/>
                <w:szCs w:val="24"/>
              </w:rPr>
              <w:t>、完善</w:t>
            </w:r>
            <w:r w:rsidRPr="00DB5AA9">
              <w:rPr>
                <w:rFonts w:hint="eastAsia"/>
                <w:sz w:val="24"/>
                <w:szCs w:val="24"/>
              </w:rPr>
              <w:t>一下在中国的一级核心市场的网络布局</w:t>
            </w:r>
            <w:r w:rsidR="00DB5AA9" w:rsidRPr="00DB5AA9">
              <w:rPr>
                <w:rFonts w:hint="eastAsia"/>
                <w:sz w:val="24"/>
                <w:szCs w:val="24"/>
              </w:rPr>
              <w:t>；</w:t>
            </w:r>
            <w:r w:rsidRPr="00DB5AA9">
              <w:rPr>
                <w:rFonts w:hint="eastAsia"/>
                <w:sz w:val="24"/>
                <w:szCs w:val="24"/>
              </w:rPr>
              <w:t>更重要的</w:t>
            </w:r>
            <w:r w:rsidRPr="009E0FBC">
              <w:rPr>
                <w:rFonts w:hint="eastAsia"/>
                <w:sz w:val="24"/>
                <w:szCs w:val="24"/>
              </w:rPr>
              <w:t>是</w:t>
            </w:r>
            <w:r w:rsidR="00DB5AA9" w:rsidRPr="009E0FBC">
              <w:rPr>
                <w:rFonts w:hint="eastAsia"/>
                <w:sz w:val="24"/>
                <w:szCs w:val="24"/>
              </w:rPr>
              <w:t>，公司看到中国</w:t>
            </w:r>
            <w:r w:rsidR="002227DA" w:rsidRPr="009E0FBC">
              <w:rPr>
                <w:rFonts w:hint="eastAsia"/>
                <w:sz w:val="24"/>
                <w:szCs w:val="24"/>
              </w:rPr>
              <w:t>经济的重镇</w:t>
            </w:r>
            <w:r w:rsidR="00DB5AA9" w:rsidRPr="009E0FBC">
              <w:rPr>
                <w:rFonts w:hint="eastAsia"/>
                <w:sz w:val="24"/>
                <w:szCs w:val="24"/>
              </w:rPr>
              <w:t>在三四五线的市场发展，因此</w:t>
            </w:r>
            <w:r w:rsidRPr="009E0FBC">
              <w:rPr>
                <w:rFonts w:hint="eastAsia"/>
                <w:sz w:val="24"/>
                <w:szCs w:val="24"/>
              </w:rPr>
              <w:t>通过轻资产委管的方式，</w:t>
            </w:r>
            <w:r w:rsidR="00DB5AA9" w:rsidRPr="009E0FBC">
              <w:rPr>
                <w:rFonts w:hint="eastAsia"/>
                <w:sz w:val="24"/>
                <w:szCs w:val="24"/>
              </w:rPr>
              <w:t>公司快速渗透下沉到很多县级市场。</w:t>
            </w:r>
          </w:p>
          <w:p w:rsidR="00EB109F" w:rsidRPr="009E0FBC" w:rsidRDefault="00DB5AA9" w:rsidP="001F55F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E0FBC">
              <w:rPr>
                <w:rFonts w:hint="eastAsia"/>
                <w:sz w:val="24"/>
                <w:szCs w:val="24"/>
              </w:rPr>
              <w:t>Q</w:t>
            </w:r>
            <w:r w:rsidRPr="009E0FBC">
              <w:rPr>
                <w:rFonts w:hint="eastAsia"/>
                <w:sz w:val="24"/>
                <w:szCs w:val="24"/>
              </w:rPr>
              <w:t>：</w:t>
            </w:r>
            <w:r w:rsidR="00777B52" w:rsidRPr="009E0FBC">
              <w:rPr>
                <w:rFonts w:hint="eastAsia"/>
                <w:sz w:val="24"/>
                <w:szCs w:val="24"/>
              </w:rPr>
              <w:t>商务部发布了一些关于促进家居消费的措施，目前这些政策实施</w:t>
            </w:r>
            <w:r w:rsidR="004378AA" w:rsidRPr="009E0FBC">
              <w:rPr>
                <w:rFonts w:hint="eastAsia"/>
                <w:sz w:val="24"/>
                <w:szCs w:val="24"/>
              </w:rPr>
              <w:t>的进度是什么样？后续的情况发展</w:t>
            </w:r>
            <w:r w:rsidR="00777B52" w:rsidRPr="009E0FBC">
              <w:rPr>
                <w:rFonts w:hint="eastAsia"/>
                <w:sz w:val="24"/>
                <w:szCs w:val="24"/>
              </w:rPr>
              <w:t>是什么样的？</w:t>
            </w:r>
          </w:p>
          <w:p w:rsidR="008319CD" w:rsidRPr="001F55F7" w:rsidRDefault="00777B52" w:rsidP="009E0FB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  <w:highlight w:val="yellow"/>
              </w:rPr>
            </w:pPr>
            <w:r w:rsidRPr="009E0FBC">
              <w:rPr>
                <w:rFonts w:hint="eastAsia"/>
                <w:sz w:val="24"/>
                <w:szCs w:val="24"/>
              </w:rPr>
              <w:t>商务部文件已经</w:t>
            </w:r>
            <w:r w:rsidR="006B2301" w:rsidRPr="009E0FBC">
              <w:rPr>
                <w:rFonts w:hint="eastAsia"/>
                <w:sz w:val="24"/>
                <w:szCs w:val="24"/>
              </w:rPr>
              <w:t>印发并下达</w:t>
            </w:r>
            <w:r w:rsidRPr="009E0FBC">
              <w:rPr>
                <w:rFonts w:hint="eastAsia"/>
                <w:sz w:val="24"/>
                <w:szCs w:val="24"/>
              </w:rPr>
              <w:t>，</w:t>
            </w:r>
            <w:r w:rsidR="006B2301" w:rsidRPr="009E0FBC">
              <w:rPr>
                <w:rFonts w:hint="eastAsia"/>
                <w:sz w:val="24"/>
                <w:szCs w:val="24"/>
              </w:rPr>
              <w:t>公司</w:t>
            </w:r>
            <w:r w:rsidRPr="009E0FBC">
              <w:rPr>
                <w:rFonts w:hint="eastAsia"/>
                <w:sz w:val="24"/>
                <w:szCs w:val="24"/>
              </w:rPr>
              <w:t>在推动的</w:t>
            </w:r>
            <w:r w:rsidR="00291C35">
              <w:rPr>
                <w:rFonts w:hint="eastAsia"/>
                <w:sz w:val="24"/>
                <w:szCs w:val="24"/>
              </w:rPr>
              <w:t>，</w:t>
            </w:r>
            <w:r w:rsidRPr="009E0FBC">
              <w:rPr>
                <w:rFonts w:hint="eastAsia"/>
                <w:sz w:val="24"/>
                <w:szCs w:val="24"/>
              </w:rPr>
              <w:t>第一个是利用各级行业各级地区的组织架构发布消费券，目前</w:t>
            </w:r>
            <w:r w:rsidR="00291C35">
              <w:rPr>
                <w:rFonts w:hint="eastAsia"/>
                <w:sz w:val="24"/>
                <w:szCs w:val="24"/>
              </w:rPr>
              <w:t>公司</w:t>
            </w:r>
            <w:r w:rsidRPr="009E0FBC">
              <w:rPr>
                <w:rFonts w:hint="eastAsia"/>
                <w:sz w:val="24"/>
                <w:szCs w:val="24"/>
              </w:rPr>
              <w:t>在全国</w:t>
            </w:r>
            <w:r w:rsidR="006B2301" w:rsidRPr="009E0FBC">
              <w:rPr>
                <w:rFonts w:hint="eastAsia"/>
                <w:sz w:val="24"/>
                <w:szCs w:val="24"/>
              </w:rPr>
              <w:t>大部分城市都和</w:t>
            </w:r>
            <w:r w:rsidRPr="009E0FBC">
              <w:rPr>
                <w:rFonts w:hint="eastAsia"/>
                <w:sz w:val="24"/>
                <w:szCs w:val="24"/>
              </w:rPr>
              <w:t>各地</w:t>
            </w:r>
            <w:r w:rsidR="00FB066E">
              <w:rPr>
                <w:rFonts w:hint="eastAsia"/>
                <w:sz w:val="24"/>
                <w:szCs w:val="24"/>
              </w:rPr>
              <w:t>的商务委</w:t>
            </w:r>
            <w:r w:rsidR="006B2301" w:rsidRPr="009E0FBC">
              <w:rPr>
                <w:rFonts w:hint="eastAsia"/>
                <w:sz w:val="24"/>
                <w:szCs w:val="24"/>
              </w:rPr>
              <w:t>联合发</w:t>
            </w:r>
            <w:r w:rsidR="00FB066E">
              <w:rPr>
                <w:rFonts w:hint="eastAsia"/>
                <w:sz w:val="24"/>
                <w:szCs w:val="24"/>
              </w:rPr>
              <w:t>放家居</w:t>
            </w:r>
            <w:r w:rsidR="006B2301" w:rsidRPr="009E0FBC">
              <w:rPr>
                <w:rFonts w:hint="eastAsia"/>
                <w:sz w:val="24"/>
                <w:szCs w:val="24"/>
              </w:rPr>
              <w:t>消费券；</w:t>
            </w:r>
            <w:r w:rsidRPr="009E0FBC">
              <w:rPr>
                <w:rFonts w:hint="eastAsia"/>
                <w:sz w:val="24"/>
                <w:szCs w:val="24"/>
              </w:rPr>
              <w:t>第二，</w:t>
            </w:r>
            <w:r w:rsidR="006B2301" w:rsidRPr="009E0FBC">
              <w:rPr>
                <w:rFonts w:hint="eastAsia"/>
                <w:sz w:val="24"/>
                <w:szCs w:val="24"/>
              </w:rPr>
              <w:t>响应号召，公司</w:t>
            </w:r>
            <w:r w:rsidRPr="009E0FBC">
              <w:rPr>
                <w:rFonts w:hint="eastAsia"/>
                <w:sz w:val="24"/>
                <w:szCs w:val="24"/>
              </w:rPr>
              <w:t>和行业里面的主力品牌</w:t>
            </w:r>
            <w:r w:rsidR="006B2301" w:rsidRPr="009E0FBC">
              <w:rPr>
                <w:rFonts w:hint="eastAsia"/>
                <w:sz w:val="24"/>
                <w:szCs w:val="24"/>
              </w:rPr>
              <w:t>，如</w:t>
            </w:r>
            <w:r w:rsidR="00291C35">
              <w:rPr>
                <w:rFonts w:hint="eastAsia"/>
                <w:sz w:val="24"/>
                <w:szCs w:val="24"/>
              </w:rPr>
              <w:t>一些</w:t>
            </w:r>
            <w:r w:rsidR="006B2301" w:rsidRPr="009E0FBC">
              <w:rPr>
                <w:rFonts w:hint="eastAsia"/>
                <w:sz w:val="24"/>
                <w:szCs w:val="24"/>
              </w:rPr>
              <w:t>床垫、沙发企业</w:t>
            </w:r>
            <w:r w:rsidRPr="009E0FBC">
              <w:rPr>
                <w:rFonts w:hint="eastAsia"/>
                <w:sz w:val="24"/>
                <w:szCs w:val="24"/>
              </w:rPr>
              <w:t>共同推</w:t>
            </w:r>
            <w:r w:rsidR="00F53907">
              <w:rPr>
                <w:rFonts w:hint="eastAsia"/>
                <w:sz w:val="24"/>
                <w:szCs w:val="24"/>
              </w:rPr>
              <w:t>出以旧换新的活动；第三，推动家居</w:t>
            </w:r>
            <w:r w:rsidR="006B2301" w:rsidRPr="009E0FBC">
              <w:rPr>
                <w:rFonts w:hint="eastAsia"/>
                <w:sz w:val="24"/>
                <w:szCs w:val="24"/>
              </w:rPr>
              <w:t>焕新</w:t>
            </w:r>
            <w:r w:rsidRPr="009E0FBC">
              <w:rPr>
                <w:rFonts w:hint="eastAsia"/>
                <w:sz w:val="24"/>
                <w:szCs w:val="24"/>
              </w:rPr>
              <w:t>，</w:t>
            </w:r>
            <w:r w:rsidR="006B2301" w:rsidRPr="009E0FBC">
              <w:rPr>
                <w:rFonts w:hint="eastAsia"/>
                <w:sz w:val="24"/>
                <w:szCs w:val="24"/>
              </w:rPr>
              <w:t>由商务部主导，将于</w:t>
            </w:r>
            <w:r w:rsidRPr="009E0FBC">
              <w:rPr>
                <w:rFonts w:hint="eastAsia"/>
                <w:sz w:val="24"/>
                <w:szCs w:val="24"/>
              </w:rPr>
              <w:t>9</w:t>
            </w:r>
            <w:r w:rsidRPr="009E0FBC">
              <w:rPr>
                <w:rFonts w:hint="eastAsia"/>
                <w:sz w:val="24"/>
                <w:szCs w:val="24"/>
              </w:rPr>
              <w:t>月</w:t>
            </w:r>
            <w:r w:rsidRPr="009E0FBC">
              <w:rPr>
                <w:rFonts w:hint="eastAsia"/>
                <w:sz w:val="24"/>
                <w:szCs w:val="24"/>
              </w:rPr>
              <w:t>7</w:t>
            </w:r>
            <w:r w:rsidRPr="009E0FBC">
              <w:rPr>
                <w:rFonts w:hint="eastAsia"/>
                <w:sz w:val="24"/>
                <w:szCs w:val="24"/>
              </w:rPr>
              <w:t>号</w:t>
            </w:r>
            <w:r w:rsidR="006B2301" w:rsidRPr="009E0FBC">
              <w:rPr>
                <w:rFonts w:hint="eastAsia"/>
                <w:sz w:val="24"/>
                <w:szCs w:val="24"/>
              </w:rPr>
              <w:t>举办</w:t>
            </w:r>
            <w:r w:rsidR="006B2301" w:rsidRPr="009E0FBC">
              <w:rPr>
                <w:rFonts w:hint="eastAsia"/>
                <w:sz w:val="24"/>
                <w:szCs w:val="24"/>
              </w:rPr>
              <w:t>2023</w:t>
            </w:r>
            <w:r w:rsidR="006B2301" w:rsidRPr="009E0FBC">
              <w:rPr>
                <w:rFonts w:hint="eastAsia"/>
                <w:sz w:val="24"/>
                <w:szCs w:val="24"/>
              </w:rPr>
              <w:t>家居焕新消费季启动仪式</w:t>
            </w:r>
            <w:r w:rsidR="009E0FBC" w:rsidRPr="009E0FBC">
              <w:rPr>
                <w:rFonts w:hint="eastAsia"/>
                <w:sz w:val="24"/>
                <w:szCs w:val="24"/>
              </w:rPr>
              <w:t>。同时，在商务部的号召之下，以及公司的</w:t>
            </w:r>
            <w:r w:rsidRPr="009E0FBC">
              <w:rPr>
                <w:rFonts w:hint="eastAsia"/>
                <w:sz w:val="24"/>
                <w:szCs w:val="24"/>
              </w:rPr>
              <w:t>组织之下，</w:t>
            </w:r>
            <w:r w:rsidR="009E0FBC" w:rsidRPr="009E0FBC">
              <w:rPr>
                <w:rFonts w:hint="eastAsia"/>
                <w:sz w:val="24"/>
                <w:szCs w:val="24"/>
              </w:rPr>
              <w:t xml:space="preserve"> </w:t>
            </w:r>
            <w:r w:rsidRPr="009E0FBC">
              <w:rPr>
                <w:rFonts w:hint="eastAsia"/>
                <w:sz w:val="24"/>
                <w:szCs w:val="24"/>
              </w:rPr>
              <w:t>9</w:t>
            </w:r>
            <w:r w:rsidR="009E0FBC" w:rsidRPr="009E0FBC">
              <w:rPr>
                <w:rFonts w:hint="eastAsia"/>
                <w:sz w:val="24"/>
                <w:szCs w:val="24"/>
              </w:rPr>
              <w:t>月开始，</w:t>
            </w:r>
            <w:r w:rsidRPr="009E0FBC">
              <w:rPr>
                <w:rFonts w:hint="eastAsia"/>
                <w:sz w:val="24"/>
                <w:szCs w:val="24"/>
              </w:rPr>
              <w:t>各大品牌</w:t>
            </w:r>
            <w:r w:rsidR="009E0FBC" w:rsidRPr="009E0FBC">
              <w:rPr>
                <w:rFonts w:hint="eastAsia"/>
                <w:sz w:val="24"/>
                <w:szCs w:val="24"/>
              </w:rPr>
              <w:t>和工厂针对目前的市场将</w:t>
            </w:r>
            <w:r w:rsidRPr="009E0FBC">
              <w:rPr>
                <w:rFonts w:hint="eastAsia"/>
                <w:sz w:val="24"/>
                <w:szCs w:val="24"/>
              </w:rPr>
              <w:t>发布</w:t>
            </w:r>
            <w:r w:rsidR="009E0FBC" w:rsidRPr="009E0FBC">
              <w:rPr>
                <w:rFonts w:hint="eastAsia"/>
                <w:sz w:val="24"/>
                <w:szCs w:val="24"/>
              </w:rPr>
              <w:t>面向</w:t>
            </w:r>
            <w:r w:rsidRPr="009E0FBC">
              <w:rPr>
                <w:rFonts w:hint="eastAsia"/>
                <w:sz w:val="24"/>
                <w:szCs w:val="24"/>
              </w:rPr>
              <w:t>2024</w:t>
            </w:r>
            <w:r w:rsidR="009E0FBC" w:rsidRPr="009E0FBC">
              <w:rPr>
                <w:rFonts w:hint="eastAsia"/>
                <w:sz w:val="24"/>
                <w:szCs w:val="24"/>
              </w:rPr>
              <w:t>年的新</w:t>
            </w:r>
            <w:r w:rsidRPr="009E0FBC">
              <w:rPr>
                <w:rFonts w:hint="eastAsia"/>
                <w:sz w:val="24"/>
                <w:szCs w:val="24"/>
              </w:rPr>
              <w:t>产品，</w:t>
            </w:r>
            <w:r w:rsidR="009E0FBC" w:rsidRPr="009E0FBC">
              <w:rPr>
                <w:rFonts w:hint="eastAsia"/>
                <w:sz w:val="24"/>
                <w:szCs w:val="24"/>
              </w:rPr>
              <w:t>以刺激市场的复苏</w:t>
            </w:r>
            <w:r w:rsidRPr="009E0FB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436F2" w:rsidTr="00AE644F">
        <w:trPr>
          <w:trHeight w:val="503"/>
        </w:trPr>
        <w:tc>
          <w:tcPr>
            <w:tcW w:w="1908" w:type="dxa"/>
            <w:vAlign w:val="center"/>
          </w:tcPr>
          <w:p w:rsidR="004436F2" w:rsidRDefault="004436F2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380" w:type="dxa"/>
          </w:tcPr>
          <w:p w:rsidR="004436F2" w:rsidRDefault="0023265F" w:rsidP="00AE644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4436F2" w:rsidTr="00AE644F">
        <w:tc>
          <w:tcPr>
            <w:tcW w:w="1908" w:type="dxa"/>
            <w:vAlign w:val="center"/>
          </w:tcPr>
          <w:p w:rsidR="004436F2" w:rsidRDefault="004436F2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4436F2" w:rsidRDefault="004436F2" w:rsidP="001C7A3C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D5607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D56071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A5096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A5096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4436F2" w:rsidRDefault="004436F2" w:rsidP="00826C16"/>
    <w:sectPr w:rsidR="004436F2">
      <w:footerReference w:type="even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7F" w:rsidRDefault="002B717F">
      <w:r>
        <w:separator/>
      </w:r>
    </w:p>
  </w:endnote>
  <w:endnote w:type="continuationSeparator" w:id="0">
    <w:p w:rsidR="002B717F" w:rsidRDefault="002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01" w:rsidRDefault="006B2301">
    <w:pPr>
      <w:pStyle w:val="a9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B2301" w:rsidRDefault="006B23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7F" w:rsidRDefault="002B717F">
      <w:r>
        <w:separator/>
      </w:r>
    </w:p>
  </w:footnote>
  <w:footnote w:type="continuationSeparator" w:id="0">
    <w:p w:rsidR="002B717F" w:rsidRDefault="002B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3D73215"/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abstractNum w:abstractNumId="2">
    <w:nsid w:val="7A6C46A9"/>
    <w:multiLevelType w:val="hybridMultilevel"/>
    <w:tmpl w:val="7CC8694C"/>
    <w:lvl w:ilvl="0" w:tplc="3878A8FC">
      <w:start w:val="1"/>
      <w:numFmt w:val="decimal"/>
      <w:lvlText w:val="（%1）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F6"/>
    <w:rsid w:val="00004BFB"/>
    <w:rsid w:val="00010AAE"/>
    <w:rsid w:val="00012403"/>
    <w:rsid w:val="00013502"/>
    <w:rsid w:val="00014002"/>
    <w:rsid w:val="000148EC"/>
    <w:rsid w:val="00020110"/>
    <w:rsid w:val="00023AD8"/>
    <w:rsid w:val="000242D4"/>
    <w:rsid w:val="00027543"/>
    <w:rsid w:val="00027E91"/>
    <w:rsid w:val="000325CB"/>
    <w:rsid w:val="00033F3E"/>
    <w:rsid w:val="0003412E"/>
    <w:rsid w:val="00040106"/>
    <w:rsid w:val="00040588"/>
    <w:rsid w:val="00043B1A"/>
    <w:rsid w:val="000441A5"/>
    <w:rsid w:val="00046C00"/>
    <w:rsid w:val="00053029"/>
    <w:rsid w:val="000607C6"/>
    <w:rsid w:val="00060AA6"/>
    <w:rsid w:val="0006194A"/>
    <w:rsid w:val="0007492A"/>
    <w:rsid w:val="00074A14"/>
    <w:rsid w:val="00077D4A"/>
    <w:rsid w:val="00077E40"/>
    <w:rsid w:val="00082533"/>
    <w:rsid w:val="0008640A"/>
    <w:rsid w:val="000951EF"/>
    <w:rsid w:val="00095821"/>
    <w:rsid w:val="00095AE5"/>
    <w:rsid w:val="00097616"/>
    <w:rsid w:val="000A06A2"/>
    <w:rsid w:val="000A1164"/>
    <w:rsid w:val="000A2B49"/>
    <w:rsid w:val="000A65BE"/>
    <w:rsid w:val="000C1592"/>
    <w:rsid w:val="000C3A39"/>
    <w:rsid w:val="000C5505"/>
    <w:rsid w:val="000C5CAF"/>
    <w:rsid w:val="000C6844"/>
    <w:rsid w:val="000E02A5"/>
    <w:rsid w:val="000E0457"/>
    <w:rsid w:val="000E1EE0"/>
    <w:rsid w:val="000E1EFF"/>
    <w:rsid w:val="000E250D"/>
    <w:rsid w:val="000E779B"/>
    <w:rsid w:val="000F4D10"/>
    <w:rsid w:val="00100779"/>
    <w:rsid w:val="0010340D"/>
    <w:rsid w:val="00103694"/>
    <w:rsid w:val="00105798"/>
    <w:rsid w:val="0010695A"/>
    <w:rsid w:val="001069B6"/>
    <w:rsid w:val="001120CF"/>
    <w:rsid w:val="00112A62"/>
    <w:rsid w:val="00114076"/>
    <w:rsid w:val="0011407A"/>
    <w:rsid w:val="001174F6"/>
    <w:rsid w:val="00120989"/>
    <w:rsid w:val="00123567"/>
    <w:rsid w:val="00123EDA"/>
    <w:rsid w:val="001277C8"/>
    <w:rsid w:val="00127A09"/>
    <w:rsid w:val="00130349"/>
    <w:rsid w:val="00131D3A"/>
    <w:rsid w:val="00134A1E"/>
    <w:rsid w:val="00137C53"/>
    <w:rsid w:val="00143CAE"/>
    <w:rsid w:val="00146232"/>
    <w:rsid w:val="00154179"/>
    <w:rsid w:val="0015715E"/>
    <w:rsid w:val="00160BE1"/>
    <w:rsid w:val="001614F5"/>
    <w:rsid w:val="00164311"/>
    <w:rsid w:val="00164572"/>
    <w:rsid w:val="00171841"/>
    <w:rsid w:val="00172542"/>
    <w:rsid w:val="00172A27"/>
    <w:rsid w:val="00173488"/>
    <w:rsid w:val="00174860"/>
    <w:rsid w:val="00176A4C"/>
    <w:rsid w:val="0017761E"/>
    <w:rsid w:val="001813A6"/>
    <w:rsid w:val="00181DBE"/>
    <w:rsid w:val="00185CDE"/>
    <w:rsid w:val="001863B9"/>
    <w:rsid w:val="001929E4"/>
    <w:rsid w:val="001931EF"/>
    <w:rsid w:val="00195BF9"/>
    <w:rsid w:val="00196804"/>
    <w:rsid w:val="001A0FE8"/>
    <w:rsid w:val="001A1A1C"/>
    <w:rsid w:val="001A316C"/>
    <w:rsid w:val="001A337B"/>
    <w:rsid w:val="001A346B"/>
    <w:rsid w:val="001A439A"/>
    <w:rsid w:val="001A755C"/>
    <w:rsid w:val="001A780A"/>
    <w:rsid w:val="001B0C4A"/>
    <w:rsid w:val="001B0D38"/>
    <w:rsid w:val="001B27CC"/>
    <w:rsid w:val="001B4293"/>
    <w:rsid w:val="001C03DE"/>
    <w:rsid w:val="001C0B30"/>
    <w:rsid w:val="001C1271"/>
    <w:rsid w:val="001C49D8"/>
    <w:rsid w:val="001C4E51"/>
    <w:rsid w:val="001C4EA5"/>
    <w:rsid w:val="001C7A3C"/>
    <w:rsid w:val="001D0B84"/>
    <w:rsid w:val="001D4251"/>
    <w:rsid w:val="001D4D3A"/>
    <w:rsid w:val="001D58CD"/>
    <w:rsid w:val="001E1C68"/>
    <w:rsid w:val="001E2141"/>
    <w:rsid w:val="001F0451"/>
    <w:rsid w:val="001F18F4"/>
    <w:rsid w:val="001F2D63"/>
    <w:rsid w:val="001F55F7"/>
    <w:rsid w:val="001F59BD"/>
    <w:rsid w:val="00203267"/>
    <w:rsid w:val="00205C5A"/>
    <w:rsid w:val="00205CB2"/>
    <w:rsid w:val="002078F5"/>
    <w:rsid w:val="002117D3"/>
    <w:rsid w:val="002135C1"/>
    <w:rsid w:val="00213EE3"/>
    <w:rsid w:val="0022021E"/>
    <w:rsid w:val="00221D18"/>
    <w:rsid w:val="002227DA"/>
    <w:rsid w:val="0022321C"/>
    <w:rsid w:val="00225F06"/>
    <w:rsid w:val="002262D2"/>
    <w:rsid w:val="00226F37"/>
    <w:rsid w:val="00227C8D"/>
    <w:rsid w:val="00230E41"/>
    <w:rsid w:val="0023234B"/>
    <w:rsid w:val="0023265F"/>
    <w:rsid w:val="002330EE"/>
    <w:rsid w:val="00241E48"/>
    <w:rsid w:val="00242C08"/>
    <w:rsid w:val="00243A86"/>
    <w:rsid w:val="002466EC"/>
    <w:rsid w:val="00251689"/>
    <w:rsid w:val="00252833"/>
    <w:rsid w:val="00254272"/>
    <w:rsid w:val="002548BC"/>
    <w:rsid w:val="00257226"/>
    <w:rsid w:val="00257594"/>
    <w:rsid w:val="002636C9"/>
    <w:rsid w:val="00271998"/>
    <w:rsid w:val="00271A53"/>
    <w:rsid w:val="0027457D"/>
    <w:rsid w:val="00275861"/>
    <w:rsid w:val="0028036C"/>
    <w:rsid w:val="0028206F"/>
    <w:rsid w:val="00285F70"/>
    <w:rsid w:val="00286BCF"/>
    <w:rsid w:val="00287F09"/>
    <w:rsid w:val="002904F1"/>
    <w:rsid w:val="0029114F"/>
    <w:rsid w:val="00291C35"/>
    <w:rsid w:val="00291ED6"/>
    <w:rsid w:val="002936CD"/>
    <w:rsid w:val="00294F4E"/>
    <w:rsid w:val="002A0DFC"/>
    <w:rsid w:val="002A5040"/>
    <w:rsid w:val="002B1D46"/>
    <w:rsid w:val="002B1D88"/>
    <w:rsid w:val="002B2D0A"/>
    <w:rsid w:val="002B31E5"/>
    <w:rsid w:val="002B717F"/>
    <w:rsid w:val="002C46D5"/>
    <w:rsid w:val="002C5AED"/>
    <w:rsid w:val="002D74B8"/>
    <w:rsid w:val="002E0A2C"/>
    <w:rsid w:val="002E49B2"/>
    <w:rsid w:val="002E56DC"/>
    <w:rsid w:val="002F1322"/>
    <w:rsid w:val="00305D0E"/>
    <w:rsid w:val="003108F0"/>
    <w:rsid w:val="00315684"/>
    <w:rsid w:val="00325C10"/>
    <w:rsid w:val="00327047"/>
    <w:rsid w:val="00327A29"/>
    <w:rsid w:val="0033198F"/>
    <w:rsid w:val="00336280"/>
    <w:rsid w:val="003402A4"/>
    <w:rsid w:val="00340D8D"/>
    <w:rsid w:val="00341246"/>
    <w:rsid w:val="0034635F"/>
    <w:rsid w:val="00353370"/>
    <w:rsid w:val="00357239"/>
    <w:rsid w:val="00357645"/>
    <w:rsid w:val="00363067"/>
    <w:rsid w:val="0036322F"/>
    <w:rsid w:val="003650E2"/>
    <w:rsid w:val="00367530"/>
    <w:rsid w:val="00374679"/>
    <w:rsid w:val="003831E5"/>
    <w:rsid w:val="00384C33"/>
    <w:rsid w:val="00385B9F"/>
    <w:rsid w:val="00393259"/>
    <w:rsid w:val="003959F3"/>
    <w:rsid w:val="00395D49"/>
    <w:rsid w:val="003B18E5"/>
    <w:rsid w:val="003B248C"/>
    <w:rsid w:val="003C292A"/>
    <w:rsid w:val="003C3FBB"/>
    <w:rsid w:val="003C5AA8"/>
    <w:rsid w:val="003C5F0B"/>
    <w:rsid w:val="003D39CD"/>
    <w:rsid w:val="003D4FAE"/>
    <w:rsid w:val="003E11AF"/>
    <w:rsid w:val="003E1966"/>
    <w:rsid w:val="003E1FC3"/>
    <w:rsid w:val="003E6E0B"/>
    <w:rsid w:val="003E7075"/>
    <w:rsid w:val="00400483"/>
    <w:rsid w:val="00402152"/>
    <w:rsid w:val="00402CE7"/>
    <w:rsid w:val="0040383B"/>
    <w:rsid w:val="0041051D"/>
    <w:rsid w:val="00416E2A"/>
    <w:rsid w:val="00417FF0"/>
    <w:rsid w:val="00422E10"/>
    <w:rsid w:val="0042394F"/>
    <w:rsid w:val="00431D4D"/>
    <w:rsid w:val="00432D02"/>
    <w:rsid w:val="0043461B"/>
    <w:rsid w:val="004362EB"/>
    <w:rsid w:val="004378AA"/>
    <w:rsid w:val="00437E7C"/>
    <w:rsid w:val="004436F2"/>
    <w:rsid w:val="0044496A"/>
    <w:rsid w:val="00451210"/>
    <w:rsid w:val="00455058"/>
    <w:rsid w:val="00457C87"/>
    <w:rsid w:val="004605C6"/>
    <w:rsid w:val="00461369"/>
    <w:rsid w:val="0046618D"/>
    <w:rsid w:val="004663A6"/>
    <w:rsid w:val="0046787F"/>
    <w:rsid w:val="00470B39"/>
    <w:rsid w:val="004717D2"/>
    <w:rsid w:val="0047189E"/>
    <w:rsid w:val="004729DE"/>
    <w:rsid w:val="00473639"/>
    <w:rsid w:val="00474FB3"/>
    <w:rsid w:val="0048032E"/>
    <w:rsid w:val="0048128D"/>
    <w:rsid w:val="00481387"/>
    <w:rsid w:val="004824FF"/>
    <w:rsid w:val="004838D5"/>
    <w:rsid w:val="0049699A"/>
    <w:rsid w:val="004978E0"/>
    <w:rsid w:val="004A124D"/>
    <w:rsid w:val="004A3F12"/>
    <w:rsid w:val="004B02D6"/>
    <w:rsid w:val="004B1064"/>
    <w:rsid w:val="004B151B"/>
    <w:rsid w:val="004B3F1D"/>
    <w:rsid w:val="004B5FA8"/>
    <w:rsid w:val="004B6C1D"/>
    <w:rsid w:val="004B7047"/>
    <w:rsid w:val="004B7E44"/>
    <w:rsid w:val="004C1DA6"/>
    <w:rsid w:val="004C246C"/>
    <w:rsid w:val="004C6C52"/>
    <w:rsid w:val="004D100B"/>
    <w:rsid w:val="004D1203"/>
    <w:rsid w:val="004D4B78"/>
    <w:rsid w:val="004D5C90"/>
    <w:rsid w:val="004D6629"/>
    <w:rsid w:val="004E4D1E"/>
    <w:rsid w:val="004E5A62"/>
    <w:rsid w:val="004F3437"/>
    <w:rsid w:val="00501D64"/>
    <w:rsid w:val="005020DF"/>
    <w:rsid w:val="005022DA"/>
    <w:rsid w:val="005074CD"/>
    <w:rsid w:val="00507B31"/>
    <w:rsid w:val="0051106C"/>
    <w:rsid w:val="00512EC1"/>
    <w:rsid w:val="0051627B"/>
    <w:rsid w:val="00521ABA"/>
    <w:rsid w:val="0052207A"/>
    <w:rsid w:val="00522720"/>
    <w:rsid w:val="00523524"/>
    <w:rsid w:val="00523C75"/>
    <w:rsid w:val="0052653B"/>
    <w:rsid w:val="0052780E"/>
    <w:rsid w:val="00527E3A"/>
    <w:rsid w:val="005315EB"/>
    <w:rsid w:val="00532956"/>
    <w:rsid w:val="005340B9"/>
    <w:rsid w:val="00534F86"/>
    <w:rsid w:val="00536B2F"/>
    <w:rsid w:val="00542067"/>
    <w:rsid w:val="005423E8"/>
    <w:rsid w:val="0055768B"/>
    <w:rsid w:val="00562DA1"/>
    <w:rsid w:val="00562F21"/>
    <w:rsid w:val="00570DFE"/>
    <w:rsid w:val="00573E1F"/>
    <w:rsid w:val="005828AA"/>
    <w:rsid w:val="00590896"/>
    <w:rsid w:val="005912C5"/>
    <w:rsid w:val="00593140"/>
    <w:rsid w:val="00596838"/>
    <w:rsid w:val="005A0027"/>
    <w:rsid w:val="005A615A"/>
    <w:rsid w:val="005A6220"/>
    <w:rsid w:val="005B0815"/>
    <w:rsid w:val="005B5D91"/>
    <w:rsid w:val="005C1165"/>
    <w:rsid w:val="005C183B"/>
    <w:rsid w:val="005C7068"/>
    <w:rsid w:val="005D2A87"/>
    <w:rsid w:val="005D7F0F"/>
    <w:rsid w:val="005E16A1"/>
    <w:rsid w:val="005E22A1"/>
    <w:rsid w:val="005E5919"/>
    <w:rsid w:val="005E7168"/>
    <w:rsid w:val="005F4BAB"/>
    <w:rsid w:val="006017B6"/>
    <w:rsid w:val="00603688"/>
    <w:rsid w:val="0060613A"/>
    <w:rsid w:val="00614DC2"/>
    <w:rsid w:val="00616EE1"/>
    <w:rsid w:val="00616FFB"/>
    <w:rsid w:val="00622457"/>
    <w:rsid w:val="00622ACA"/>
    <w:rsid w:val="006269AB"/>
    <w:rsid w:val="00630A84"/>
    <w:rsid w:val="00633D57"/>
    <w:rsid w:val="0063440B"/>
    <w:rsid w:val="00636EB0"/>
    <w:rsid w:val="0063709E"/>
    <w:rsid w:val="0064027E"/>
    <w:rsid w:val="00640634"/>
    <w:rsid w:val="0064066F"/>
    <w:rsid w:val="00641925"/>
    <w:rsid w:val="006431C2"/>
    <w:rsid w:val="006459FF"/>
    <w:rsid w:val="00647086"/>
    <w:rsid w:val="00647639"/>
    <w:rsid w:val="006478AF"/>
    <w:rsid w:val="006533A1"/>
    <w:rsid w:val="00655B21"/>
    <w:rsid w:val="00664A8D"/>
    <w:rsid w:val="00665883"/>
    <w:rsid w:val="00666A16"/>
    <w:rsid w:val="00670608"/>
    <w:rsid w:val="00670A3A"/>
    <w:rsid w:val="006770D1"/>
    <w:rsid w:val="006811B9"/>
    <w:rsid w:val="00691AAD"/>
    <w:rsid w:val="0069625B"/>
    <w:rsid w:val="0069684A"/>
    <w:rsid w:val="006A213D"/>
    <w:rsid w:val="006A6A0F"/>
    <w:rsid w:val="006B2301"/>
    <w:rsid w:val="006B2740"/>
    <w:rsid w:val="006B2851"/>
    <w:rsid w:val="006B76D0"/>
    <w:rsid w:val="006C4EC3"/>
    <w:rsid w:val="006C5C11"/>
    <w:rsid w:val="006D4264"/>
    <w:rsid w:val="006D5979"/>
    <w:rsid w:val="006D7471"/>
    <w:rsid w:val="006D7E7D"/>
    <w:rsid w:val="006E46A1"/>
    <w:rsid w:val="0070144E"/>
    <w:rsid w:val="00701CFF"/>
    <w:rsid w:val="0070541E"/>
    <w:rsid w:val="00707D64"/>
    <w:rsid w:val="00710B29"/>
    <w:rsid w:val="00714B7C"/>
    <w:rsid w:val="007156D2"/>
    <w:rsid w:val="00717686"/>
    <w:rsid w:val="0071790D"/>
    <w:rsid w:val="00720291"/>
    <w:rsid w:val="00720518"/>
    <w:rsid w:val="007225EF"/>
    <w:rsid w:val="0072345F"/>
    <w:rsid w:val="00724F45"/>
    <w:rsid w:val="00735DC0"/>
    <w:rsid w:val="007404C2"/>
    <w:rsid w:val="00741D47"/>
    <w:rsid w:val="00743C93"/>
    <w:rsid w:val="00743F0D"/>
    <w:rsid w:val="00744454"/>
    <w:rsid w:val="00756A63"/>
    <w:rsid w:val="00756D79"/>
    <w:rsid w:val="00757B8B"/>
    <w:rsid w:val="00760F28"/>
    <w:rsid w:val="00762078"/>
    <w:rsid w:val="00767B3B"/>
    <w:rsid w:val="007701EC"/>
    <w:rsid w:val="00770710"/>
    <w:rsid w:val="007714FB"/>
    <w:rsid w:val="00772A3E"/>
    <w:rsid w:val="00772E34"/>
    <w:rsid w:val="00777B52"/>
    <w:rsid w:val="007804DF"/>
    <w:rsid w:val="00780B38"/>
    <w:rsid w:val="007812B2"/>
    <w:rsid w:val="00785484"/>
    <w:rsid w:val="007869EC"/>
    <w:rsid w:val="007912A6"/>
    <w:rsid w:val="007915AB"/>
    <w:rsid w:val="007944CF"/>
    <w:rsid w:val="00794712"/>
    <w:rsid w:val="007A0411"/>
    <w:rsid w:val="007A4FE6"/>
    <w:rsid w:val="007A64DE"/>
    <w:rsid w:val="007B4F53"/>
    <w:rsid w:val="007B7FDA"/>
    <w:rsid w:val="007C3C21"/>
    <w:rsid w:val="007C48DA"/>
    <w:rsid w:val="007C6906"/>
    <w:rsid w:val="007C6CA8"/>
    <w:rsid w:val="007C6DD8"/>
    <w:rsid w:val="007C7C24"/>
    <w:rsid w:val="007D5178"/>
    <w:rsid w:val="007D65AF"/>
    <w:rsid w:val="007D76FA"/>
    <w:rsid w:val="007E04D6"/>
    <w:rsid w:val="007E3A02"/>
    <w:rsid w:val="007E55C0"/>
    <w:rsid w:val="007F0F75"/>
    <w:rsid w:val="007F2ECB"/>
    <w:rsid w:val="00800588"/>
    <w:rsid w:val="00806735"/>
    <w:rsid w:val="00810C57"/>
    <w:rsid w:val="00810F7A"/>
    <w:rsid w:val="00813DCA"/>
    <w:rsid w:val="00814C90"/>
    <w:rsid w:val="00817AA3"/>
    <w:rsid w:val="008240C4"/>
    <w:rsid w:val="0082427B"/>
    <w:rsid w:val="00824B9C"/>
    <w:rsid w:val="0082617C"/>
    <w:rsid w:val="008267CA"/>
    <w:rsid w:val="00826C16"/>
    <w:rsid w:val="00827C2D"/>
    <w:rsid w:val="0083089B"/>
    <w:rsid w:val="008319CD"/>
    <w:rsid w:val="00837601"/>
    <w:rsid w:val="00842212"/>
    <w:rsid w:val="008444B1"/>
    <w:rsid w:val="008464D9"/>
    <w:rsid w:val="0085170D"/>
    <w:rsid w:val="0085184E"/>
    <w:rsid w:val="00854D00"/>
    <w:rsid w:val="00861957"/>
    <w:rsid w:val="00863DD6"/>
    <w:rsid w:val="00875955"/>
    <w:rsid w:val="00880DF0"/>
    <w:rsid w:val="008813DC"/>
    <w:rsid w:val="008834DF"/>
    <w:rsid w:val="008876C1"/>
    <w:rsid w:val="0089014B"/>
    <w:rsid w:val="00896EEA"/>
    <w:rsid w:val="008A7EE4"/>
    <w:rsid w:val="008B0F5F"/>
    <w:rsid w:val="008B15BE"/>
    <w:rsid w:val="008B2F14"/>
    <w:rsid w:val="008B5609"/>
    <w:rsid w:val="008B711C"/>
    <w:rsid w:val="008B7EE7"/>
    <w:rsid w:val="008C415C"/>
    <w:rsid w:val="008C612C"/>
    <w:rsid w:val="008D029F"/>
    <w:rsid w:val="008D065A"/>
    <w:rsid w:val="008D5193"/>
    <w:rsid w:val="008D5C0F"/>
    <w:rsid w:val="008D63AA"/>
    <w:rsid w:val="008D7BB1"/>
    <w:rsid w:val="008E078D"/>
    <w:rsid w:val="008E08A9"/>
    <w:rsid w:val="008E0ED7"/>
    <w:rsid w:val="008E13B8"/>
    <w:rsid w:val="008E3E20"/>
    <w:rsid w:val="008E4B3D"/>
    <w:rsid w:val="008E7A19"/>
    <w:rsid w:val="008F534A"/>
    <w:rsid w:val="008F57DF"/>
    <w:rsid w:val="009007B5"/>
    <w:rsid w:val="00903AE7"/>
    <w:rsid w:val="00905B96"/>
    <w:rsid w:val="009113AE"/>
    <w:rsid w:val="0091366A"/>
    <w:rsid w:val="009168B7"/>
    <w:rsid w:val="00921D4D"/>
    <w:rsid w:val="00931226"/>
    <w:rsid w:val="00937C34"/>
    <w:rsid w:val="00940AF4"/>
    <w:rsid w:val="00943B2D"/>
    <w:rsid w:val="00944184"/>
    <w:rsid w:val="00953D57"/>
    <w:rsid w:val="00957D8F"/>
    <w:rsid w:val="0096128C"/>
    <w:rsid w:val="009618A2"/>
    <w:rsid w:val="00962504"/>
    <w:rsid w:val="00964B35"/>
    <w:rsid w:val="00966DDE"/>
    <w:rsid w:val="0097010B"/>
    <w:rsid w:val="00971FC3"/>
    <w:rsid w:val="00973364"/>
    <w:rsid w:val="009736C8"/>
    <w:rsid w:val="00973730"/>
    <w:rsid w:val="00976B09"/>
    <w:rsid w:val="009777E1"/>
    <w:rsid w:val="009811A2"/>
    <w:rsid w:val="009824B1"/>
    <w:rsid w:val="009976C2"/>
    <w:rsid w:val="009A131E"/>
    <w:rsid w:val="009A46B0"/>
    <w:rsid w:val="009B115B"/>
    <w:rsid w:val="009B1498"/>
    <w:rsid w:val="009B1827"/>
    <w:rsid w:val="009B1F8D"/>
    <w:rsid w:val="009B472F"/>
    <w:rsid w:val="009B54F8"/>
    <w:rsid w:val="009C2EE0"/>
    <w:rsid w:val="009C7105"/>
    <w:rsid w:val="009D0115"/>
    <w:rsid w:val="009D5548"/>
    <w:rsid w:val="009D5D9C"/>
    <w:rsid w:val="009D5E6C"/>
    <w:rsid w:val="009E0FBC"/>
    <w:rsid w:val="009E1A23"/>
    <w:rsid w:val="009E33D4"/>
    <w:rsid w:val="009E62D5"/>
    <w:rsid w:val="009E6F1C"/>
    <w:rsid w:val="009E71A3"/>
    <w:rsid w:val="00A00BF1"/>
    <w:rsid w:val="00A0192E"/>
    <w:rsid w:val="00A041C4"/>
    <w:rsid w:val="00A1525B"/>
    <w:rsid w:val="00A21276"/>
    <w:rsid w:val="00A24083"/>
    <w:rsid w:val="00A24A36"/>
    <w:rsid w:val="00A25872"/>
    <w:rsid w:val="00A27D9C"/>
    <w:rsid w:val="00A33BDB"/>
    <w:rsid w:val="00A3694C"/>
    <w:rsid w:val="00A370AF"/>
    <w:rsid w:val="00A4051A"/>
    <w:rsid w:val="00A418FB"/>
    <w:rsid w:val="00A41D8C"/>
    <w:rsid w:val="00A42919"/>
    <w:rsid w:val="00A50297"/>
    <w:rsid w:val="00A5096B"/>
    <w:rsid w:val="00A50F54"/>
    <w:rsid w:val="00A56E56"/>
    <w:rsid w:val="00A56F02"/>
    <w:rsid w:val="00A56F8F"/>
    <w:rsid w:val="00A56FCA"/>
    <w:rsid w:val="00A6364B"/>
    <w:rsid w:val="00A63AA1"/>
    <w:rsid w:val="00A64A5F"/>
    <w:rsid w:val="00A666E1"/>
    <w:rsid w:val="00A73412"/>
    <w:rsid w:val="00A73B44"/>
    <w:rsid w:val="00A74C9D"/>
    <w:rsid w:val="00A754FD"/>
    <w:rsid w:val="00A80981"/>
    <w:rsid w:val="00A80BBD"/>
    <w:rsid w:val="00A82502"/>
    <w:rsid w:val="00A95897"/>
    <w:rsid w:val="00A97CA6"/>
    <w:rsid w:val="00AA1126"/>
    <w:rsid w:val="00AA6754"/>
    <w:rsid w:val="00AA7D13"/>
    <w:rsid w:val="00AB1C5C"/>
    <w:rsid w:val="00AB5876"/>
    <w:rsid w:val="00AB591E"/>
    <w:rsid w:val="00AC3D21"/>
    <w:rsid w:val="00AC3F8A"/>
    <w:rsid w:val="00AC51B3"/>
    <w:rsid w:val="00AD1729"/>
    <w:rsid w:val="00AD1E02"/>
    <w:rsid w:val="00AD4994"/>
    <w:rsid w:val="00AD7EFD"/>
    <w:rsid w:val="00AE0D91"/>
    <w:rsid w:val="00AE1981"/>
    <w:rsid w:val="00AE26CD"/>
    <w:rsid w:val="00AE2E5E"/>
    <w:rsid w:val="00AE644F"/>
    <w:rsid w:val="00AE7AB2"/>
    <w:rsid w:val="00AF04F4"/>
    <w:rsid w:val="00AF36CC"/>
    <w:rsid w:val="00B0241A"/>
    <w:rsid w:val="00B035E6"/>
    <w:rsid w:val="00B04681"/>
    <w:rsid w:val="00B072DE"/>
    <w:rsid w:val="00B14CA8"/>
    <w:rsid w:val="00B1651D"/>
    <w:rsid w:val="00B17AE0"/>
    <w:rsid w:val="00B21ACA"/>
    <w:rsid w:val="00B21F6B"/>
    <w:rsid w:val="00B23CA1"/>
    <w:rsid w:val="00B23DE8"/>
    <w:rsid w:val="00B2478E"/>
    <w:rsid w:val="00B2513A"/>
    <w:rsid w:val="00B27FEB"/>
    <w:rsid w:val="00B338D2"/>
    <w:rsid w:val="00B33FBD"/>
    <w:rsid w:val="00B34F1F"/>
    <w:rsid w:val="00B359A3"/>
    <w:rsid w:val="00B374ED"/>
    <w:rsid w:val="00B407A6"/>
    <w:rsid w:val="00B416B8"/>
    <w:rsid w:val="00B422E3"/>
    <w:rsid w:val="00B4639A"/>
    <w:rsid w:val="00B46C15"/>
    <w:rsid w:val="00B53C5F"/>
    <w:rsid w:val="00B63770"/>
    <w:rsid w:val="00B643E7"/>
    <w:rsid w:val="00B65FAE"/>
    <w:rsid w:val="00B7259B"/>
    <w:rsid w:val="00B768F4"/>
    <w:rsid w:val="00B77F93"/>
    <w:rsid w:val="00B80AA0"/>
    <w:rsid w:val="00B81969"/>
    <w:rsid w:val="00B906D1"/>
    <w:rsid w:val="00B9126A"/>
    <w:rsid w:val="00BA276F"/>
    <w:rsid w:val="00BA530F"/>
    <w:rsid w:val="00BA54B8"/>
    <w:rsid w:val="00BA54D8"/>
    <w:rsid w:val="00BA599A"/>
    <w:rsid w:val="00BA5BE1"/>
    <w:rsid w:val="00BA6C14"/>
    <w:rsid w:val="00BB1A2D"/>
    <w:rsid w:val="00BB1E4F"/>
    <w:rsid w:val="00BB27B8"/>
    <w:rsid w:val="00BB5B62"/>
    <w:rsid w:val="00BC04D9"/>
    <w:rsid w:val="00BC2B84"/>
    <w:rsid w:val="00BC47A4"/>
    <w:rsid w:val="00BC4D1B"/>
    <w:rsid w:val="00BD3C46"/>
    <w:rsid w:val="00BD4204"/>
    <w:rsid w:val="00BE5945"/>
    <w:rsid w:val="00BE6888"/>
    <w:rsid w:val="00BF0231"/>
    <w:rsid w:val="00BF1166"/>
    <w:rsid w:val="00BF1394"/>
    <w:rsid w:val="00BF302A"/>
    <w:rsid w:val="00BF3EF2"/>
    <w:rsid w:val="00BF48B0"/>
    <w:rsid w:val="00BF6AF5"/>
    <w:rsid w:val="00C03BFA"/>
    <w:rsid w:val="00C03EFB"/>
    <w:rsid w:val="00C060FE"/>
    <w:rsid w:val="00C14838"/>
    <w:rsid w:val="00C16D6F"/>
    <w:rsid w:val="00C32B7C"/>
    <w:rsid w:val="00C42035"/>
    <w:rsid w:val="00C42AE9"/>
    <w:rsid w:val="00C4360C"/>
    <w:rsid w:val="00C53010"/>
    <w:rsid w:val="00C53D73"/>
    <w:rsid w:val="00C55C9A"/>
    <w:rsid w:val="00C62510"/>
    <w:rsid w:val="00C62963"/>
    <w:rsid w:val="00C62F2F"/>
    <w:rsid w:val="00C63573"/>
    <w:rsid w:val="00C63BDF"/>
    <w:rsid w:val="00C6602F"/>
    <w:rsid w:val="00C71D39"/>
    <w:rsid w:val="00C724A9"/>
    <w:rsid w:val="00C72612"/>
    <w:rsid w:val="00C735C2"/>
    <w:rsid w:val="00C736A1"/>
    <w:rsid w:val="00C749CF"/>
    <w:rsid w:val="00C819A5"/>
    <w:rsid w:val="00C87EDE"/>
    <w:rsid w:val="00C9234E"/>
    <w:rsid w:val="00CA0AFE"/>
    <w:rsid w:val="00CB18C6"/>
    <w:rsid w:val="00CB2884"/>
    <w:rsid w:val="00CB63B5"/>
    <w:rsid w:val="00CC0EB0"/>
    <w:rsid w:val="00CC10C0"/>
    <w:rsid w:val="00CC1BE7"/>
    <w:rsid w:val="00CC3A65"/>
    <w:rsid w:val="00CC40FF"/>
    <w:rsid w:val="00CC6BC8"/>
    <w:rsid w:val="00CC6E3B"/>
    <w:rsid w:val="00CD23BD"/>
    <w:rsid w:val="00CD4143"/>
    <w:rsid w:val="00CD56C1"/>
    <w:rsid w:val="00CD58AF"/>
    <w:rsid w:val="00CD68EF"/>
    <w:rsid w:val="00CD7337"/>
    <w:rsid w:val="00CE2056"/>
    <w:rsid w:val="00CE2EC2"/>
    <w:rsid w:val="00CF1ADD"/>
    <w:rsid w:val="00CF4526"/>
    <w:rsid w:val="00CF59FF"/>
    <w:rsid w:val="00D07CAB"/>
    <w:rsid w:val="00D07D32"/>
    <w:rsid w:val="00D13C28"/>
    <w:rsid w:val="00D1581D"/>
    <w:rsid w:val="00D160DF"/>
    <w:rsid w:val="00D166AC"/>
    <w:rsid w:val="00D216A7"/>
    <w:rsid w:val="00D21E9B"/>
    <w:rsid w:val="00D21FBA"/>
    <w:rsid w:val="00D22120"/>
    <w:rsid w:val="00D22941"/>
    <w:rsid w:val="00D23745"/>
    <w:rsid w:val="00D23F25"/>
    <w:rsid w:val="00D249CC"/>
    <w:rsid w:val="00D24B1F"/>
    <w:rsid w:val="00D2760D"/>
    <w:rsid w:val="00D30A4D"/>
    <w:rsid w:val="00D3278D"/>
    <w:rsid w:val="00D3649D"/>
    <w:rsid w:val="00D37571"/>
    <w:rsid w:val="00D412CC"/>
    <w:rsid w:val="00D41F94"/>
    <w:rsid w:val="00D47514"/>
    <w:rsid w:val="00D504B4"/>
    <w:rsid w:val="00D51538"/>
    <w:rsid w:val="00D519AB"/>
    <w:rsid w:val="00D53812"/>
    <w:rsid w:val="00D53EF0"/>
    <w:rsid w:val="00D5456D"/>
    <w:rsid w:val="00D56071"/>
    <w:rsid w:val="00D562CA"/>
    <w:rsid w:val="00D5676C"/>
    <w:rsid w:val="00D62E77"/>
    <w:rsid w:val="00D66AD5"/>
    <w:rsid w:val="00D67A19"/>
    <w:rsid w:val="00D830C0"/>
    <w:rsid w:val="00D83E03"/>
    <w:rsid w:val="00D85055"/>
    <w:rsid w:val="00D861B1"/>
    <w:rsid w:val="00D8654E"/>
    <w:rsid w:val="00D868B3"/>
    <w:rsid w:val="00D9321B"/>
    <w:rsid w:val="00D93537"/>
    <w:rsid w:val="00D94FF8"/>
    <w:rsid w:val="00D953E6"/>
    <w:rsid w:val="00D974DC"/>
    <w:rsid w:val="00DA246F"/>
    <w:rsid w:val="00DA5136"/>
    <w:rsid w:val="00DB089B"/>
    <w:rsid w:val="00DB5AA9"/>
    <w:rsid w:val="00DB64BD"/>
    <w:rsid w:val="00DB74EB"/>
    <w:rsid w:val="00DD18B1"/>
    <w:rsid w:val="00DD30D6"/>
    <w:rsid w:val="00DD594F"/>
    <w:rsid w:val="00DD5C23"/>
    <w:rsid w:val="00DE36F1"/>
    <w:rsid w:val="00DE40B7"/>
    <w:rsid w:val="00DE69DB"/>
    <w:rsid w:val="00DF249F"/>
    <w:rsid w:val="00DF5B6B"/>
    <w:rsid w:val="00DF7EF3"/>
    <w:rsid w:val="00E02318"/>
    <w:rsid w:val="00E03A14"/>
    <w:rsid w:val="00E042E7"/>
    <w:rsid w:val="00E13BC6"/>
    <w:rsid w:val="00E14440"/>
    <w:rsid w:val="00E16599"/>
    <w:rsid w:val="00E20F0D"/>
    <w:rsid w:val="00E24969"/>
    <w:rsid w:val="00E32CE2"/>
    <w:rsid w:val="00E33522"/>
    <w:rsid w:val="00E3673C"/>
    <w:rsid w:val="00E43646"/>
    <w:rsid w:val="00E4499B"/>
    <w:rsid w:val="00E457D8"/>
    <w:rsid w:val="00E51559"/>
    <w:rsid w:val="00E52B71"/>
    <w:rsid w:val="00E552E0"/>
    <w:rsid w:val="00E5540E"/>
    <w:rsid w:val="00E55FF9"/>
    <w:rsid w:val="00E602A6"/>
    <w:rsid w:val="00E60E36"/>
    <w:rsid w:val="00E62D8A"/>
    <w:rsid w:val="00E642A2"/>
    <w:rsid w:val="00E65147"/>
    <w:rsid w:val="00E654F1"/>
    <w:rsid w:val="00E662AB"/>
    <w:rsid w:val="00E71AE4"/>
    <w:rsid w:val="00E721F5"/>
    <w:rsid w:val="00E7566C"/>
    <w:rsid w:val="00E920C2"/>
    <w:rsid w:val="00E95A71"/>
    <w:rsid w:val="00E97ACA"/>
    <w:rsid w:val="00EA0D84"/>
    <w:rsid w:val="00EA1169"/>
    <w:rsid w:val="00EA2D47"/>
    <w:rsid w:val="00EA3E28"/>
    <w:rsid w:val="00EA58BC"/>
    <w:rsid w:val="00EA6BB3"/>
    <w:rsid w:val="00EB109F"/>
    <w:rsid w:val="00EB1D07"/>
    <w:rsid w:val="00EB4B5C"/>
    <w:rsid w:val="00EB4EF8"/>
    <w:rsid w:val="00EB78D2"/>
    <w:rsid w:val="00EC0B2B"/>
    <w:rsid w:val="00EC11F5"/>
    <w:rsid w:val="00EC60C0"/>
    <w:rsid w:val="00EC75E9"/>
    <w:rsid w:val="00ED240C"/>
    <w:rsid w:val="00ED3A5E"/>
    <w:rsid w:val="00ED6B97"/>
    <w:rsid w:val="00EE186A"/>
    <w:rsid w:val="00EE2DED"/>
    <w:rsid w:val="00EE3197"/>
    <w:rsid w:val="00EE65BA"/>
    <w:rsid w:val="00EF0232"/>
    <w:rsid w:val="00EF4CE2"/>
    <w:rsid w:val="00EF50AB"/>
    <w:rsid w:val="00F02CE7"/>
    <w:rsid w:val="00F042AD"/>
    <w:rsid w:val="00F10B6E"/>
    <w:rsid w:val="00F148EF"/>
    <w:rsid w:val="00F23014"/>
    <w:rsid w:val="00F25DAF"/>
    <w:rsid w:val="00F30398"/>
    <w:rsid w:val="00F41BA4"/>
    <w:rsid w:val="00F43959"/>
    <w:rsid w:val="00F50909"/>
    <w:rsid w:val="00F52313"/>
    <w:rsid w:val="00F53907"/>
    <w:rsid w:val="00F5565A"/>
    <w:rsid w:val="00F61924"/>
    <w:rsid w:val="00F61CE1"/>
    <w:rsid w:val="00F63001"/>
    <w:rsid w:val="00F64BED"/>
    <w:rsid w:val="00F65D82"/>
    <w:rsid w:val="00F66F04"/>
    <w:rsid w:val="00F72CCD"/>
    <w:rsid w:val="00F80366"/>
    <w:rsid w:val="00F8499A"/>
    <w:rsid w:val="00F85F48"/>
    <w:rsid w:val="00F90791"/>
    <w:rsid w:val="00F922A3"/>
    <w:rsid w:val="00F93617"/>
    <w:rsid w:val="00F97409"/>
    <w:rsid w:val="00F9793E"/>
    <w:rsid w:val="00FA2F1F"/>
    <w:rsid w:val="00FA45C6"/>
    <w:rsid w:val="00FA49ED"/>
    <w:rsid w:val="00FA556E"/>
    <w:rsid w:val="00FA7DDC"/>
    <w:rsid w:val="00FB065E"/>
    <w:rsid w:val="00FB066E"/>
    <w:rsid w:val="00FB1380"/>
    <w:rsid w:val="00FB15B4"/>
    <w:rsid w:val="00FB390A"/>
    <w:rsid w:val="00FB73B9"/>
    <w:rsid w:val="00FC27A9"/>
    <w:rsid w:val="00FC2AC1"/>
    <w:rsid w:val="00FC680D"/>
    <w:rsid w:val="00FC6F6E"/>
    <w:rsid w:val="00FC71FA"/>
    <w:rsid w:val="00FD3F20"/>
    <w:rsid w:val="00FE668C"/>
    <w:rsid w:val="00FF136E"/>
    <w:rsid w:val="00FF3219"/>
    <w:rsid w:val="00FF53F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BC5FF0-9280-496D-BE2B-436A31F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6">
    <w:name w:val="annotation text"/>
    <w:basedOn w:val="a"/>
    <w:pPr>
      <w:jc w:val="left"/>
    </w:pPr>
  </w:style>
  <w:style w:type="paragraph" w:styleId="a7">
    <w:name w:val="endnote text"/>
    <w:basedOn w:val="a"/>
    <w:pPr>
      <w:snapToGrid w:val="0"/>
      <w:jc w:val="left"/>
    </w:pPr>
    <w:rPr>
      <w:rFonts w:ascii="宋体" w:hAnsi="宋体"/>
      <w:sz w:val="28"/>
      <w:szCs w:val="24"/>
    </w:rPr>
  </w:style>
  <w:style w:type="paragraph" w:styleId="a8">
    <w:name w:val="annotation subject"/>
    <w:basedOn w:val="a6"/>
    <w:next w:val="a6"/>
    <w:rPr>
      <w:b/>
      <w:bCs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Plain Text"/>
    <w:basedOn w:val="a"/>
    <w:rPr>
      <w:rFonts w:ascii="宋体" w:hAnsi="Courier New"/>
    </w:rPr>
  </w:style>
  <w:style w:type="paragraph" w:styleId="ac">
    <w:name w:val="Revision"/>
    <w:rPr>
      <w:kern w:val="2"/>
      <w:sz w:val="21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styleId="ae">
    <w:name w:val="Body Text Indent"/>
    <w:basedOn w:val="a"/>
    <w:pPr>
      <w:adjustRightInd w:val="0"/>
      <w:spacing w:after="120" w:line="360" w:lineRule="atLeast"/>
      <w:ind w:leftChars="200" w:left="200"/>
    </w:pPr>
    <w:rPr>
      <w:szCs w:val="24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Date"/>
    <w:basedOn w:val="a"/>
    <w:next w:val="a"/>
    <w:link w:val="Char"/>
    <w:uiPriority w:val="99"/>
    <w:semiHidden/>
    <w:unhideWhenUsed/>
    <w:rsid w:val="00AE644F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f0"/>
    <w:uiPriority w:val="99"/>
    <w:semiHidden/>
    <w:rsid w:val="00AE644F"/>
    <w:rPr>
      <w:kern w:val="2"/>
      <w:sz w:val="21"/>
    </w:rPr>
  </w:style>
  <w:style w:type="character" w:customStyle="1" w:styleId="apple-converted-space">
    <w:name w:val="apple-converted-space"/>
    <w:rsid w:val="00A7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81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8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19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62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67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5B00-35AC-4DEB-BA4E-A5D66FDD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7</Pages>
  <Words>833</Words>
  <Characters>4749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Company>szse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中小企业板信息披露业务备忘录第5号</dc:title>
  <dc:creator>陈朝晖</dc:creator>
  <cp:lastModifiedBy>韦思瀚 (集团总部_董事会秘书处)</cp:lastModifiedBy>
  <cp:revision>273</cp:revision>
  <cp:lastPrinted>2023-01-16T03:22:00Z</cp:lastPrinted>
  <dcterms:created xsi:type="dcterms:W3CDTF">2020-09-09T07:53:00Z</dcterms:created>
  <dcterms:modified xsi:type="dcterms:W3CDTF">2023-09-01T09:10:00Z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2052-6.6.0.2825</vt:lpwstr>
  </property>
</Properties>
</file>