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4F90" w14:textId="77777777" w:rsidR="00487F2C" w:rsidRDefault="00000000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证券代码：</w:t>
      </w:r>
      <w:r>
        <w:rPr>
          <w:rFonts w:ascii="Times New Roman" w:eastAsia="宋体" w:hAnsi="Times New Roman" w:cs="Times New Roman"/>
          <w:sz w:val="24"/>
          <w:szCs w:val="24"/>
        </w:rPr>
        <w:t xml:space="preserve">603612                               </w:t>
      </w:r>
      <w:r>
        <w:rPr>
          <w:rFonts w:ascii="Times New Roman" w:eastAsia="宋体" w:hAnsi="Times New Roman" w:cs="Times New Roman"/>
          <w:sz w:val="24"/>
          <w:szCs w:val="24"/>
        </w:rPr>
        <w:t>证券简称：索通发展</w:t>
      </w:r>
    </w:p>
    <w:p w14:paraId="2E9F12C4" w14:textId="77777777" w:rsidR="00487F2C" w:rsidRDefault="00000000">
      <w:pPr>
        <w:spacing w:beforeLines="100" w:before="312" w:line="360" w:lineRule="auto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投资者关系活动记录表</w:t>
      </w:r>
    </w:p>
    <w:p w14:paraId="279FBFAC" w14:textId="6EAD5B0B" w:rsidR="00487F2C" w:rsidRDefault="00000000">
      <w:pPr>
        <w:wordWrap w:val="0"/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编号</w:t>
      </w:r>
      <w:r>
        <w:rPr>
          <w:rFonts w:ascii="Times New Roman" w:eastAsia="宋体" w:hAnsi="Times New Roman" w:cs="Times New Roman"/>
          <w:sz w:val="24"/>
          <w:szCs w:val="24"/>
        </w:rPr>
        <w:t>：</w:t>
      </w:r>
      <w:r>
        <w:rPr>
          <w:rFonts w:ascii="Times New Roman" w:eastAsia="宋体" w:hAnsi="Times New Roman" w:cs="Times New Roman"/>
          <w:sz w:val="24"/>
          <w:szCs w:val="24"/>
        </w:rPr>
        <w:t>202</w:t>
      </w:r>
      <w:r w:rsidR="0045366E"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-</w:t>
      </w:r>
      <w:r w:rsidR="00F1700C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="00F1700C">
        <w:rPr>
          <w:rFonts w:ascii="Times New Roman" w:eastAsia="宋体" w:hAnsi="Times New Roman" w:cs="Times New Roman"/>
          <w:sz w:val="24"/>
          <w:szCs w:val="24"/>
        </w:rPr>
        <w:t>1</w:t>
      </w:r>
    </w:p>
    <w:tbl>
      <w:tblPr>
        <w:tblStyle w:val="ad"/>
        <w:tblW w:w="8835" w:type="dxa"/>
        <w:jc w:val="center"/>
        <w:tblLook w:val="04A0" w:firstRow="1" w:lastRow="0" w:firstColumn="1" w:lastColumn="0" w:noHBand="0" w:noVBand="1"/>
      </w:tblPr>
      <w:tblGrid>
        <w:gridCol w:w="1142"/>
        <w:gridCol w:w="1909"/>
        <w:gridCol w:w="1986"/>
        <w:gridCol w:w="1885"/>
        <w:gridCol w:w="1913"/>
      </w:tblGrid>
      <w:tr w:rsidR="00487F2C" w14:paraId="01FFD767" w14:textId="77777777" w:rsidTr="003F6AD3">
        <w:trPr>
          <w:jc w:val="center"/>
        </w:trPr>
        <w:tc>
          <w:tcPr>
            <w:tcW w:w="1230" w:type="dxa"/>
            <w:vAlign w:val="center"/>
          </w:tcPr>
          <w:p w14:paraId="3688F47D" w14:textId="77777777" w:rsidR="00487F2C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活动类别</w:t>
            </w:r>
          </w:p>
        </w:tc>
        <w:tc>
          <w:tcPr>
            <w:tcW w:w="7605" w:type="dxa"/>
            <w:gridSpan w:val="4"/>
          </w:tcPr>
          <w:p w14:paraId="3F18326E" w14:textId="6188A18F" w:rsidR="00487F2C" w:rsidRDefault="009A60F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F052"/>
            </w:r>
            <w:r w:rsidR="00F60BF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特定对象调研</w:t>
            </w:r>
            <w:r w:rsidR="00F60BF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="00F60BFE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00A3"/>
            </w:r>
            <w:r w:rsidR="00F60BF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分析</w:t>
            </w:r>
            <w:proofErr w:type="gramStart"/>
            <w:r w:rsidR="00F60BF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师会议</w:t>
            </w:r>
            <w:proofErr w:type="gramEnd"/>
            <w:r w:rsidR="00F60BF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="00F60BFE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F0A3"/>
            </w:r>
            <w:r w:rsidR="00F60BF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媒体采访</w:t>
            </w:r>
            <w:r w:rsidR="00F60BF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="00BA1C81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F0A3"/>
            </w:r>
            <w:r w:rsidR="00F60BF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路演活动</w:t>
            </w:r>
          </w:p>
          <w:p w14:paraId="1E5389B1" w14:textId="51AADA5E" w:rsidR="00487F2C" w:rsidRDefault="009A60F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F0A3"/>
            </w:r>
            <w:r w:rsidR="00F60BF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业绩说明会</w:t>
            </w:r>
            <w:r w:rsidR="00F60BF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 w:rsidR="00F60BFE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F0A3"/>
            </w:r>
            <w:r w:rsidR="00F60BF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新闻发布会</w:t>
            </w:r>
            <w:r w:rsidR="00F60BF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="00F60BFE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F0A3"/>
            </w:r>
            <w:r w:rsidR="00F60BF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现场参观</w:t>
            </w:r>
          </w:p>
          <w:p w14:paraId="05D61C14" w14:textId="77777777" w:rsidR="00487F2C" w:rsidRDefault="000000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请说明：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                     </w:t>
            </w:r>
          </w:p>
        </w:tc>
      </w:tr>
      <w:tr w:rsidR="002968C1" w14:paraId="40C2A9C3" w14:textId="77777777" w:rsidTr="003F6AD3">
        <w:trPr>
          <w:trHeight w:val="36"/>
          <w:jc w:val="center"/>
        </w:trPr>
        <w:tc>
          <w:tcPr>
            <w:tcW w:w="1230" w:type="dxa"/>
            <w:vMerge w:val="restart"/>
            <w:vAlign w:val="center"/>
          </w:tcPr>
          <w:p w14:paraId="538AA949" w14:textId="77777777" w:rsidR="002968C1" w:rsidRDefault="002968C1" w:rsidP="002968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投资者</w:t>
            </w:r>
          </w:p>
          <w:p w14:paraId="217B1023" w14:textId="098D45FE" w:rsidR="002968C1" w:rsidRDefault="002968C1" w:rsidP="002968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1884" w:type="dxa"/>
            <w:vAlign w:val="center"/>
          </w:tcPr>
          <w:p w14:paraId="0926DF6B" w14:textId="3C0F7634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海通证券</w:t>
            </w:r>
          </w:p>
        </w:tc>
        <w:tc>
          <w:tcPr>
            <w:tcW w:w="1977" w:type="dxa"/>
            <w:vAlign w:val="center"/>
          </w:tcPr>
          <w:p w14:paraId="3355B109" w14:textId="1C118AD4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中金公司</w:t>
            </w:r>
          </w:p>
        </w:tc>
        <w:tc>
          <w:tcPr>
            <w:tcW w:w="1855" w:type="dxa"/>
            <w:vAlign w:val="center"/>
          </w:tcPr>
          <w:p w14:paraId="797583B4" w14:textId="065FC9B8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大成基金</w:t>
            </w:r>
          </w:p>
        </w:tc>
        <w:tc>
          <w:tcPr>
            <w:tcW w:w="1884" w:type="dxa"/>
            <w:vAlign w:val="center"/>
          </w:tcPr>
          <w:p w14:paraId="2C4A7DA3" w14:textId="2009595F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玖歌投资</w:t>
            </w:r>
            <w:proofErr w:type="gramEnd"/>
          </w:p>
        </w:tc>
      </w:tr>
      <w:tr w:rsidR="002968C1" w14:paraId="2D9ADCAA" w14:textId="77777777" w:rsidTr="003F6AD3">
        <w:trPr>
          <w:trHeight w:val="36"/>
          <w:jc w:val="center"/>
        </w:trPr>
        <w:tc>
          <w:tcPr>
            <w:tcW w:w="1230" w:type="dxa"/>
            <w:vMerge/>
            <w:vAlign w:val="center"/>
          </w:tcPr>
          <w:p w14:paraId="4B58884D" w14:textId="77777777" w:rsidR="002968C1" w:rsidRDefault="002968C1" w:rsidP="002968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1E71BD6E" w14:textId="6C4FE3BD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国信证券</w:t>
            </w:r>
          </w:p>
        </w:tc>
        <w:tc>
          <w:tcPr>
            <w:tcW w:w="1977" w:type="dxa"/>
            <w:vAlign w:val="center"/>
          </w:tcPr>
          <w:p w14:paraId="0C7CD512" w14:textId="7B377147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中</w:t>
            </w:r>
            <w:proofErr w:type="gramStart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信建投</w:t>
            </w:r>
            <w:proofErr w:type="gramEnd"/>
          </w:p>
        </w:tc>
        <w:tc>
          <w:tcPr>
            <w:tcW w:w="1855" w:type="dxa"/>
            <w:vAlign w:val="center"/>
          </w:tcPr>
          <w:p w14:paraId="2C06B82E" w14:textId="6E2438A8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银华基金</w:t>
            </w:r>
          </w:p>
        </w:tc>
        <w:tc>
          <w:tcPr>
            <w:tcW w:w="1884" w:type="dxa"/>
            <w:vAlign w:val="center"/>
          </w:tcPr>
          <w:p w14:paraId="18D48FBC" w14:textId="22FCBA06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贵源投资</w:t>
            </w:r>
            <w:proofErr w:type="gramEnd"/>
          </w:p>
        </w:tc>
      </w:tr>
      <w:tr w:rsidR="002968C1" w14:paraId="27B68292" w14:textId="77777777" w:rsidTr="003F6AD3">
        <w:trPr>
          <w:trHeight w:val="36"/>
          <w:jc w:val="center"/>
        </w:trPr>
        <w:tc>
          <w:tcPr>
            <w:tcW w:w="1230" w:type="dxa"/>
            <w:vMerge/>
            <w:vAlign w:val="center"/>
          </w:tcPr>
          <w:p w14:paraId="7DD0D59E" w14:textId="77777777" w:rsidR="002968C1" w:rsidRDefault="002968C1" w:rsidP="002968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4F9FFA72" w14:textId="4C9463C4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华安证券</w:t>
            </w:r>
          </w:p>
        </w:tc>
        <w:tc>
          <w:tcPr>
            <w:tcW w:w="1977" w:type="dxa"/>
            <w:vAlign w:val="center"/>
          </w:tcPr>
          <w:p w14:paraId="4757BE8E" w14:textId="47AAB0B8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华西证券</w:t>
            </w:r>
          </w:p>
        </w:tc>
        <w:tc>
          <w:tcPr>
            <w:tcW w:w="1855" w:type="dxa"/>
            <w:vAlign w:val="center"/>
          </w:tcPr>
          <w:p w14:paraId="0C3630F2" w14:textId="14BDD5A0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天弘基金</w:t>
            </w:r>
            <w:proofErr w:type="gramEnd"/>
          </w:p>
        </w:tc>
        <w:tc>
          <w:tcPr>
            <w:tcW w:w="1884" w:type="dxa"/>
            <w:vAlign w:val="center"/>
          </w:tcPr>
          <w:p w14:paraId="160061D9" w14:textId="43CDF77B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琮</w:t>
            </w:r>
            <w:proofErr w:type="gramEnd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碧秋实</w:t>
            </w:r>
          </w:p>
        </w:tc>
      </w:tr>
      <w:tr w:rsidR="002968C1" w14:paraId="6812822B" w14:textId="77777777" w:rsidTr="003F6AD3">
        <w:trPr>
          <w:trHeight w:val="36"/>
          <w:jc w:val="center"/>
        </w:trPr>
        <w:tc>
          <w:tcPr>
            <w:tcW w:w="1230" w:type="dxa"/>
            <w:vMerge/>
            <w:vAlign w:val="center"/>
          </w:tcPr>
          <w:p w14:paraId="5A904F47" w14:textId="77777777" w:rsidR="002968C1" w:rsidRDefault="002968C1" w:rsidP="002968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6D3E2B03" w14:textId="2CAADB19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信</w:t>
            </w:r>
            <w:proofErr w:type="gramStart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达证券</w:t>
            </w:r>
            <w:proofErr w:type="gramEnd"/>
          </w:p>
        </w:tc>
        <w:tc>
          <w:tcPr>
            <w:tcW w:w="1977" w:type="dxa"/>
            <w:vAlign w:val="center"/>
          </w:tcPr>
          <w:p w14:paraId="0504F23A" w14:textId="7FDBEE94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首创证券</w:t>
            </w:r>
          </w:p>
        </w:tc>
        <w:tc>
          <w:tcPr>
            <w:tcW w:w="1855" w:type="dxa"/>
            <w:vAlign w:val="center"/>
          </w:tcPr>
          <w:p w14:paraId="29CD5059" w14:textId="029583A8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汇添富基金</w:t>
            </w:r>
            <w:proofErr w:type="gramEnd"/>
          </w:p>
        </w:tc>
        <w:tc>
          <w:tcPr>
            <w:tcW w:w="1884" w:type="dxa"/>
            <w:vAlign w:val="center"/>
          </w:tcPr>
          <w:p w14:paraId="44901F6D" w14:textId="3E03DEFA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金光紫金</w:t>
            </w:r>
          </w:p>
        </w:tc>
      </w:tr>
      <w:tr w:rsidR="002968C1" w14:paraId="50E16FAD" w14:textId="77777777" w:rsidTr="003F6AD3">
        <w:trPr>
          <w:trHeight w:val="36"/>
          <w:jc w:val="center"/>
        </w:trPr>
        <w:tc>
          <w:tcPr>
            <w:tcW w:w="1230" w:type="dxa"/>
            <w:vMerge/>
            <w:vAlign w:val="center"/>
          </w:tcPr>
          <w:p w14:paraId="7CF40D20" w14:textId="77777777" w:rsidR="002968C1" w:rsidRDefault="002968C1" w:rsidP="002968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39A878FD" w14:textId="233F376E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西南证券</w:t>
            </w:r>
          </w:p>
        </w:tc>
        <w:tc>
          <w:tcPr>
            <w:tcW w:w="1977" w:type="dxa"/>
            <w:vAlign w:val="center"/>
          </w:tcPr>
          <w:p w14:paraId="0F365F33" w14:textId="2CC64727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兴业证券</w:t>
            </w:r>
          </w:p>
        </w:tc>
        <w:tc>
          <w:tcPr>
            <w:tcW w:w="1855" w:type="dxa"/>
            <w:vAlign w:val="center"/>
          </w:tcPr>
          <w:p w14:paraId="33EEE079" w14:textId="36BEF10B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华安基金</w:t>
            </w:r>
          </w:p>
        </w:tc>
        <w:tc>
          <w:tcPr>
            <w:tcW w:w="1884" w:type="dxa"/>
            <w:vAlign w:val="center"/>
          </w:tcPr>
          <w:p w14:paraId="6E265D98" w14:textId="56B65B59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佳</w:t>
            </w:r>
            <w:proofErr w:type="gramStart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友投资</w:t>
            </w:r>
            <w:proofErr w:type="gramEnd"/>
          </w:p>
        </w:tc>
      </w:tr>
      <w:tr w:rsidR="002968C1" w14:paraId="28D8181B" w14:textId="77777777" w:rsidTr="003F6AD3">
        <w:trPr>
          <w:trHeight w:val="36"/>
          <w:jc w:val="center"/>
        </w:trPr>
        <w:tc>
          <w:tcPr>
            <w:tcW w:w="1230" w:type="dxa"/>
            <w:vMerge/>
            <w:vAlign w:val="center"/>
          </w:tcPr>
          <w:p w14:paraId="06A934B5" w14:textId="77777777" w:rsidR="002968C1" w:rsidRDefault="002968C1" w:rsidP="002968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2457AA45" w14:textId="732CFFFB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光大证券</w:t>
            </w:r>
          </w:p>
        </w:tc>
        <w:tc>
          <w:tcPr>
            <w:tcW w:w="1977" w:type="dxa"/>
            <w:vAlign w:val="center"/>
          </w:tcPr>
          <w:p w14:paraId="522BDA7A" w14:textId="644A8B67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华创证券</w:t>
            </w:r>
          </w:p>
        </w:tc>
        <w:tc>
          <w:tcPr>
            <w:tcW w:w="1855" w:type="dxa"/>
            <w:vAlign w:val="center"/>
          </w:tcPr>
          <w:p w14:paraId="77696A1C" w14:textId="280DC776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建信保险</w:t>
            </w:r>
          </w:p>
        </w:tc>
        <w:tc>
          <w:tcPr>
            <w:tcW w:w="1884" w:type="dxa"/>
            <w:vAlign w:val="center"/>
          </w:tcPr>
          <w:p w14:paraId="2218B4AD" w14:textId="150BF9DA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少</w:t>
            </w:r>
            <w:proofErr w:type="gramStart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薮派投资</w:t>
            </w:r>
            <w:proofErr w:type="gramEnd"/>
          </w:p>
        </w:tc>
      </w:tr>
      <w:tr w:rsidR="002968C1" w14:paraId="7B91CCE0" w14:textId="77777777" w:rsidTr="003F6AD3">
        <w:trPr>
          <w:trHeight w:val="36"/>
          <w:jc w:val="center"/>
        </w:trPr>
        <w:tc>
          <w:tcPr>
            <w:tcW w:w="1230" w:type="dxa"/>
            <w:vMerge/>
            <w:vAlign w:val="center"/>
          </w:tcPr>
          <w:p w14:paraId="221AC07C" w14:textId="77777777" w:rsidR="002968C1" w:rsidRDefault="002968C1" w:rsidP="002968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77570E5D" w14:textId="5BCB53E7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德</w:t>
            </w:r>
            <w:proofErr w:type="gramStart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邦</w:t>
            </w:r>
            <w:proofErr w:type="gramEnd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证券</w:t>
            </w:r>
          </w:p>
        </w:tc>
        <w:tc>
          <w:tcPr>
            <w:tcW w:w="1977" w:type="dxa"/>
            <w:vAlign w:val="center"/>
          </w:tcPr>
          <w:p w14:paraId="61CF0443" w14:textId="26AEFF9A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华金证券</w:t>
            </w:r>
          </w:p>
        </w:tc>
        <w:tc>
          <w:tcPr>
            <w:tcW w:w="1855" w:type="dxa"/>
            <w:vAlign w:val="center"/>
          </w:tcPr>
          <w:p w14:paraId="5DE36F8E" w14:textId="1D06F81A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中国人寿</w:t>
            </w:r>
          </w:p>
        </w:tc>
        <w:tc>
          <w:tcPr>
            <w:tcW w:w="1884" w:type="dxa"/>
            <w:vAlign w:val="center"/>
          </w:tcPr>
          <w:p w14:paraId="793B8608" w14:textId="60D362D3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禹合资产</w:t>
            </w:r>
          </w:p>
        </w:tc>
      </w:tr>
      <w:tr w:rsidR="002968C1" w14:paraId="56301465" w14:textId="77777777" w:rsidTr="003F6AD3">
        <w:trPr>
          <w:trHeight w:val="36"/>
          <w:jc w:val="center"/>
        </w:trPr>
        <w:tc>
          <w:tcPr>
            <w:tcW w:w="1230" w:type="dxa"/>
            <w:vMerge/>
            <w:vAlign w:val="center"/>
          </w:tcPr>
          <w:p w14:paraId="72ABA0FF" w14:textId="77777777" w:rsidR="002968C1" w:rsidRDefault="002968C1" w:rsidP="002968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3D4C3E43" w14:textId="48D64D05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开源证券</w:t>
            </w:r>
          </w:p>
        </w:tc>
        <w:tc>
          <w:tcPr>
            <w:tcW w:w="1977" w:type="dxa"/>
            <w:vAlign w:val="center"/>
          </w:tcPr>
          <w:p w14:paraId="30FD7246" w14:textId="4FE4D1D0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广发证券</w:t>
            </w:r>
          </w:p>
        </w:tc>
        <w:tc>
          <w:tcPr>
            <w:tcW w:w="1855" w:type="dxa"/>
            <w:vAlign w:val="center"/>
          </w:tcPr>
          <w:p w14:paraId="0615AA6B" w14:textId="1AA7CCC6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榕果投资</w:t>
            </w:r>
            <w:proofErr w:type="gramEnd"/>
          </w:p>
        </w:tc>
        <w:tc>
          <w:tcPr>
            <w:tcW w:w="1884" w:type="dxa"/>
            <w:vAlign w:val="center"/>
          </w:tcPr>
          <w:p w14:paraId="08378D30" w14:textId="492C5CFA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运舟私募</w:t>
            </w:r>
            <w:proofErr w:type="gramEnd"/>
          </w:p>
        </w:tc>
      </w:tr>
      <w:tr w:rsidR="002968C1" w14:paraId="14FC0A8F" w14:textId="77777777" w:rsidTr="003F6AD3">
        <w:trPr>
          <w:trHeight w:val="36"/>
          <w:jc w:val="center"/>
        </w:trPr>
        <w:tc>
          <w:tcPr>
            <w:tcW w:w="1230" w:type="dxa"/>
            <w:vMerge/>
            <w:vAlign w:val="center"/>
          </w:tcPr>
          <w:p w14:paraId="00FEB97D" w14:textId="77777777" w:rsidR="002968C1" w:rsidRDefault="002968C1" w:rsidP="002968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471EA3BC" w14:textId="4B0D9C93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国盛证券</w:t>
            </w:r>
          </w:p>
        </w:tc>
        <w:tc>
          <w:tcPr>
            <w:tcW w:w="1977" w:type="dxa"/>
            <w:vAlign w:val="center"/>
          </w:tcPr>
          <w:p w14:paraId="7D7C4D65" w14:textId="052B10DC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红</w:t>
            </w:r>
            <w:proofErr w:type="gramStart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塔证券</w:t>
            </w:r>
            <w:proofErr w:type="gramEnd"/>
          </w:p>
        </w:tc>
        <w:tc>
          <w:tcPr>
            <w:tcW w:w="1855" w:type="dxa"/>
            <w:vAlign w:val="center"/>
          </w:tcPr>
          <w:p w14:paraId="24B208CA" w14:textId="0A9276CB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卓晔私募</w:t>
            </w:r>
          </w:p>
        </w:tc>
        <w:tc>
          <w:tcPr>
            <w:tcW w:w="1884" w:type="dxa"/>
            <w:vAlign w:val="center"/>
          </w:tcPr>
          <w:p w14:paraId="5D07F2D7" w14:textId="5787B01D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玄卜投资</w:t>
            </w:r>
            <w:proofErr w:type="gramEnd"/>
          </w:p>
        </w:tc>
      </w:tr>
      <w:tr w:rsidR="002968C1" w14:paraId="3D5BCBA8" w14:textId="77777777" w:rsidTr="003F6AD3">
        <w:trPr>
          <w:trHeight w:val="36"/>
          <w:jc w:val="center"/>
        </w:trPr>
        <w:tc>
          <w:tcPr>
            <w:tcW w:w="1230" w:type="dxa"/>
            <w:vMerge/>
            <w:vAlign w:val="center"/>
          </w:tcPr>
          <w:p w14:paraId="3D86F527" w14:textId="77777777" w:rsidR="002968C1" w:rsidRDefault="002968C1" w:rsidP="002968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7D77AA63" w14:textId="33B2B4E3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华泰证券</w:t>
            </w:r>
          </w:p>
        </w:tc>
        <w:tc>
          <w:tcPr>
            <w:tcW w:w="1977" w:type="dxa"/>
            <w:vAlign w:val="center"/>
          </w:tcPr>
          <w:p w14:paraId="72D09445" w14:textId="3DF98D8A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财信证券</w:t>
            </w:r>
          </w:p>
        </w:tc>
        <w:tc>
          <w:tcPr>
            <w:tcW w:w="1855" w:type="dxa"/>
            <w:vAlign w:val="center"/>
          </w:tcPr>
          <w:p w14:paraId="46D50218" w14:textId="0A337978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华美国际</w:t>
            </w:r>
          </w:p>
        </w:tc>
        <w:tc>
          <w:tcPr>
            <w:tcW w:w="1884" w:type="dxa"/>
            <w:vAlign w:val="center"/>
          </w:tcPr>
          <w:p w14:paraId="74BE2344" w14:textId="4BBA860C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鼎诺投资</w:t>
            </w:r>
            <w:proofErr w:type="gramEnd"/>
          </w:p>
        </w:tc>
      </w:tr>
      <w:tr w:rsidR="002968C1" w14:paraId="17DF7526" w14:textId="77777777" w:rsidTr="003F6AD3">
        <w:trPr>
          <w:trHeight w:val="36"/>
          <w:jc w:val="center"/>
        </w:trPr>
        <w:tc>
          <w:tcPr>
            <w:tcW w:w="1230" w:type="dxa"/>
            <w:vMerge/>
            <w:vAlign w:val="center"/>
          </w:tcPr>
          <w:p w14:paraId="10C1C699" w14:textId="77777777" w:rsidR="002968C1" w:rsidRDefault="002968C1" w:rsidP="002968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74EC9C51" w14:textId="4334DA20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国金证券</w:t>
            </w:r>
          </w:p>
        </w:tc>
        <w:tc>
          <w:tcPr>
            <w:tcW w:w="1977" w:type="dxa"/>
            <w:vAlign w:val="center"/>
          </w:tcPr>
          <w:p w14:paraId="3435CD3B" w14:textId="00766AE3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东莞证券</w:t>
            </w:r>
          </w:p>
        </w:tc>
        <w:tc>
          <w:tcPr>
            <w:tcW w:w="1855" w:type="dxa"/>
            <w:vAlign w:val="center"/>
          </w:tcPr>
          <w:p w14:paraId="0F0F2960" w14:textId="48CB2D05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华宝投资</w:t>
            </w:r>
          </w:p>
        </w:tc>
        <w:tc>
          <w:tcPr>
            <w:tcW w:w="1884" w:type="dxa"/>
            <w:vAlign w:val="center"/>
          </w:tcPr>
          <w:p w14:paraId="53B312A7" w14:textId="2C3323BC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秋阳予梁投资</w:t>
            </w:r>
            <w:proofErr w:type="gramEnd"/>
          </w:p>
        </w:tc>
      </w:tr>
      <w:tr w:rsidR="002968C1" w14:paraId="5CA2A0DE" w14:textId="77777777" w:rsidTr="003F6AD3">
        <w:trPr>
          <w:trHeight w:val="36"/>
          <w:jc w:val="center"/>
        </w:trPr>
        <w:tc>
          <w:tcPr>
            <w:tcW w:w="1230" w:type="dxa"/>
            <w:vMerge/>
            <w:vAlign w:val="center"/>
          </w:tcPr>
          <w:p w14:paraId="29D08FDD" w14:textId="77777777" w:rsidR="002968C1" w:rsidRDefault="002968C1" w:rsidP="002968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412BD698" w14:textId="1EA1BE81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中</w:t>
            </w:r>
            <w:proofErr w:type="gramStart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邮证券</w:t>
            </w:r>
            <w:proofErr w:type="gramEnd"/>
          </w:p>
        </w:tc>
        <w:tc>
          <w:tcPr>
            <w:tcW w:w="1977" w:type="dxa"/>
            <w:vAlign w:val="center"/>
          </w:tcPr>
          <w:p w14:paraId="49D45FBB" w14:textId="73E55B16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长江证券</w:t>
            </w:r>
          </w:p>
        </w:tc>
        <w:tc>
          <w:tcPr>
            <w:tcW w:w="1855" w:type="dxa"/>
            <w:vAlign w:val="center"/>
          </w:tcPr>
          <w:p w14:paraId="736972F4" w14:textId="136BC043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利位投资</w:t>
            </w:r>
            <w:proofErr w:type="gramEnd"/>
          </w:p>
        </w:tc>
        <w:tc>
          <w:tcPr>
            <w:tcW w:w="1884" w:type="dxa"/>
            <w:vAlign w:val="center"/>
          </w:tcPr>
          <w:p w14:paraId="2F6BFBAB" w14:textId="5FD0A158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准锦投资</w:t>
            </w:r>
            <w:proofErr w:type="gramEnd"/>
          </w:p>
        </w:tc>
      </w:tr>
      <w:tr w:rsidR="002968C1" w14:paraId="2CA2A47E" w14:textId="77777777" w:rsidTr="003F6AD3">
        <w:trPr>
          <w:trHeight w:val="36"/>
          <w:jc w:val="center"/>
        </w:trPr>
        <w:tc>
          <w:tcPr>
            <w:tcW w:w="1230" w:type="dxa"/>
            <w:vMerge/>
            <w:vAlign w:val="center"/>
          </w:tcPr>
          <w:p w14:paraId="6B4D1588" w14:textId="77777777" w:rsidR="002968C1" w:rsidRDefault="002968C1" w:rsidP="002968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073FE8E9" w14:textId="35543A53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国</w:t>
            </w:r>
            <w:proofErr w:type="gramStart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海证券</w:t>
            </w:r>
            <w:proofErr w:type="gramEnd"/>
          </w:p>
        </w:tc>
        <w:tc>
          <w:tcPr>
            <w:tcW w:w="1977" w:type="dxa"/>
            <w:vAlign w:val="center"/>
          </w:tcPr>
          <w:p w14:paraId="39D6F8B4" w14:textId="0623A85B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国泰君安</w:t>
            </w:r>
          </w:p>
        </w:tc>
        <w:tc>
          <w:tcPr>
            <w:tcW w:w="1855" w:type="dxa"/>
            <w:vAlign w:val="center"/>
          </w:tcPr>
          <w:p w14:paraId="070FE4DD" w14:textId="5BFBA2BB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明河投资</w:t>
            </w:r>
          </w:p>
        </w:tc>
        <w:tc>
          <w:tcPr>
            <w:tcW w:w="1884" w:type="dxa"/>
            <w:vAlign w:val="center"/>
          </w:tcPr>
          <w:p w14:paraId="07CBB31A" w14:textId="6818A94A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邦政资产</w:t>
            </w:r>
            <w:proofErr w:type="gramEnd"/>
          </w:p>
        </w:tc>
      </w:tr>
      <w:tr w:rsidR="002968C1" w14:paraId="062EECA0" w14:textId="77777777" w:rsidTr="003F6AD3">
        <w:trPr>
          <w:trHeight w:val="36"/>
          <w:jc w:val="center"/>
        </w:trPr>
        <w:tc>
          <w:tcPr>
            <w:tcW w:w="1230" w:type="dxa"/>
            <w:vMerge/>
            <w:vAlign w:val="center"/>
          </w:tcPr>
          <w:p w14:paraId="359CD232" w14:textId="77777777" w:rsidR="002968C1" w:rsidRDefault="002968C1" w:rsidP="002968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5C38A646" w14:textId="09121B12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中信证券</w:t>
            </w:r>
          </w:p>
        </w:tc>
        <w:tc>
          <w:tcPr>
            <w:tcW w:w="1977" w:type="dxa"/>
            <w:vAlign w:val="center"/>
          </w:tcPr>
          <w:p w14:paraId="044FAAAB" w14:textId="5B122A92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西部证券</w:t>
            </w:r>
          </w:p>
        </w:tc>
        <w:tc>
          <w:tcPr>
            <w:tcW w:w="1855" w:type="dxa"/>
            <w:vAlign w:val="center"/>
          </w:tcPr>
          <w:p w14:paraId="7F53106C" w14:textId="62B2271C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凯丰投资</w:t>
            </w:r>
          </w:p>
        </w:tc>
        <w:tc>
          <w:tcPr>
            <w:tcW w:w="1884" w:type="dxa"/>
            <w:vAlign w:val="center"/>
          </w:tcPr>
          <w:p w14:paraId="30AA092E" w14:textId="18C01C96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嘉</w:t>
            </w:r>
            <w:proofErr w:type="gramStart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世</w:t>
            </w:r>
            <w:proofErr w:type="gramEnd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私募</w:t>
            </w:r>
          </w:p>
        </w:tc>
      </w:tr>
      <w:tr w:rsidR="002968C1" w14:paraId="5D35B09C" w14:textId="77777777" w:rsidTr="003F6AD3">
        <w:trPr>
          <w:trHeight w:val="36"/>
          <w:jc w:val="center"/>
        </w:trPr>
        <w:tc>
          <w:tcPr>
            <w:tcW w:w="1230" w:type="dxa"/>
            <w:vMerge/>
            <w:vAlign w:val="center"/>
          </w:tcPr>
          <w:p w14:paraId="7BA3BDAF" w14:textId="77777777" w:rsidR="002968C1" w:rsidRDefault="002968C1" w:rsidP="002968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53B0DC8E" w14:textId="5B95DDCF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东北证券</w:t>
            </w:r>
          </w:p>
        </w:tc>
        <w:tc>
          <w:tcPr>
            <w:tcW w:w="1977" w:type="dxa"/>
            <w:vAlign w:val="center"/>
          </w:tcPr>
          <w:p w14:paraId="430A28B3" w14:textId="70BD2D55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安信证券</w:t>
            </w:r>
          </w:p>
        </w:tc>
        <w:tc>
          <w:tcPr>
            <w:tcW w:w="1855" w:type="dxa"/>
            <w:vAlign w:val="center"/>
          </w:tcPr>
          <w:p w14:paraId="77C83131" w14:textId="042558D1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勤道资本</w:t>
            </w:r>
            <w:proofErr w:type="gramEnd"/>
          </w:p>
        </w:tc>
        <w:tc>
          <w:tcPr>
            <w:tcW w:w="1884" w:type="dxa"/>
            <w:vAlign w:val="center"/>
          </w:tcPr>
          <w:p w14:paraId="561420A8" w14:textId="7BDAA457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上海国际信托</w:t>
            </w:r>
          </w:p>
        </w:tc>
      </w:tr>
      <w:tr w:rsidR="002968C1" w14:paraId="65A05EED" w14:textId="77777777" w:rsidTr="003F6AD3">
        <w:trPr>
          <w:trHeight w:val="36"/>
          <w:jc w:val="center"/>
        </w:trPr>
        <w:tc>
          <w:tcPr>
            <w:tcW w:w="1230" w:type="dxa"/>
            <w:vMerge/>
            <w:vAlign w:val="center"/>
          </w:tcPr>
          <w:p w14:paraId="637B5653" w14:textId="77777777" w:rsidR="002968C1" w:rsidRDefault="002968C1" w:rsidP="002968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0DAB9183" w14:textId="55880D99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财通证券</w:t>
            </w:r>
          </w:p>
        </w:tc>
        <w:tc>
          <w:tcPr>
            <w:tcW w:w="1977" w:type="dxa"/>
            <w:vAlign w:val="center"/>
          </w:tcPr>
          <w:p w14:paraId="09F9FC86" w14:textId="16B1F723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山西证券</w:t>
            </w:r>
          </w:p>
        </w:tc>
        <w:tc>
          <w:tcPr>
            <w:tcW w:w="1855" w:type="dxa"/>
            <w:vAlign w:val="center"/>
          </w:tcPr>
          <w:p w14:paraId="5659616B" w14:textId="1A474F35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湘投私募</w:t>
            </w:r>
            <w:proofErr w:type="gramEnd"/>
          </w:p>
        </w:tc>
        <w:tc>
          <w:tcPr>
            <w:tcW w:w="1884" w:type="dxa"/>
            <w:vAlign w:val="center"/>
          </w:tcPr>
          <w:p w14:paraId="3DFB1D50" w14:textId="3CB6570E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广</w:t>
            </w:r>
            <w:proofErr w:type="gramStart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发资管</w:t>
            </w:r>
            <w:proofErr w:type="gramEnd"/>
          </w:p>
        </w:tc>
      </w:tr>
      <w:tr w:rsidR="002968C1" w14:paraId="3FDB5368" w14:textId="77777777" w:rsidTr="003F6AD3">
        <w:trPr>
          <w:trHeight w:val="36"/>
          <w:jc w:val="center"/>
        </w:trPr>
        <w:tc>
          <w:tcPr>
            <w:tcW w:w="1230" w:type="dxa"/>
            <w:vMerge/>
            <w:vAlign w:val="center"/>
          </w:tcPr>
          <w:p w14:paraId="0621F37F" w14:textId="77777777" w:rsidR="002968C1" w:rsidRDefault="002968C1" w:rsidP="002968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5F870E13" w14:textId="5ACFC4AE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中泰证券</w:t>
            </w:r>
          </w:p>
        </w:tc>
        <w:tc>
          <w:tcPr>
            <w:tcW w:w="1977" w:type="dxa"/>
            <w:vAlign w:val="center"/>
          </w:tcPr>
          <w:p w14:paraId="5B33DEEB" w14:textId="2FB6990C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民生证券</w:t>
            </w:r>
          </w:p>
        </w:tc>
        <w:tc>
          <w:tcPr>
            <w:tcW w:w="1855" w:type="dxa"/>
            <w:vAlign w:val="center"/>
          </w:tcPr>
          <w:p w14:paraId="6FFBCC6A" w14:textId="055B87DD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创富兆业</w:t>
            </w:r>
            <w:proofErr w:type="gramEnd"/>
          </w:p>
        </w:tc>
        <w:tc>
          <w:tcPr>
            <w:tcW w:w="1884" w:type="dxa"/>
            <w:vAlign w:val="center"/>
          </w:tcPr>
          <w:p w14:paraId="29DDDFB1" w14:textId="2377D439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兴证资管</w:t>
            </w:r>
            <w:proofErr w:type="gramEnd"/>
          </w:p>
        </w:tc>
      </w:tr>
      <w:tr w:rsidR="002968C1" w14:paraId="16A21E69" w14:textId="77777777" w:rsidTr="003F6AD3">
        <w:trPr>
          <w:trHeight w:val="36"/>
          <w:jc w:val="center"/>
        </w:trPr>
        <w:tc>
          <w:tcPr>
            <w:tcW w:w="1230" w:type="dxa"/>
            <w:vMerge/>
            <w:vAlign w:val="center"/>
          </w:tcPr>
          <w:p w14:paraId="1476061F" w14:textId="77777777" w:rsidR="002968C1" w:rsidRDefault="002968C1" w:rsidP="002968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0ED5A0D1" w14:textId="160EB172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浙商证券</w:t>
            </w:r>
            <w:proofErr w:type="gramEnd"/>
          </w:p>
        </w:tc>
        <w:tc>
          <w:tcPr>
            <w:tcW w:w="1977" w:type="dxa"/>
            <w:vAlign w:val="center"/>
          </w:tcPr>
          <w:p w14:paraId="34872554" w14:textId="1D4216D5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湘财证券</w:t>
            </w:r>
          </w:p>
        </w:tc>
        <w:tc>
          <w:tcPr>
            <w:tcW w:w="1855" w:type="dxa"/>
            <w:vAlign w:val="center"/>
          </w:tcPr>
          <w:p w14:paraId="3FAFD238" w14:textId="4BF775AE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乾图私募</w:t>
            </w:r>
            <w:proofErr w:type="gramEnd"/>
          </w:p>
        </w:tc>
        <w:tc>
          <w:tcPr>
            <w:tcW w:w="1884" w:type="dxa"/>
            <w:vAlign w:val="center"/>
          </w:tcPr>
          <w:p w14:paraId="57208BDA" w14:textId="6F6A752A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国君资管</w:t>
            </w:r>
            <w:proofErr w:type="gramEnd"/>
          </w:p>
        </w:tc>
      </w:tr>
      <w:tr w:rsidR="002968C1" w14:paraId="70CFE704" w14:textId="77777777" w:rsidTr="003F6AD3">
        <w:trPr>
          <w:trHeight w:val="36"/>
          <w:jc w:val="center"/>
        </w:trPr>
        <w:tc>
          <w:tcPr>
            <w:tcW w:w="1230" w:type="dxa"/>
            <w:vMerge/>
            <w:vAlign w:val="center"/>
          </w:tcPr>
          <w:p w14:paraId="31DA8287" w14:textId="77777777" w:rsidR="002968C1" w:rsidRDefault="002968C1" w:rsidP="002968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26CE36AF" w14:textId="2C78D9C5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华</w:t>
            </w:r>
            <w:proofErr w:type="gramStart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福证券</w:t>
            </w:r>
            <w:proofErr w:type="gramEnd"/>
          </w:p>
        </w:tc>
        <w:tc>
          <w:tcPr>
            <w:tcW w:w="1977" w:type="dxa"/>
            <w:vAlign w:val="center"/>
          </w:tcPr>
          <w:p w14:paraId="50148F8C" w14:textId="4C95B842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海通国际</w:t>
            </w:r>
          </w:p>
        </w:tc>
        <w:tc>
          <w:tcPr>
            <w:tcW w:w="1855" w:type="dxa"/>
            <w:vAlign w:val="center"/>
          </w:tcPr>
          <w:p w14:paraId="3FD3BBA3" w14:textId="42B77D8F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广</w:t>
            </w:r>
            <w:proofErr w:type="gramStart"/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益恒嘉</w:t>
            </w:r>
            <w:proofErr w:type="gramEnd"/>
          </w:p>
        </w:tc>
        <w:tc>
          <w:tcPr>
            <w:tcW w:w="1884" w:type="dxa"/>
            <w:vAlign w:val="center"/>
          </w:tcPr>
          <w:p w14:paraId="38D22485" w14:textId="22DD9352" w:rsidR="002968C1" w:rsidRPr="00F1700C" w:rsidRDefault="003F6AD3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工银国际</w:t>
            </w:r>
          </w:p>
        </w:tc>
      </w:tr>
      <w:tr w:rsidR="002968C1" w14:paraId="666236C6" w14:textId="77777777" w:rsidTr="003F6AD3">
        <w:trPr>
          <w:trHeight w:val="36"/>
          <w:jc w:val="center"/>
        </w:trPr>
        <w:tc>
          <w:tcPr>
            <w:tcW w:w="1230" w:type="dxa"/>
            <w:vMerge/>
            <w:vAlign w:val="center"/>
          </w:tcPr>
          <w:p w14:paraId="48C93DD1" w14:textId="77777777" w:rsidR="002968C1" w:rsidRDefault="002968C1" w:rsidP="002968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6B555D87" w14:textId="27E7F98D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东吴证券</w:t>
            </w:r>
          </w:p>
        </w:tc>
        <w:tc>
          <w:tcPr>
            <w:tcW w:w="1977" w:type="dxa"/>
            <w:vAlign w:val="center"/>
          </w:tcPr>
          <w:p w14:paraId="44F205BE" w14:textId="2B493234" w:rsidR="002968C1" w:rsidRPr="00F1700C" w:rsidRDefault="003F6AD3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700C">
              <w:rPr>
                <w:rFonts w:ascii="宋体" w:eastAsia="宋体" w:hAnsi="宋体" w:hint="eastAsia"/>
                <w:color w:val="000000"/>
                <w:sz w:val="22"/>
              </w:rPr>
              <w:t>陕西文化产业投资</w:t>
            </w:r>
          </w:p>
        </w:tc>
        <w:tc>
          <w:tcPr>
            <w:tcW w:w="1855" w:type="dxa"/>
            <w:vAlign w:val="center"/>
          </w:tcPr>
          <w:p w14:paraId="13D3340D" w14:textId="733396CD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28808B06" w14:textId="669073F8" w:rsidR="002968C1" w:rsidRPr="00F1700C" w:rsidRDefault="002968C1" w:rsidP="002968C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87F2C" w14:paraId="2072EA5C" w14:textId="77777777" w:rsidTr="003F6AD3">
        <w:trPr>
          <w:jc w:val="center"/>
        </w:trPr>
        <w:tc>
          <w:tcPr>
            <w:tcW w:w="1230" w:type="dxa"/>
          </w:tcPr>
          <w:p w14:paraId="292FABD1" w14:textId="77777777" w:rsidR="00487F2C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7605" w:type="dxa"/>
            <w:gridSpan w:val="4"/>
          </w:tcPr>
          <w:p w14:paraId="24DF2A9F" w14:textId="0E7AA6C2" w:rsidR="00487F2C" w:rsidRDefault="000000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202</w:t>
            </w:r>
            <w:r w:rsidR="00AB460E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AB460E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AB460E">
              <w:rPr>
                <w:rFonts w:ascii="Times New Roman" w:eastAsia="宋体" w:hAnsi="Times New Roman" w:cs="Times New Roman"/>
                <w:sz w:val="24"/>
                <w:szCs w:val="24"/>
              </w:rPr>
              <w:t>31</w:t>
            </w:r>
            <w:r w:rsidR="004D2E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487F2C" w14:paraId="10AC4B7E" w14:textId="77777777" w:rsidTr="003F6AD3">
        <w:trPr>
          <w:jc w:val="center"/>
        </w:trPr>
        <w:tc>
          <w:tcPr>
            <w:tcW w:w="1230" w:type="dxa"/>
          </w:tcPr>
          <w:p w14:paraId="739581AB" w14:textId="77777777" w:rsidR="00487F2C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7605" w:type="dxa"/>
            <w:gridSpan w:val="4"/>
          </w:tcPr>
          <w:p w14:paraId="499C6A71" w14:textId="77777777" w:rsidR="00487F2C" w:rsidRDefault="000000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公司北京会议室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视频会议</w:t>
            </w:r>
          </w:p>
        </w:tc>
      </w:tr>
      <w:tr w:rsidR="00487F2C" w:rsidRPr="00355B43" w14:paraId="6206D155" w14:textId="77777777" w:rsidTr="003F6AD3">
        <w:trPr>
          <w:trHeight w:val="485"/>
          <w:jc w:val="center"/>
        </w:trPr>
        <w:tc>
          <w:tcPr>
            <w:tcW w:w="1230" w:type="dxa"/>
            <w:vAlign w:val="center"/>
          </w:tcPr>
          <w:p w14:paraId="3CD8DD77" w14:textId="77777777" w:rsidR="00487F2C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公司接待人员</w:t>
            </w:r>
          </w:p>
        </w:tc>
        <w:tc>
          <w:tcPr>
            <w:tcW w:w="7605" w:type="dxa"/>
            <w:gridSpan w:val="4"/>
            <w:vAlign w:val="center"/>
          </w:tcPr>
          <w:p w14:paraId="3770F395" w14:textId="12F26088" w:rsidR="00355B43" w:rsidRDefault="00355B43" w:rsidP="00355B4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姓名：</w:t>
            </w:r>
            <w:r w:rsidR="00F1700C" w:rsidRPr="00F1700C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Pr="00F1700C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>郝</w:t>
            </w:r>
            <w:r w:rsidRPr="00355B43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>俊文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职位：</w:t>
            </w:r>
            <w:r w:rsidR="007C121B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355B43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>董事、总经理</w:t>
            </w:r>
            <w:r w:rsidRPr="003D3325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</w:t>
            </w:r>
          </w:p>
          <w:p w14:paraId="54ECA0F2" w14:textId="6573F6C1" w:rsidR="0072364B" w:rsidRDefault="0072364B" w:rsidP="0072364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姓名：</w:t>
            </w:r>
            <w:r w:rsidRPr="0072364B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Pr="0072364B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>郎</w:t>
            </w:r>
            <w:r w:rsidR="00F1700C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="00F1700C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2364B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>静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职位：</w:t>
            </w:r>
            <w:r w:rsidR="003D3325" w:rsidRPr="003D3325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="007C121B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D3325" w:rsidRPr="003D3325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>副总经理、财务总监</w:t>
            </w:r>
            <w:r w:rsidR="003D3325" w:rsidRPr="003D3325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D3325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D3325" w:rsidRPr="003D3325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78A5EA63" w14:textId="2CCE248E" w:rsidR="0072364B" w:rsidRDefault="0072364B" w:rsidP="0072364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姓名：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>袁</w:t>
            </w:r>
            <w:proofErr w:type="gramEnd"/>
            <w:r w:rsidR="00F1700C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="00F1700C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>钢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职位：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C121B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>副总经理、董事会秘书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4D4018AD" w14:textId="4ADD5B09" w:rsidR="00355B43" w:rsidRDefault="00355B43" w:rsidP="0072364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姓名：</w:t>
            </w:r>
            <w:r w:rsidRPr="00355B43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="007C121B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>范本勇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职位：</w:t>
            </w:r>
            <w:r w:rsidR="007C121B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7C121B" w:rsidRPr="007C121B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>董事、副总经理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</w:t>
            </w:r>
          </w:p>
          <w:p w14:paraId="664AE408" w14:textId="589FFBE4" w:rsidR="007C121B" w:rsidRDefault="007C121B" w:rsidP="007C121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姓名：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7C121B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>章夏威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职位：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7C121B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>财务中心总经理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</w:t>
            </w:r>
          </w:p>
          <w:p w14:paraId="72A5E9CA" w14:textId="6A6219C0" w:rsidR="00355B43" w:rsidRPr="00355B43" w:rsidRDefault="000000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姓名：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>刘素宁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职位：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F7B21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>证券事务代表</w:t>
            </w:r>
            <w:r w:rsidR="003D3325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="003D3325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355B43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D3325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C121B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D3325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487F2C" w14:paraId="761156C1" w14:textId="77777777" w:rsidTr="003F6AD3">
        <w:trPr>
          <w:trHeight w:val="3959"/>
          <w:jc w:val="center"/>
        </w:trPr>
        <w:tc>
          <w:tcPr>
            <w:tcW w:w="1230" w:type="dxa"/>
            <w:vAlign w:val="center"/>
          </w:tcPr>
          <w:p w14:paraId="3A9999E6" w14:textId="77777777" w:rsidR="00487F2C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lastRenderedPageBreak/>
              <w:t>调研内容</w:t>
            </w:r>
          </w:p>
        </w:tc>
        <w:tc>
          <w:tcPr>
            <w:tcW w:w="7605" w:type="dxa"/>
            <w:gridSpan w:val="4"/>
          </w:tcPr>
          <w:p w14:paraId="77E9B964" w14:textId="4DAD1818" w:rsidR="0037142B" w:rsidRDefault="00270713">
            <w:pPr>
              <w:numPr>
                <w:ilvl w:val="0"/>
                <w:numId w:val="1"/>
              </w:numPr>
              <w:spacing w:before="240"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公司预焙阳极产品全年销量预期</w:t>
            </w:r>
            <w:r w:rsidR="00307B09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如何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？</w:t>
            </w:r>
          </w:p>
          <w:p w14:paraId="5DCD6980" w14:textId="06106AAE" w:rsidR="00270713" w:rsidRPr="008C6641" w:rsidRDefault="008C6641" w:rsidP="008C664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C6641">
              <w:rPr>
                <w:rFonts w:ascii="Times New Roman" w:eastAsia="宋体" w:hAnsi="Times New Roman" w:cs="Times New Roman"/>
                <w:sz w:val="24"/>
                <w:szCs w:val="24"/>
              </w:rPr>
              <w:t>2023</w:t>
            </w:r>
            <w:r w:rsidRPr="008C6641">
              <w:rPr>
                <w:rFonts w:ascii="Times New Roman" w:eastAsia="宋体" w:hAnsi="Times New Roman" w:cs="Times New Roman"/>
                <w:sz w:val="24"/>
                <w:szCs w:val="24"/>
              </w:rPr>
              <w:t>年上半年，</w:t>
            </w:r>
            <w:r w:rsidRPr="008C664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公司销售预焙阳极</w:t>
            </w:r>
            <w:r w:rsidRPr="008C664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142.09</w:t>
            </w:r>
            <w:r w:rsidRPr="008C664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万吨，同比增长</w:t>
            </w:r>
            <w:r w:rsidRPr="008C664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12.28%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，保持全年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万吨销售目标</w:t>
            </w:r>
            <w:r w:rsidR="00307B0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不变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31B1D53D" w14:textId="02F709CF" w:rsidR="00487F2C" w:rsidRDefault="007C121B">
            <w:pPr>
              <w:numPr>
                <w:ilvl w:val="0"/>
                <w:numId w:val="1"/>
              </w:numPr>
              <w:spacing w:before="240"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C121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6</w:t>
            </w:r>
            <w:r w:rsidRPr="007C121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后</w:t>
            </w:r>
            <w:r w:rsidR="004A4053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预焙阳极</w:t>
            </w:r>
            <w:r w:rsidRPr="007C121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和石油焦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价格</w:t>
            </w:r>
            <w:r w:rsidRPr="007C121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持续平稳，后续</w:t>
            </w:r>
            <w:r w:rsidR="00197A07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行业</w:t>
            </w:r>
            <w:r w:rsidRPr="007C121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盈利情况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如何</w:t>
            </w:r>
            <w:r w:rsidR="00E05A82" w:rsidRPr="00E05A82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？</w:t>
            </w:r>
          </w:p>
          <w:p w14:paraId="0E4E3FFB" w14:textId="2717A801" w:rsidR="00E05A82" w:rsidRDefault="00934076" w:rsidP="00E05A82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月至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月，</w:t>
            </w:r>
            <w:r w:rsidR="003E5F3E" w:rsidRPr="003E5F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山东某大型铝厂发布的</w:t>
            </w:r>
            <w:r w:rsidR="003E5F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预焙阳极</w:t>
            </w:r>
            <w:r w:rsidR="003E5F3E" w:rsidRPr="003E5F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采购基准价</w:t>
            </w:r>
            <w:r w:rsidR="007C12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保持</w:t>
            </w:r>
            <w:r w:rsidR="007C121B" w:rsidRPr="007C121B">
              <w:rPr>
                <w:rFonts w:ascii="Times New Roman" w:eastAsia="宋体" w:hAnsi="Times New Roman" w:cs="Times New Roman"/>
                <w:sz w:val="24"/>
                <w:szCs w:val="24"/>
              </w:rPr>
              <w:t>平</w:t>
            </w:r>
            <w:r w:rsidR="007C12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稳。</w:t>
            </w:r>
            <w:r w:rsidR="00307B0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同时</w:t>
            </w:r>
            <w:r w:rsidR="008F577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，主要原材料</w:t>
            </w:r>
            <w:r w:rsidR="007C121B" w:rsidRPr="007C121B">
              <w:rPr>
                <w:rFonts w:ascii="Times New Roman" w:eastAsia="宋体" w:hAnsi="Times New Roman" w:cs="Times New Roman"/>
                <w:sz w:val="24"/>
                <w:szCs w:val="24"/>
              </w:rPr>
              <w:t>石油焦价格</w:t>
            </w:r>
            <w:r w:rsidR="00197A0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近期</w:t>
            </w:r>
            <w:r w:rsidR="008F577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平</w:t>
            </w:r>
            <w:r w:rsidR="007C121B" w:rsidRPr="007C121B">
              <w:rPr>
                <w:rFonts w:ascii="Times New Roman" w:eastAsia="宋体" w:hAnsi="Times New Roman" w:cs="Times New Roman"/>
                <w:sz w:val="24"/>
                <w:szCs w:val="24"/>
              </w:rPr>
              <w:t>稳</w:t>
            </w:r>
            <w:r w:rsidR="007C12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。在原材料和产品价格稳定的前提下，预焙阳极</w:t>
            </w:r>
            <w:r w:rsidR="007C121B" w:rsidRPr="007C121B">
              <w:rPr>
                <w:rFonts w:ascii="Times New Roman" w:eastAsia="宋体" w:hAnsi="Times New Roman" w:cs="Times New Roman"/>
                <w:sz w:val="24"/>
                <w:szCs w:val="24"/>
              </w:rPr>
              <w:t>行业经营情况</w:t>
            </w:r>
            <w:r w:rsidR="00BD71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有望</w:t>
            </w:r>
            <w:r w:rsidR="007C121B" w:rsidRPr="007C121B">
              <w:rPr>
                <w:rFonts w:ascii="Times New Roman" w:eastAsia="宋体" w:hAnsi="Times New Roman" w:cs="Times New Roman"/>
                <w:sz w:val="24"/>
                <w:szCs w:val="24"/>
              </w:rPr>
              <w:t>边际改善。</w:t>
            </w:r>
          </w:p>
          <w:p w14:paraId="6AF94A36" w14:textId="33167D4D" w:rsidR="00487F2C" w:rsidRDefault="008D53BB">
            <w:pPr>
              <w:numPr>
                <w:ilvl w:val="0"/>
                <w:numId w:val="1"/>
              </w:numPr>
              <w:spacing w:before="240"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公司</w:t>
            </w:r>
            <w:r w:rsidR="00307B09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三季度是否还存在</w:t>
            </w:r>
            <w:r w:rsidR="00D761D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存货</w:t>
            </w:r>
            <w:r w:rsidR="007C121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减值风险</w:t>
            </w:r>
            <w:r w:rsidR="00E05A82" w:rsidRPr="00E05A82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？</w:t>
            </w:r>
          </w:p>
          <w:p w14:paraId="4B77E190" w14:textId="6EC9110F" w:rsidR="007477E7" w:rsidRDefault="007C121B" w:rsidP="00BC6C5E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公司严格按照会计政策计提</w:t>
            </w:r>
            <w:r w:rsidR="008D53B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存货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资产减值准备</w:t>
            </w:r>
            <w:r w:rsidR="006765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，若存货可变现净值低于账面价值需计提存货减值准备。存货可变</w:t>
            </w:r>
            <w:r w:rsidR="003F6AD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</w:t>
            </w:r>
            <w:r w:rsidR="006765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净值与预焙阳极产品</w:t>
            </w:r>
            <w:r w:rsidR="009C00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和石油焦</w:t>
            </w:r>
            <w:r w:rsidR="006765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价格密切相关，</w:t>
            </w:r>
            <w:r w:rsidR="008D53BB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="008D53B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月至</w:t>
            </w:r>
            <w:r w:rsidR="008D53B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8D53B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月预焙阳极产品</w:t>
            </w:r>
            <w:r w:rsidR="009C00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和石油焦</w:t>
            </w:r>
            <w:r w:rsidR="008D53B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价格</w:t>
            </w:r>
            <w:r w:rsidR="00D761D4" w:rsidRPr="008D53B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已经保持稳定</w:t>
            </w:r>
            <w:r w:rsidRPr="008D53B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4BDBBAFF" w14:textId="176F3AB5" w:rsidR="0078263F" w:rsidRDefault="0078263F" w:rsidP="0078263F">
            <w:pPr>
              <w:numPr>
                <w:ilvl w:val="0"/>
                <w:numId w:val="1"/>
              </w:numPr>
              <w:spacing w:before="240"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公司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024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年预焙阳极业务发展情况，以及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025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年预焙阳极</w:t>
            </w:r>
            <w:r w:rsidR="009A60F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产能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目标是否有变化</w:t>
            </w:r>
            <w:r w:rsidRPr="00E05A82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？</w:t>
            </w:r>
            <w:r w:rsidR="00612F13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目前预焙阳极市场是否存在增量空间？</w:t>
            </w:r>
          </w:p>
          <w:p w14:paraId="47A19AAF" w14:textId="6F4D8E4C" w:rsidR="0078263F" w:rsidRDefault="0078263F" w:rsidP="00A71ED2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</w:t>
            </w:r>
            <w:r w:rsidR="00A71ED2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年预焙阳极</w:t>
            </w:r>
            <w:r w:rsidR="00A71E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在产产能</w:t>
            </w:r>
            <w:r w:rsidR="00A71E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A71ED2">
              <w:rPr>
                <w:rFonts w:ascii="Times New Roman" w:eastAsia="宋体" w:hAnsi="Times New Roman" w:cs="Times New Roman"/>
                <w:sz w:val="24"/>
                <w:szCs w:val="24"/>
              </w:rPr>
              <w:t>82</w:t>
            </w:r>
            <w:r w:rsidR="00A71E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万吨。</w:t>
            </w:r>
            <w:r w:rsidR="00A71ED2" w:rsidRPr="00A71E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山东创新二期项目、陇西索通</w:t>
            </w:r>
            <w:r w:rsidR="00A71ED2" w:rsidRPr="00A71ED2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  <w:r w:rsidR="00A71ED2" w:rsidRPr="00A71ED2">
              <w:rPr>
                <w:rFonts w:ascii="Times New Roman" w:eastAsia="宋体" w:hAnsi="Times New Roman" w:cs="Times New Roman"/>
                <w:sz w:val="24"/>
                <w:szCs w:val="24"/>
              </w:rPr>
              <w:t>万吨铝用炭材料项目</w:t>
            </w:r>
            <w:r w:rsidR="00A71ED2" w:rsidRPr="00A71E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已正式启动</w:t>
            </w:r>
            <w:r w:rsidR="00A71E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A71ED2" w:rsidRPr="00A71E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重庆市綦江区年产</w:t>
            </w:r>
            <w:r w:rsidR="00A71ED2" w:rsidRPr="00A71ED2">
              <w:rPr>
                <w:rFonts w:ascii="Times New Roman" w:eastAsia="宋体" w:hAnsi="Times New Roman" w:cs="Times New Roman"/>
                <w:sz w:val="24"/>
                <w:szCs w:val="24"/>
              </w:rPr>
              <w:t>25</w:t>
            </w:r>
            <w:r w:rsidR="00A71ED2" w:rsidRPr="00A71ED2">
              <w:rPr>
                <w:rFonts w:ascii="Times New Roman" w:eastAsia="宋体" w:hAnsi="Times New Roman" w:cs="Times New Roman"/>
                <w:sz w:val="24"/>
                <w:szCs w:val="24"/>
              </w:rPr>
              <w:t>万吨高导电节能型铝用炭材料和</w:t>
            </w:r>
            <w:r w:rsidR="00A71ED2" w:rsidRPr="00A71ED2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="00A71ED2" w:rsidRPr="00A71ED2">
              <w:rPr>
                <w:rFonts w:ascii="Times New Roman" w:eastAsia="宋体" w:hAnsi="Times New Roman" w:cs="Times New Roman"/>
                <w:sz w:val="24"/>
                <w:szCs w:val="24"/>
              </w:rPr>
              <w:t>万吨锂电池高端负极材料生产用箱板项目目前已与当地政府签署《招商引资协议》，相关筹建工作正在稳步推进中。</w:t>
            </w:r>
            <w:r w:rsidR="00A71E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上述项目完工后</w:t>
            </w:r>
            <w:r w:rsidR="003E5F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公司预焙阳极总产能</w:t>
            </w:r>
            <w:r w:rsidR="00A71E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将</w:t>
            </w:r>
            <w:r w:rsidR="003E5F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达到</w:t>
            </w:r>
            <w:r w:rsidR="00A71E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A71ED2">
              <w:rPr>
                <w:rFonts w:ascii="Times New Roman" w:eastAsia="宋体" w:hAnsi="Times New Roman" w:cs="Times New Roman"/>
                <w:sz w:val="24"/>
                <w:szCs w:val="24"/>
              </w:rPr>
              <w:t>71</w:t>
            </w:r>
            <w:r w:rsidR="00A71E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万吨</w:t>
            </w:r>
            <w:r w:rsidR="003E5F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，同时形成</w:t>
            </w:r>
            <w:r w:rsidR="00A71E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="00A71E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万吨箱板产能。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025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年预焙阳极签约产能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万吨目标无变化。</w:t>
            </w:r>
            <w:r w:rsidR="00612F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自</w:t>
            </w:r>
            <w:r w:rsidR="00612F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612F13">
              <w:rPr>
                <w:rFonts w:ascii="Times New Roman" w:eastAsia="宋体" w:hAnsi="Times New Roman" w:cs="Times New Roman"/>
                <w:sz w:val="24"/>
                <w:szCs w:val="24"/>
              </w:rPr>
              <w:t>022</w:t>
            </w:r>
            <w:r w:rsidR="00612F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612F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612F13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612F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6A24E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至</w:t>
            </w:r>
            <w:r w:rsidR="006A24E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6A24EF">
              <w:rPr>
                <w:rFonts w:ascii="Times New Roman" w:eastAsia="宋体" w:hAnsi="Times New Roman" w:cs="Times New Roman"/>
                <w:sz w:val="24"/>
                <w:szCs w:val="24"/>
              </w:rPr>
              <w:t>023</w:t>
            </w:r>
            <w:r w:rsidR="006A24E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6A24E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 w:rsidR="006A24E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月，</w:t>
            </w:r>
            <w:r w:rsidR="00612F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预焙阳极市场价格</w:t>
            </w:r>
            <w:r w:rsidR="006A24E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</w:t>
            </w:r>
            <w:r w:rsidR="00612F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剧烈波动促使行业部分产能出清，为公司</w:t>
            </w:r>
            <w:r w:rsidR="00247F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未来新增</w:t>
            </w:r>
            <w:r w:rsidR="00612F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产能布局提供了</w:t>
            </w:r>
            <w:r w:rsidR="00247F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条件</w:t>
            </w:r>
            <w:r w:rsidR="00612F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1496FE81" w14:textId="7F54AB67" w:rsidR="00487F2C" w:rsidRDefault="00086475">
            <w:pPr>
              <w:numPr>
                <w:ilvl w:val="0"/>
                <w:numId w:val="1"/>
              </w:numPr>
              <w:spacing w:before="240"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公司出海建厂的主要考虑因素</w:t>
            </w:r>
            <w:r w:rsidR="008A2410" w:rsidRPr="008A241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？</w:t>
            </w:r>
          </w:p>
          <w:p w14:paraId="7FAE498A" w14:textId="6FAF6A90" w:rsidR="00487F2C" w:rsidRDefault="00086475" w:rsidP="007477E7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公司出海建厂</w:t>
            </w:r>
            <w:r w:rsidR="008D53B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以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客户为导向，以综合成本最优为原则</w:t>
            </w:r>
            <w:r w:rsidR="007477E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  <w:r w:rsidR="009C00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9C003D">
              <w:rPr>
                <w:rFonts w:ascii="Times New Roman" w:eastAsia="宋体" w:hAnsi="Times New Roman" w:cs="Times New Roman"/>
                <w:sz w:val="24"/>
                <w:szCs w:val="24"/>
              </w:rPr>
              <w:t>023</w:t>
            </w:r>
            <w:r w:rsidR="009C00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CC1DD9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="009C00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月公司</w:t>
            </w:r>
            <w:r w:rsidR="009C003D" w:rsidRPr="009C00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与阿联酋环球铝业（</w:t>
            </w:r>
            <w:r w:rsidR="009C003D" w:rsidRPr="009C003D">
              <w:rPr>
                <w:rFonts w:ascii="Times New Roman" w:eastAsia="宋体" w:hAnsi="Times New Roman" w:cs="Times New Roman"/>
                <w:sz w:val="24"/>
                <w:szCs w:val="24"/>
              </w:rPr>
              <w:t>EGA</w:t>
            </w:r>
            <w:r w:rsidR="009C003D" w:rsidRPr="009C003D">
              <w:rPr>
                <w:rFonts w:ascii="Times New Roman" w:eastAsia="宋体" w:hAnsi="Times New Roman" w:cs="Times New Roman"/>
                <w:sz w:val="24"/>
                <w:szCs w:val="24"/>
              </w:rPr>
              <w:t>）签署投资谅解备忘录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086475">
              <w:rPr>
                <w:rFonts w:ascii="Times New Roman" w:eastAsia="宋体" w:hAnsi="Times New Roman" w:cs="Times New Roman"/>
                <w:sz w:val="24"/>
                <w:szCs w:val="24"/>
              </w:rPr>
              <w:t>EGA</w:t>
            </w:r>
            <w:r w:rsidRPr="00086475">
              <w:rPr>
                <w:rFonts w:ascii="Times New Roman" w:eastAsia="宋体" w:hAnsi="Times New Roman" w:cs="Times New Roman"/>
                <w:sz w:val="24"/>
                <w:szCs w:val="24"/>
              </w:rPr>
              <w:t>一直是公司重要的海外客户，基于十七年的业务合作与信任，</w:t>
            </w:r>
            <w:r w:rsidRPr="00086475">
              <w:rPr>
                <w:rFonts w:ascii="Times New Roman" w:eastAsia="宋体" w:hAnsi="Times New Roman" w:cs="Times New Roman"/>
                <w:sz w:val="24"/>
                <w:szCs w:val="24"/>
              </w:rPr>
              <w:t>EGA</w:t>
            </w:r>
            <w:r w:rsidRPr="00086475">
              <w:rPr>
                <w:rFonts w:ascii="Times New Roman" w:eastAsia="宋体" w:hAnsi="Times New Roman" w:cs="Times New Roman"/>
                <w:sz w:val="24"/>
                <w:szCs w:val="24"/>
              </w:rPr>
              <w:t>对公司的产品和服务高度认可，双方共同决定由业务</w:t>
            </w:r>
            <w:r w:rsidRPr="008D53BB">
              <w:rPr>
                <w:rFonts w:ascii="Times New Roman" w:eastAsia="宋体" w:hAnsi="Times New Roman" w:cs="Times New Roman"/>
                <w:sz w:val="24"/>
                <w:szCs w:val="24"/>
              </w:rPr>
              <w:t>合作向产业链融合进一步延伸。</w:t>
            </w:r>
          </w:p>
          <w:p w14:paraId="7C749B51" w14:textId="0BC75FAF" w:rsidR="00652DF7" w:rsidRDefault="00652DF7" w:rsidP="00652DF7">
            <w:pPr>
              <w:numPr>
                <w:ilvl w:val="0"/>
                <w:numId w:val="1"/>
              </w:numPr>
              <w:spacing w:before="240"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2B2F52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lastRenderedPageBreak/>
              <w:t>海外预焙阳极的市场增量空间？</w:t>
            </w:r>
          </w:p>
          <w:p w14:paraId="293CEAC6" w14:textId="4E8EA8D4" w:rsidR="00652DF7" w:rsidRDefault="005A670C" w:rsidP="00652DF7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根据</w:t>
            </w:r>
            <w:r w:rsidR="00D71784" w:rsidRPr="00D717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国际铝业协会（</w:t>
            </w:r>
            <w:r w:rsidR="00D71784" w:rsidRPr="00D71784">
              <w:rPr>
                <w:rFonts w:ascii="Times New Roman" w:eastAsia="宋体" w:hAnsi="Times New Roman" w:cs="Times New Roman"/>
                <w:sz w:val="24"/>
                <w:szCs w:val="24"/>
              </w:rPr>
              <w:t>IAI</w:t>
            </w:r>
            <w:r w:rsidR="00D71784" w:rsidRPr="00D71784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="00D71784" w:rsidRPr="00D7178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International </w:t>
            </w:r>
            <w:proofErr w:type="spellStart"/>
            <w:r w:rsidR="00D71784" w:rsidRPr="00D71784">
              <w:rPr>
                <w:rFonts w:ascii="Times New Roman" w:eastAsia="宋体" w:hAnsi="Times New Roman" w:cs="Times New Roman"/>
                <w:sz w:val="24"/>
                <w:szCs w:val="24"/>
              </w:rPr>
              <w:t>Aluminium</w:t>
            </w:r>
            <w:proofErr w:type="spellEnd"/>
            <w:r w:rsidR="00D71784" w:rsidRPr="00D7178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Institute</w:t>
            </w:r>
            <w:r w:rsidR="00D71784" w:rsidRPr="00D71784">
              <w:rPr>
                <w:rFonts w:ascii="Times New Roman" w:eastAsia="宋体" w:hAnsi="Times New Roman" w:cs="Times New Roman"/>
                <w:sz w:val="24"/>
                <w:szCs w:val="24"/>
              </w:rPr>
              <w:t>）预测，</w:t>
            </w:r>
            <w:r w:rsidR="00D71784" w:rsidRPr="00D71784">
              <w:rPr>
                <w:rFonts w:ascii="Times New Roman" w:eastAsia="宋体" w:hAnsi="Times New Roman" w:cs="Times New Roman"/>
                <w:sz w:val="24"/>
                <w:szCs w:val="24"/>
              </w:rPr>
              <w:t>2030</w:t>
            </w:r>
            <w:r w:rsidR="00D71784" w:rsidRPr="00D71784">
              <w:rPr>
                <w:rFonts w:ascii="Times New Roman" w:eastAsia="宋体" w:hAnsi="Times New Roman" w:cs="Times New Roman"/>
                <w:sz w:val="24"/>
                <w:szCs w:val="24"/>
              </w:rPr>
              <w:t>年全球铝需求量将达到</w:t>
            </w:r>
            <w:r w:rsidR="00D71784" w:rsidRPr="00D71784">
              <w:rPr>
                <w:rFonts w:ascii="Times New Roman" w:eastAsia="宋体" w:hAnsi="Times New Roman" w:cs="Times New Roman"/>
                <w:sz w:val="24"/>
                <w:szCs w:val="24"/>
              </w:rPr>
              <w:t>1.195</w:t>
            </w:r>
            <w:r w:rsidR="00D71784" w:rsidRPr="00D71784">
              <w:rPr>
                <w:rFonts w:ascii="Times New Roman" w:eastAsia="宋体" w:hAnsi="Times New Roman" w:cs="Times New Roman"/>
                <w:sz w:val="24"/>
                <w:szCs w:val="24"/>
              </w:rPr>
              <w:t>亿吨，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未来</w:t>
            </w:r>
            <w:r w:rsidR="00D71784" w:rsidRPr="00D71784">
              <w:rPr>
                <w:rFonts w:ascii="Times New Roman" w:eastAsia="宋体" w:hAnsi="Times New Roman" w:cs="Times New Roman"/>
                <w:sz w:val="24"/>
                <w:szCs w:val="24"/>
              </w:rPr>
              <w:t>铝行业需要增产</w:t>
            </w:r>
            <w:r w:rsidR="00D71784" w:rsidRPr="00D71784">
              <w:rPr>
                <w:rFonts w:ascii="Times New Roman" w:eastAsia="宋体" w:hAnsi="Times New Roman" w:cs="Times New Roman"/>
                <w:sz w:val="24"/>
                <w:szCs w:val="24"/>
              </w:rPr>
              <w:t>3330</w:t>
            </w:r>
            <w:r w:rsidR="00D71784" w:rsidRPr="00D71784">
              <w:rPr>
                <w:rFonts w:ascii="Times New Roman" w:eastAsia="宋体" w:hAnsi="Times New Roman" w:cs="Times New Roman"/>
                <w:sz w:val="24"/>
                <w:szCs w:val="24"/>
              </w:rPr>
              <w:t>万吨。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每吨电解铝消耗约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吨预焙阳极，</w:t>
            </w:r>
            <w:r w:rsidRPr="004A40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因此</w:t>
            </w:r>
            <w:r w:rsidR="004A4053" w:rsidRPr="004A40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新增电解铝产能对应预焙阳极产能</w:t>
            </w:r>
            <w:r w:rsidRPr="004A40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650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万吨，同时</w:t>
            </w:r>
            <w:r w:rsidR="00D717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考虑到海外预焙阳极产能进入更新周期，因此海外预焙阳极产能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新增</w:t>
            </w:r>
            <w:r w:rsidR="00D717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需求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有望超过</w:t>
            </w:r>
            <w:r w:rsidR="00D717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D71784">
              <w:rPr>
                <w:rFonts w:ascii="Times New Roman" w:eastAsia="宋体" w:hAnsi="Times New Roman" w:cs="Times New Roman"/>
                <w:sz w:val="24"/>
                <w:szCs w:val="24"/>
              </w:rPr>
              <w:t>000</w:t>
            </w:r>
            <w:r w:rsidR="00D717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万吨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38472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市场空间广阔。</w:t>
            </w:r>
          </w:p>
          <w:p w14:paraId="2E700937" w14:textId="3D2C1AF2" w:rsidR="005A670C" w:rsidRPr="00652DF7" w:rsidRDefault="005A670C" w:rsidP="002968C1">
            <w:pPr>
              <w:spacing w:line="36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参考数据来源：</w:t>
            </w:r>
            <w:r w:rsidRPr="005A670C">
              <w:rPr>
                <w:rFonts w:ascii="Times New Roman" w:eastAsia="宋体" w:hAnsi="Times New Roman" w:cs="Times New Roman"/>
                <w:sz w:val="24"/>
                <w:szCs w:val="24"/>
              </w:rPr>
              <w:t>https://geoglobal.mnr.gov.cn/zx/kczygl/zcdt/202307/t20230707_8552189.htm</w:t>
            </w:r>
          </w:p>
          <w:p w14:paraId="5C48398E" w14:textId="42DE750A" w:rsidR="00487F2C" w:rsidRDefault="00086475">
            <w:pPr>
              <w:numPr>
                <w:ilvl w:val="0"/>
                <w:numId w:val="1"/>
              </w:numPr>
              <w:spacing w:before="240"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8647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投资建设</w:t>
            </w:r>
            <w:proofErr w:type="gramStart"/>
            <w:r w:rsidRPr="0008647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锂</w:t>
            </w:r>
            <w:proofErr w:type="gramEnd"/>
            <w:r w:rsidRPr="0008647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离子电池负极材料项目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的战略考虑和时间安排</w:t>
            </w:r>
            <w:r w:rsidR="008A2410" w:rsidRPr="008A241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？</w:t>
            </w:r>
          </w:p>
          <w:p w14:paraId="12C40399" w14:textId="2E704C5B" w:rsidR="00487F2C" w:rsidRDefault="00086475" w:rsidP="009C003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64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一是有利于发挥公司石油焦规模采购优势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0864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二是有利于发挥嘉峪关低碳产业</w:t>
            </w:r>
            <w:proofErr w:type="gramStart"/>
            <w:r w:rsidRPr="000864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园区光伏绿电优势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0864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三是有利于进一步发挥预焙阳极与锂电负极协同效应。</w:t>
            </w:r>
            <w:r w:rsidR="009C00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公司将根据</w:t>
            </w:r>
            <w:r w:rsidR="009C003D" w:rsidRPr="009C00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市场行情及客户开发情况</w:t>
            </w:r>
            <w:r w:rsidR="009C00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稳健</w:t>
            </w:r>
            <w:r w:rsidR="009C003D" w:rsidRPr="009C00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推进项目建设</w:t>
            </w:r>
            <w:r w:rsidR="009C00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进度。</w:t>
            </w:r>
          </w:p>
          <w:p w14:paraId="1096C92F" w14:textId="42DABEA8" w:rsidR="009D21DD" w:rsidRPr="009D21DD" w:rsidRDefault="005134C8" w:rsidP="009D21DD">
            <w:pPr>
              <w:numPr>
                <w:ilvl w:val="0"/>
                <w:numId w:val="1"/>
              </w:numPr>
              <w:spacing w:before="240"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第二季度经营活动</w:t>
            </w:r>
            <w:r w:rsidR="009D21DD" w:rsidRPr="009D21D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现金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净流量</w:t>
            </w:r>
            <w:r w:rsidR="009D21DD" w:rsidRPr="009D21D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由负转正，能否介绍改善原因？</w:t>
            </w:r>
          </w:p>
          <w:p w14:paraId="20C88914" w14:textId="21BC961A" w:rsidR="009C003D" w:rsidRDefault="005134C8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公司第二季度</w:t>
            </w:r>
            <w:r w:rsidRPr="005134C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经营活动现金净流量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为净流入且公司持有大量银行承兑汇票</w:t>
            </w:r>
            <w:r w:rsidR="00E577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，流动性有显著改善。</w:t>
            </w:r>
            <w:r w:rsidR="009C00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9C003D">
              <w:rPr>
                <w:rFonts w:ascii="Times New Roman" w:eastAsia="宋体" w:hAnsi="Times New Roman" w:cs="Times New Roman"/>
                <w:sz w:val="24"/>
                <w:szCs w:val="24"/>
              </w:rPr>
              <w:t>023</w:t>
            </w:r>
            <w:r w:rsidR="009C00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247F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上半年</w:t>
            </w:r>
            <w:r w:rsidR="009C00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</w:t>
            </w:r>
            <w:r w:rsidR="00247F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采取有力措施，保证销售回款，</w:t>
            </w:r>
            <w:r w:rsidR="009C00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提高存货周转效率，</w:t>
            </w:r>
            <w:r w:rsidR="009C003D" w:rsidRPr="009C00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经营性现金流净额同比显著改善。</w:t>
            </w:r>
          </w:p>
          <w:p w14:paraId="68934D82" w14:textId="7CA7BD73" w:rsidR="00E41F36" w:rsidRPr="00E41F36" w:rsidRDefault="00E41F36" w:rsidP="009C003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87F2C" w14:paraId="4C1E2132" w14:textId="77777777" w:rsidTr="003F6AD3">
        <w:trPr>
          <w:jc w:val="center"/>
        </w:trPr>
        <w:tc>
          <w:tcPr>
            <w:tcW w:w="1230" w:type="dxa"/>
          </w:tcPr>
          <w:p w14:paraId="123A24D9" w14:textId="77777777" w:rsidR="00487F2C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lastRenderedPageBreak/>
              <w:t>相关文件清单</w:t>
            </w:r>
          </w:p>
        </w:tc>
        <w:tc>
          <w:tcPr>
            <w:tcW w:w="7605" w:type="dxa"/>
            <w:gridSpan w:val="4"/>
          </w:tcPr>
          <w:p w14:paraId="5BA460B0" w14:textId="77777777" w:rsidR="00487F2C" w:rsidRDefault="000000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无</w:t>
            </w:r>
          </w:p>
        </w:tc>
      </w:tr>
    </w:tbl>
    <w:p w14:paraId="2BEC931E" w14:textId="77777777" w:rsidR="00487F2C" w:rsidRDefault="00487F2C"/>
    <w:sectPr w:rsidR="00487F2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7853" w14:textId="77777777" w:rsidR="00CD2A6C" w:rsidRDefault="00CD2A6C">
      <w:r>
        <w:separator/>
      </w:r>
    </w:p>
  </w:endnote>
  <w:endnote w:type="continuationSeparator" w:id="0">
    <w:p w14:paraId="473ED5E4" w14:textId="77777777" w:rsidR="00CD2A6C" w:rsidRDefault="00CD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9C3B" w14:textId="77777777" w:rsidR="00487F2C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266D85" wp14:editId="4944806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FEB746" w14:textId="77777777" w:rsidR="00487F2C" w:rsidRDefault="00000000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266D8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3FEB746" w14:textId="77777777" w:rsidR="00487F2C" w:rsidRDefault="00000000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C311A" w14:textId="77777777" w:rsidR="00CD2A6C" w:rsidRDefault="00CD2A6C">
      <w:r>
        <w:separator/>
      </w:r>
    </w:p>
  </w:footnote>
  <w:footnote w:type="continuationSeparator" w:id="0">
    <w:p w14:paraId="0F94A247" w14:textId="77777777" w:rsidR="00CD2A6C" w:rsidRDefault="00CD2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E5FD0"/>
    <w:multiLevelType w:val="singleLevel"/>
    <w:tmpl w:val="607E5F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29853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VlMWEzMDNhMzgzNDE1YmIwYjZjYzkyY2FhZWExYTYifQ=="/>
  </w:docVars>
  <w:rsids>
    <w:rsidRoot w:val="00DE270F"/>
    <w:rsid w:val="00003FCD"/>
    <w:rsid w:val="00006188"/>
    <w:rsid w:val="00033863"/>
    <w:rsid w:val="00040C12"/>
    <w:rsid w:val="00042C68"/>
    <w:rsid w:val="000462B8"/>
    <w:rsid w:val="000479AC"/>
    <w:rsid w:val="00056273"/>
    <w:rsid w:val="00081A91"/>
    <w:rsid w:val="00086475"/>
    <w:rsid w:val="000923C8"/>
    <w:rsid w:val="00097135"/>
    <w:rsid w:val="000A2EF5"/>
    <w:rsid w:val="000B1B24"/>
    <w:rsid w:val="000F7F33"/>
    <w:rsid w:val="001016AE"/>
    <w:rsid w:val="00101CD6"/>
    <w:rsid w:val="001046BB"/>
    <w:rsid w:val="00112AF9"/>
    <w:rsid w:val="0011544A"/>
    <w:rsid w:val="00122941"/>
    <w:rsid w:val="001270AB"/>
    <w:rsid w:val="00146A09"/>
    <w:rsid w:val="00163209"/>
    <w:rsid w:val="00190902"/>
    <w:rsid w:val="00192A89"/>
    <w:rsid w:val="00197A07"/>
    <w:rsid w:val="001A472D"/>
    <w:rsid w:val="001B7964"/>
    <w:rsid w:val="001D5280"/>
    <w:rsid w:val="001E2CBD"/>
    <w:rsid w:val="001E5BA5"/>
    <w:rsid w:val="001E5ED0"/>
    <w:rsid w:val="001E7F2C"/>
    <w:rsid w:val="001F7CB1"/>
    <w:rsid w:val="00214D38"/>
    <w:rsid w:val="0021609D"/>
    <w:rsid w:val="00216348"/>
    <w:rsid w:val="00230F5A"/>
    <w:rsid w:val="002320A6"/>
    <w:rsid w:val="00241FA1"/>
    <w:rsid w:val="00243225"/>
    <w:rsid w:val="00247774"/>
    <w:rsid w:val="00247F61"/>
    <w:rsid w:val="002600FE"/>
    <w:rsid w:val="00261B90"/>
    <w:rsid w:val="00266DDF"/>
    <w:rsid w:val="00270713"/>
    <w:rsid w:val="002721FB"/>
    <w:rsid w:val="0027342B"/>
    <w:rsid w:val="00281ACD"/>
    <w:rsid w:val="0028529A"/>
    <w:rsid w:val="00286A58"/>
    <w:rsid w:val="00294B98"/>
    <w:rsid w:val="00294FF7"/>
    <w:rsid w:val="002968C1"/>
    <w:rsid w:val="002A54C0"/>
    <w:rsid w:val="002B2F52"/>
    <w:rsid w:val="002B56C7"/>
    <w:rsid w:val="002C02D1"/>
    <w:rsid w:val="002D4AC1"/>
    <w:rsid w:val="002D7C89"/>
    <w:rsid w:val="002F57B0"/>
    <w:rsid w:val="00307B09"/>
    <w:rsid w:val="00310D24"/>
    <w:rsid w:val="00313BF6"/>
    <w:rsid w:val="00323B34"/>
    <w:rsid w:val="00326D74"/>
    <w:rsid w:val="0033059C"/>
    <w:rsid w:val="003311AE"/>
    <w:rsid w:val="0034179C"/>
    <w:rsid w:val="003461C5"/>
    <w:rsid w:val="0034740E"/>
    <w:rsid w:val="00347BE1"/>
    <w:rsid w:val="00350760"/>
    <w:rsid w:val="00355B43"/>
    <w:rsid w:val="00366884"/>
    <w:rsid w:val="0037142B"/>
    <w:rsid w:val="00371672"/>
    <w:rsid w:val="00375E79"/>
    <w:rsid w:val="0038472D"/>
    <w:rsid w:val="00394AD9"/>
    <w:rsid w:val="0039604B"/>
    <w:rsid w:val="003A405D"/>
    <w:rsid w:val="003B446A"/>
    <w:rsid w:val="003B7323"/>
    <w:rsid w:val="003B77AA"/>
    <w:rsid w:val="003C186F"/>
    <w:rsid w:val="003C30F8"/>
    <w:rsid w:val="003D12C0"/>
    <w:rsid w:val="003D3325"/>
    <w:rsid w:val="003D35B8"/>
    <w:rsid w:val="003E0D3D"/>
    <w:rsid w:val="003E5F3E"/>
    <w:rsid w:val="003F5C9B"/>
    <w:rsid w:val="003F6AD3"/>
    <w:rsid w:val="00401A28"/>
    <w:rsid w:val="00421859"/>
    <w:rsid w:val="004250B4"/>
    <w:rsid w:val="004343BB"/>
    <w:rsid w:val="004414E5"/>
    <w:rsid w:val="0045366E"/>
    <w:rsid w:val="00465C02"/>
    <w:rsid w:val="00482BF2"/>
    <w:rsid w:val="00486F38"/>
    <w:rsid w:val="00486F5B"/>
    <w:rsid w:val="00487F2C"/>
    <w:rsid w:val="004A4053"/>
    <w:rsid w:val="004D2E95"/>
    <w:rsid w:val="004D4223"/>
    <w:rsid w:val="004E4675"/>
    <w:rsid w:val="004E4DAC"/>
    <w:rsid w:val="004E6A8B"/>
    <w:rsid w:val="004F0C3E"/>
    <w:rsid w:val="004F360C"/>
    <w:rsid w:val="00510A74"/>
    <w:rsid w:val="00512004"/>
    <w:rsid w:val="005134C8"/>
    <w:rsid w:val="00516B9C"/>
    <w:rsid w:val="005259DD"/>
    <w:rsid w:val="00530145"/>
    <w:rsid w:val="00533508"/>
    <w:rsid w:val="00535190"/>
    <w:rsid w:val="00540EA3"/>
    <w:rsid w:val="0055212A"/>
    <w:rsid w:val="005650CF"/>
    <w:rsid w:val="005656DF"/>
    <w:rsid w:val="005658DA"/>
    <w:rsid w:val="005669D7"/>
    <w:rsid w:val="00577081"/>
    <w:rsid w:val="00577E3E"/>
    <w:rsid w:val="005840B9"/>
    <w:rsid w:val="00592561"/>
    <w:rsid w:val="005A05D3"/>
    <w:rsid w:val="005A670C"/>
    <w:rsid w:val="005B3BA1"/>
    <w:rsid w:val="005C2B3A"/>
    <w:rsid w:val="005C3A17"/>
    <w:rsid w:val="005D3ED8"/>
    <w:rsid w:val="005E01FA"/>
    <w:rsid w:val="005E592D"/>
    <w:rsid w:val="005F4116"/>
    <w:rsid w:val="005F7B21"/>
    <w:rsid w:val="00600302"/>
    <w:rsid w:val="006015D4"/>
    <w:rsid w:val="00612F13"/>
    <w:rsid w:val="00614FD8"/>
    <w:rsid w:val="00624CF4"/>
    <w:rsid w:val="00630186"/>
    <w:rsid w:val="00634689"/>
    <w:rsid w:val="00637254"/>
    <w:rsid w:val="006376DF"/>
    <w:rsid w:val="00652DF7"/>
    <w:rsid w:val="00665CBB"/>
    <w:rsid w:val="006664CF"/>
    <w:rsid w:val="00675622"/>
    <w:rsid w:val="0067593F"/>
    <w:rsid w:val="006765CB"/>
    <w:rsid w:val="0068203C"/>
    <w:rsid w:val="00682533"/>
    <w:rsid w:val="0068438B"/>
    <w:rsid w:val="00685FB9"/>
    <w:rsid w:val="00693924"/>
    <w:rsid w:val="006A24EF"/>
    <w:rsid w:val="006A5DE9"/>
    <w:rsid w:val="006B14F0"/>
    <w:rsid w:val="006B67A9"/>
    <w:rsid w:val="006C3ED1"/>
    <w:rsid w:val="006C79D1"/>
    <w:rsid w:val="006E7580"/>
    <w:rsid w:val="0072364B"/>
    <w:rsid w:val="00732289"/>
    <w:rsid w:val="00734342"/>
    <w:rsid w:val="0073481E"/>
    <w:rsid w:val="00734981"/>
    <w:rsid w:val="007354E0"/>
    <w:rsid w:val="00735EAE"/>
    <w:rsid w:val="007368A1"/>
    <w:rsid w:val="00747134"/>
    <w:rsid w:val="007477E7"/>
    <w:rsid w:val="00757FBA"/>
    <w:rsid w:val="00762E49"/>
    <w:rsid w:val="007808F1"/>
    <w:rsid w:val="0078263F"/>
    <w:rsid w:val="00783E6D"/>
    <w:rsid w:val="007A0B89"/>
    <w:rsid w:val="007A1893"/>
    <w:rsid w:val="007A6097"/>
    <w:rsid w:val="007B1A6B"/>
    <w:rsid w:val="007B79B2"/>
    <w:rsid w:val="007C121B"/>
    <w:rsid w:val="007C7DAD"/>
    <w:rsid w:val="007D24C5"/>
    <w:rsid w:val="007D3D7F"/>
    <w:rsid w:val="007F561D"/>
    <w:rsid w:val="008011E9"/>
    <w:rsid w:val="008014BD"/>
    <w:rsid w:val="008073D9"/>
    <w:rsid w:val="00814BDF"/>
    <w:rsid w:val="008226EB"/>
    <w:rsid w:val="00830D46"/>
    <w:rsid w:val="00831289"/>
    <w:rsid w:val="00855383"/>
    <w:rsid w:val="00856060"/>
    <w:rsid w:val="008625B6"/>
    <w:rsid w:val="00863F51"/>
    <w:rsid w:val="00865513"/>
    <w:rsid w:val="00873849"/>
    <w:rsid w:val="008869E9"/>
    <w:rsid w:val="00890079"/>
    <w:rsid w:val="0089736E"/>
    <w:rsid w:val="00897912"/>
    <w:rsid w:val="0089792A"/>
    <w:rsid w:val="008A02BF"/>
    <w:rsid w:val="008A0515"/>
    <w:rsid w:val="008A2410"/>
    <w:rsid w:val="008C6641"/>
    <w:rsid w:val="008D02CC"/>
    <w:rsid w:val="008D53BB"/>
    <w:rsid w:val="008D6B3A"/>
    <w:rsid w:val="008E4570"/>
    <w:rsid w:val="008F4D97"/>
    <w:rsid w:val="008F55E6"/>
    <w:rsid w:val="008F5771"/>
    <w:rsid w:val="00906D1C"/>
    <w:rsid w:val="00917F95"/>
    <w:rsid w:val="00924D62"/>
    <w:rsid w:val="009260A8"/>
    <w:rsid w:val="00926221"/>
    <w:rsid w:val="00934076"/>
    <w:rsid w:val="00943088"/>
    <w:rsid w:val="009455B3"/>
    <w:rsid w:val="009466B0"/>
    <w:rsid w:val="009556A3"/>
    <w:rsid w:val="0096726C"/>
    <w:rsid w:val="00970BAF"/>
    <w:rsid w:val="0097635F"/>
    <w:rsid w:val="00980461"/>
    <w:rsid w:val="00983436"/>
    <w:rsid w:val="009949EA"/>
    <w:rsid w:val="009A3B04"/>
    <w:rsid w:val="009A60F6"/>
    <w:rsid w:val="009B6F14"/>
    <w:rsid w:val="009C003D"/>
    <w:rsid w:val="009C533F"/>
    <w:rsid w:val="009D1A26"/>
    <w:rsid w:val="009D21DD"/>
    <w:rsid w:val="009D4F80"/>
    <w:rsid w:val="009E264F"/>
    <w:rsid w:val="009F108F"/>
    <w:rsid w:val="009F7DA5"/>
    <w:rsid w:val="00A04156"/>
    <w:rsid w:val="00A123FF"/>
    <w:rsid w:val="00A13EE1"/>
    <w:rsid w:val="00A14E92"/>
    <w:rsid w:val="00A167B6"/>
    <w:rsid w:val="00A353A6"/>
    <w:rsid w:val="00A35EE0"/>
    <w:rsid w:val="00A57398"/>
    <w:rsid w:val="00A71ED2"/>
    <w:rsid w:val="00A7537A"/>
    <w:rsid w:val="00A80294"/>
    <w:rsid w:val="00A9667B"/>
    <w:rsid w:val="00AB004F"/>
    <w:rsid w:val="00AB0514"/>
    <w:rsid w:val="00AB460E"/>
    <w:rsid w:val="00AB75CD"/>
    <w:rsid w:val="00AC4C03"/>
    <w:rsid w:val="00AC65A5"/>
    <w:rsid w:val="00AC6A0E"/>
    <w:rsid w:val="00AC7E78"/>
    <w:rsid w:val="00AD0DC9"/>
    <w:rsid w:val="00B07744"/>
    <w:rsid w:val="00B12182"/>
    <w:rsid w:val="00B16F1A"/>
    <w:rsid w:val="00B23F53"/>
    <w:rsid w:val="00B24CDC"/>
    <w:rsid w:val="00B279D2"/>
    <w:rsid w:val="00B27E7C"/>
    <w:rsid w:val="00B328F3"/>
    <w:rsid w:val="00B36889"/>
    <w:rsid w:val="00B53B3A"/>
    <w:rsid w:val="00B7396D"/>
    <w:rsid w:val="00B7581F"/>
    <w:rsid w:val="00B8670B"/>
    <w:rsid w:val="00BA1C81"/>
    <w:rsid w:val="00BA6571"/>
    <w:rsid w:val="00BA6B89"/>
    <w:rsid w:val="00BB2F33"/>
    <w:rsid w:val="00BC2926"/>
    <w:rsid w:val="00BC2985"/>
    <w:rsid w:val="00BC6C5E"/>
    <w:rsid w:val="00BD593D"/>
    <w:rsid w:val="00BD7189"/>
    <w:rsid w:val="00BE20EB"/>
    <w:rsid w:val="00BE2D7B"/>
    <w:rsid w:val="00BE4CF5"/>
    <w:rsid w:val="00BE626C"/>
    <w:rsid w:val="00BE7693"/>
    <w:rsid w:val="00BF0191"/>
    <w:rsid w:val="00C0018E"/>
    <w:rsid w:val="00C071F4"/>
    <w:rsid w:val="00C138EB"/>
    <w:rsid w:val="00C13B44"/>
    <w:rsid w:val="00C23C0F"/>
    <w:rsid w:val="00C3590C"/>
    <w:rsid w:val="00C51B23"/>
    <w:rsid w:val="00C6321B"/>
    <w:rsid w:val="00C70024"/>
    <w:rsid w:val="00C73139"/>
    <w:rsid w:val="00C759C9"/>
    <w:rsid w:val="00C80E65"/>
    <w:rsid w:val="00C81F44"/>
    <w:rsid w:val="00C81F8F"/>
    <w:rsid w:val="00C821A3"/>
    <w:rsid w:val="00C92A91"/>
    <w:rsid w:val="00C95E92"/>
    <w:rsid w:val="00CC0265"/>
    <w:rsid w:val="00CC1DD9"/>
    <w:rsid w:val="00CD2A6C"/>
    <w:rsid w:val="00CD7A89"/>
    <w:rsid w:val="00CE2C88"/>
    <w:rsid w:val="00CE5AA1"/>
    <w:rsid w:val="00CF2865"/>
    <w:rsid w:val="00CF35CB"/>
    <w:rsid w:val="00CF4D82"/>
    <w:rsid w:val="00CF53D7"/>
    <w:rsid w:val="00CF6AC6"/>
    <w:rsid w:val="00D02A9C"/>
    <w:rsid w:val="00D035AF"/>
    <w:rsid w:val="00D26095"/>
    <w:rsid w:val="00D264F2"/>
    <w:rsid w:val="00D32B6B"/>
    <w:rsid w:val="00D37AA8"/>
    <w:rsid w:val="00D6092E"/>
    <w:rsid w:val="00D71784"/>
    <w:rsid w:val="00D761D4"/>
    <w:rsid w:val="00D8047D"/>
    <w:rsid w:val="00D831F5"/>
    <w:rsid w:val="00DD77E0"/>
    <w:rsid w:val="00DE0435"/>
    <w:rsid w:val="00DE270F"/>
    <w:rsid w:val="00E05993"/>
    <w:rsid w:val="00E05A82"/>
    <w:rsid w:val="00E203DA"/>
    <w:rsid w:val="00E27677"/>
    <w:rsid w:val="00E27C55"/>
    <w:rsid w:val="00E41F36"/>
    <w:rsid w:val="00E51162"/>
    <w:rsid w:val="00E524D6"/>
    <w:rsid w:val="00E57773"/>
    <w:rsid w:val="00E7408A"/>
    <w:rsid w:val="00E84591"/>
    <w:rsid w:val="00E84E28"/>
    <w:rsid w:val="00E9292B"/>
    <w:rsid w:val="00E9317A"/>
    <w:rsid w:val="00E9426B"/>
    <w:rsid w:val="00EB6DB6"/>
    <w:rsid w:val="00EB7D79"/>
    <w:rsid w:val="00EC2E32"/>
    <w:rsid w:val="00EC535A"/>
    <w:rsid w:val="00EC71DE"/>
    <w:rsid w:val="00ED4098"/>
    <w:rsid w:val="00EE1B23"/>
    <w:rsid w:val="00EE2F05"/>
    <w:rsid w:val="00F01954"/>
    <w:rsid w:val="00F06F87"/>
    <w:rsid w:val="00F13D06"/>
    <w:rsid w:val="00F1522F"/>
    <w:rsid w:val="00F1700C"/>
    <w:rsid w:val="00F435AF"/>
    <w:rsid w:val="00F5088E"/>
    <w:rsid w:val="00F60BFE"/>
    <w:rsid w:val="00F6220D"/>
    <w:rsid w:val="00F713AC"/>
    <w:rsid w:val="00F738D5"/>
    <w:rsid w:val="00F97CB5"/>
    <w:rsid w:val="00FA0344"/>
    <w:rsid w:val="00FA385D"/>
    <w:rsid w:val="00FB027B"/>
    <w:rsid w:val="00FB4674"/>
    <w:rsid w:val="00FC2339"/>
    <w:rsid w:val="00FC3937"/>
    <w:rsid w:val="00FC3D97"/>
    <w:rsid w:val="00FC6B19"/>
    <w:rsid w:val="00FD1ACF"/>
    <w:rsid w:val="00FD5595"/>
    <w:rsid w:val="00FE204C"/>
    <w:rsid w:val="011567B5"/>
    <w:rsid w:val="017D750F"/>
    <w:rsid w:val="01AD6E65"/>
    <w:rsid w:val="01E60403"/>
    <w:rsid w:val="01E747AB"/>
    <w:rsid w:val="02004352"/>
    <w:rsid w:val="02B31B7B"/>
    <w:rsid w:val="02D558ED"/>
    <w:rsid w:val="03894596"/>
    <w:rsid w:val="038A505F"/>
    <w:rsid w:val="038B519F"/>
    <w:rsid w:val="03E870F8"/>
    <w:rsid w:val="046113AE"/>
    <w:rsid w:val="04BB5352"/>
    <w:rsid w:val="05280E7B"/>
    <w:rsid w:val="054E3D57"/>
    <w:rsid w:val="055A7639"/>
    <w:rsid w:val="056C08E4"/>
    <w:rsid w:val="05C27495"/>
    <w:rsid w:val="06010485"/>
    <w:rsid w:val="06130E41"/>
    <w:rsid w:val="06292DAC"/>
    <w:rsid w:val="069B30A3"/>
    <w:rsid w:val="06F95AAB"/>
    <w:rsid w:val="070C4F67"/>
    <w:rsid w:val="073641F0"/>
    <w:rsid w:val="076412D3"/>
    <w:rsid w:val="077B79C8"/>
    <w:rsid w:val="087668C8"/>
    <w:rsid w:val="088671E1"/>
    <w:rsid w:val="08954A39"/>
    <w:rsid w:val="09030318"/>
    <w:rsid w:val="09594F7D"/>
    <w:rsid w:val="09717ABB"/>
    <w:rsid w:val="09727309"/>
    <w:rsid w:val="09A4342A"/>
    <w:rsid w:val="09BC6D29"/>
    <w:rsid w:val="0A6612AF"/>
    <w:rsid w:val="0B0F0AF9"/>
    <w:rsid w:val="0B24284B"/>
    <w:rsid w:val="0B5711D0"/>
    <w:rsid w:val="0B764DAB"/>
    <w:rsid w:val="0B880A33"/>
    <w:rsid w:val="0D0A714B"/>
    <w:rsid w:val="0D4A50F7"/>
    <w:rsid w:val="0D5837F8"/>
    <w:rsid w:val="0DAA1056"/>
    <w:rsid w:val="0E5F3837"/>
    <w:rsid w:val="0E751F9D"/>
    <w:rsid w:val="0E893BD3"/>
    <w:rsid w:val="0E8B1F55"/>
    <w:rsid w:val="0EA05D40"/>
    <w:rsid w:val="0EF16C71"/>
    <w:rsid w:val="0EF5080A"/>
    <w:rsid w:val="0F2C321B"/>
    <w:rsid w:val="0F4E7C57"/>
    <w:rsid w:val="0F5734CC"/>
    <w:rsid w:val="0F5F3D51"/>
    <w:rsid w:val="0F6931D6"/>
    <w:rsid w:val="0FBF740B"/>
    <w:rsid w:val="0FC1338B"/>
    <w:rsid w:val="0FE15E02"/>
    <w:rsid w:val="0FF75A54"/>
    <w:rsid w:val="108277B7"/>
    <w:rsid w:val="10912935"/>
    <w:rsid w:val="10F01C03"/>
    <w:rsid w:val="11084521"/>
    <w:rsid w:val="110D63B0"/>
    <w:rsid w:val="11391528"/>
    <w:rsid w:val="1170189F"/>
    <w:rsid w:val="118369C5"/>
    <w:rsid w:val="119C1100"/>
    <w:rsid w:val="11AD3182"/>
    <w:rsid w:val="11D759B1"/>
    <w:rsid w:val="11DF684E"/>
    <w:rsid w:val="125D1926"/>
    <w:rsid w:val="129C1FF4"/>
    <w:rsid w:val="134D4C15"/>
    <w:rsid w:val="13CE4EEB"/>
    <w:rsid w:val="13F4105C"/>
    <w:rsid w:val="13FC5F7D"/>
    <w:rsid w:val="146D12C1"/>
    <w:rsid w:val="15111EA8"/>
    <w:rsid w:val="15181A01"/>
    <w:rsid w:val="15727169"/>
    <w:rsid w:val="15B043ED"/>
    <w:rsid w:val="162529ED"/>
    <w:rsid w:val="16626B9D"/>
    <w:rsid w:val="17334A4E"/>
    <w:rsid w:val="175F1A09"/>
    <w:rsid w:val="17E123BF"/>
    <w:rsid w:val="18083104"/>
    <w:rsid w:val="18317C1E"/>
    <w:rsid w:val="183B2FDA"/>
    <w:rsid w:val="18BC2C6B"/>
    <w:rsid w:val="18C875CE"/>
    <w:rsid w:val="191B790F"/>
    <w:rsid w:val="19344304"/>
    <w:rsid w:val="196F1FC4"/>
    <w:rsid w:val="19D46A85"/>
    <w:rsid w:val="19DC3D32"/>
    <w:rsid w:val="1A086260"/>
    <w:rsid w:val="1AC44751"/>
    <w:rsid w:val="1AC60C3A"/>
    <w:rsid w:val="1ACD1152"/>
    <w:rsid w:val="1BFB1266"/>
    <w:rsid w:val="1BFF7C32"/>
    <w:rsid w:val="1C4E7489"/>
    <w:rsid w:val="1C921144"/>
    <w:rsid w:val="1D2104E0"/>
    <w:rsid w:val="1D693147"/>
    <w:rsid w:val="1DEB0C8B"/>
    <w:rsid w:val="1E205AE7"/>
    <w:rsid w:val="1EDE7327"/>
    <w:rsid w:val="1F2314EB"/>
    <w:rsid w:val="1F371D78"/>
    <w:rsid w:val="204B1C77"/>
    <w:rsid w:val="209407BB"/>
    <w:rsid w:val="20A13410"/>
    <w:rsid w:val="20FA6E13"/>
    <w:rsid w:val="213E593E"/>
    <w:rsid w:val="21F93CD3"/>
    <w:rsid w:val="21FF20D9"/>
    <w:rsid w:val="22224ADC"/>
    <w:rsid w:val="223B5F51"/>
    <w:rsid w:val="22511CE6"/>
    <w:rsid w:val="22640B81"/>
    <w:rsid w:val="23057463"/>
    <w:rsid w:val="23150E52"/>
    <w:rsid w:val="23257A62"/>
    <w:rsid w:val="23722A34"/>
    <w:rsid w:val="250F2E85"/>
    <w:rsid w:val="252D44EC"/>
    <w:rsid w:val="25686D1C"/>
    <w:rsid w:val="26432395"/>
    <w:rsid w:val="265D1029"/>
    <w:rsid w:val="26672CC9"/>
    <w:rsid w:val="269149C2"/>
    <w:rsid w:val="26B83D20"/>
    <w:rsid w:val="27347026"/>
    <w:rsid w:val="273C1BA6"/>
    <w:rsid w:val="274D3E7D"/>
    <w:rsid w:val="27890B10"/>
    <w:rsid w:val="279E5124"/>
    <w:rsid w:val="27E472B6"/>
    <w:rsid w:val="27F172B7"/>
    <w:rsid w:val="28051EAA"/>
    <w:rsid w:val="28683D55"/>
    <w:rsid w:val="28C64123"/>
    <w:rsid w:val="293016AE"/>
    <w:rsid w:val="294835A4"/>
    <w:rsid w:val="2956543A"/>
    <w:rsid w:val="297D3102"/>
    <w:rsid w:val="2A7F708F"/>
    <w:rsid w:val="2A987C99"/>
    <w:rsid w:val="2B1B436D"/>
    <w:rsid w:val="2B297AC7"/>
    <w:rsid w:val="2B932A2D"/>
    <w:rsid w:val="2BFC4037"/>
    <w:rsid w:val="2C065B70"/>
    <w:rsid w:val="2C1C0468"/>
    <w:rsid w:val="2C5A7ED3"/>
    <w:rsid w:val="2C646C79"/>
    <w:rsid w:val="2C7B58B4"/>
    <w:rsid w:val="2D7A0924"/>
    <w:rsid w:val="2DAB5F41"/>
    <w:rsid w:val="2E4970D2"/>
    <w:rsid w:val="2E7A1025"/>
    <w:rsid w:val="2EC353C6"/>
    <w:rsid w:val="2F9432ED"/>
    <w:rsid w:val="2FE26618"/>
    <w:rsid w:val="30003C26"/>
    <w:rsid w:val="301F6E57"/>
    <w:rsid w:val="3075107B"/>
    <w:rsid w:val="30F54253"/>
    <w:rsid w:val="31052B65"/>
    <w:rsid w:val="31204D13"/>
    <w:rsid w:val="31357561"/>
    <w:rsid w:val="31980F0A"/>
    <w:rsid w:val="31B33FA3"/>
    <w:rsid w:val="31FC6492"/>
    <w:rsid w:val="328270F0"/>
    <w:rsid w:val="32D92E0C"/>
    <w:rsid w:val="33080E21"/>
    <w:rsid w:val="331039BB"/>
    <w:rsid w:val="333420E5"/>
    <w:rsid w:val="334C48BB"/>
    <w:rsid w:val="339C7372"/>
    <w:rsid w:val="34937FF8"/>
    <w:rsid w:val="34DD0526"/>
    <w:rsid w:val="353F55C3"/>
    <w:rsid w:val="3550415A"/>
    <w:rsid w:val="35513EF5"/>
    <w:rsid w:val="3597742E"/>
    <w:rsid w:val="35BE1B78"/>
    <w:rsid w:val="35E346AA"/>
    <w:rsid w:val="35FC613C"/>
    <w:rsid w:val="36511C87"/>
    <w:rsid w:val="36604868"/>
    <w:rsid w:val="366E1E95"/>
    <w:rsid w:val="369D5662"/>
    <w:rsid w:val="36F342CC"/>
    <w:rsid w:val="378417F9"/>
    <w:rsid w:val="38AF5E56"/>
    <w:rsid w:val="38E97D9C"/>
    <w:rsid w:val="39336D46"/>
    <w:rsid w:val="39365C89"/>
    <w:rsid w:val="39871D2A"/>
    <w:rsid w:val="39CE5045"/>
    <w:rsid w:val="39E514C4"/>
    <w:rsid w:val="3A3E06C8"/>
    <w:rsid w:val="3A4764F4"/>
    <w:rsid w:val="3A4C4A55"/>
    <w:rsid w:val="3A6164C2"/>
    <w:rsid w:val="3A621476"/>
    <w:rsid w:val="3A73684C"/>
    <w:rsid w:val="3AA7247A"/>
    <w:rsid w:val="3C66142E"/>
    <w:rsid w:val="3D08460B"/>
    <w:rsid w:val="3D290BEE"/>
    <w:rsid w:val="3D426359"/>
    <w:rsid w:val="3D742373"/>
    <w:rsid w:val="3D94720E"/>
    <w:rsid w:val="3DB7650D"/>
    <w:rsid w:val="3E5528FD"/>
    <w:rsid w:val="3EA25620"/>
    <w:rsid w:val="3F144D78"/>
    <w:rsid w:val="3F7C7C51"/>
    <w:rsid w:val="3F995A8E"/>
    <w:rsid w:val="3FA82243"/>
    <w:rsid w:val="3FE62F58"/>
    <w:rsid w:val="3FE66A30"/>
    <w:rsid w:val="3FF128DC"/>
    <w:rsid w:val="400918CA"/>
    <w:rsid w:val="40365EB6"/>
    <w:rsid w:val="404A7740"/>
    <w:rsid w:val="40843516"/>
    <w:rsid w:val="410242E9"/>
    <w:rsid w:val="41306CB3"/>
    <w:rsid w:val="41AB53AD"/>
    <w:rsid w:val="41CD37BD"/>
    <w:rsid w:val="41DF3EB6"/>
    <w:rsid w:val="42526979"/>
    <w:rsid w:val="42602D89"/>
    <w:rsid w:val="426930F5"/>
    <w:rsid w:val="427C15CA"/>
    <w:rsid w:val="42B9678F"/>
    <w:rsid w:val="42F143F3"/>
    <w:rsid w:val="432E683B"/>
    <w:rsid w:val="435E6F25"/>
    <w:rsid w:val="439D373A"/>
    <w:rsid w:val="44C72A8D"/>
    <w:rsid w:val="45C56107"/>
    <w:rsid w:val="462225C0"/>
    <w:rsid w:val="462936CD"/>
    <w:rsid w:val="46512AE8"/>
    <w:rsid w:val="465875A0"/>
    <w:rsid w:val="46B15B52"/>
    <w:rsid w:val="47242499"/>
    <w:rsid w:val="47644F93"/>
    <w:rsid w:val="47D40EC0"/>
    <w:rsid w:val="4835642E"/>
    <w:rsid w:val="48474F49"/>
    <w:rsid w:val="489177BA"/>
    <w:rsid w:val="489F7E5E"/>
    <w:rsid w:val="48C707D5"/>
    <w:rsid w:val="49484034"/>
    <w:rsid w:val="49810CF9"/>
    <w:rsid w:val="499A09F5"/>
    <w:rsid w:val="49E845A8"/>
    <w:rsid w:val="4A4F7DFE"/>
    <w:rsid w:val="4A9F2177"/>
    <w:rsid w:val="4AC30915"/>
    <w:rsid w:val="4AC400FC"/>
    <w:rsid w:val="4AE46116"/>
    <w:rsid w:val="4AED6A28"/>
    <w:rsid w:val="4B352E85"/>
    <w:rsid w:val="4BBF562E"/>
    <w:rsid w:val="4BE34102"/>
    <w:rsid w:val="4BE411C9"/>
    <w:rsid w:val="4C2034F5"/>
    <w:rsid w:val="4C2B2B4F"/>
    <w:rsid w:val="4C5D5B61"/>
    <w:rsid w:val="4C677D46"/>
    <w:rsid w:val="4CFE660F"/>
    <w:rsid w:val="4D0D75D8"/>
    <w:rsid w:val="4D377D57"/>
    <w:rsid w:val="4D812C3F"/>
    <w:rsid w:val="4D8C7D71"/>
    <w:rsid w:val="4DAA6A2D"/>
    <w:rsid w:val="4DBC35FA"/>
    <w:rsid w:val="4DC0059D"/>
    <w:rsid w:val="4DD90318"/>
    <w:rsid w:val="4E3F025E"/>
    <w:rsid w:val="4E47333F"/>
    <w:rsid w:val="4E8F4018"/>
    <w:rsid w:val="4ED704E5"/>
    <w:rsid w:val="4EE65B6A"/>
    <w:rsid w:val="4F003E47"/>
    <w:rsid w:val="4F922160"/>
    <w:rsid w:val="4F9E2645"/>
    <w:rsid w:val="503905EE"/>
    <w:rsid w:val="509074E4"/>
    <w:rsid w:val="5133250E"/>
    <w:rsid w:val="51342DA4"/>
    <w:rsid w:val="513545B5"/>
    <w:rsid w:val="53777049"/>
    <w:rsid w:val="539B0F57"/>
    <w:rsid w:val="53DF2FFF"/>
    <w:rsid w:val="54470AE2"/>
    <w:rsid w:val="548017D1"/>
    <w:rsid w:val="54B20831"/>
    <w:rsid w:val="55125DB4"/>
    <w:rsid w:val="557F0F7E"/>
    <w:rsid w:val="55802221"/>
    <w:rsid w:val="559B7F10"/>
    <w:rsid w:val="55BB482B"/>
    <w:rsid w:val="56852D8C"/>
    <w:rsid w:val="57E0739B"/>
    <w:rsid w:val="58BC6AF5"/>
    <w:rsid w:val="58FE7191"/>
    <w:rsid w:val="59181D3E"/>
    <w:rsid w:val="59464B6F"/>
    <w:rsid w:val="59667106"/>
    <w:rsid w:val="59682840"/>
    <w:rsid w:val="5A1C5248"/>
    <w:rsid w:val="5A446EA0"/>
    <w:rsid w:val="5AA82B7D"/>
    <w:rsid w:val="5AAE35E9"/>
    <w:rsid w:val="5AB03FF9"/>
    <w:rsid w:val="5AC5073E"/>
    <w:rsid w:val="5AD87639"/>
    <w:rsid w:val="5AE93049"/>
    <w:rsid w:val="5B23328A"/>
    <w:rsid w:val="5B6C0D9A"/>
    <w:rsid w:val="5BF700C8"/>
    <w:rsid w:val="5C1A2926"/>
    <w:rsid w:val="5C3A4AD1"/>
    <w:rsid w:val="5C9A4526"/>
    <w:rsid w:val="5C9F2291"/>
    <w:rsid w:val="5D75054B"/>
    <w:rsid w:val="5DE12BDE"/>
    <w:rsid w:val="5E7770E7"/>
    <w:rsid w:val="5E951F87"/>
    <w:rsid w:val="5F3D73A3"/>
    <w:rsid w:val="5F3E27B0"/>
    <w:rsid w:val="5F8145FE"/>
    <w:rsid w:val="5FB359D9"/>
    <w:rsid w:val="600464A1"/>
    <w:rsid w:val="60385977"/>
    <w:rsid w:val="6071041E"/>
    <w:rsid w:val="60790C87"/>
    <w:rsid w:val="60A232D8"/>
    <w:rsid w:val="63776378"/>
    <w:rsid w:val="63A25749"/>
    <w:rsid w:val="64803DEE"/>
    <w:rsid w:val="64866BB1"/>
    <w:rsid w:val="650B08C2"/>
    <w:rsid w:val="6542585E"/>
    <w:rsid w:val="655A179A"/>
    <w:rsid w:val="65CA2E87"/>
    <w:rsid w:val="664F6BB1"/>
    <w:rsid w:val="66541A89"/>
    <w:rsid w:val="66727203"/>
    <w:rsid w:val="66A72709"/>
    <w:rsid w:val="66B673BA"/>
    <w:rsid w:val="66FC0B4E"/>
    <w:rsid w:val="67227A8C"/>
    <w:rsid w:val="67AD26A0"/>
    <w:rsid w:val="67C07F5F"/>
    <w:rsid w:val="67C255EA"/>
    <w:rsid w:val="68113657"/>
    <w:rsid w:val="68567E56"/>
    <w:rsid w:val="6888149D"/>
    <w:rsid w:val="68D46E15"/>
    <w:rsid w:val="69137B5B"/>
    <w:rsid w:val="69476471"/>
    <w:rsid w:val="6A103A50"/>
    <w:rsid w:val="6A2F0C62"/>
    <w:rsid w:val="6AA14368"/>
    <w:rsid w:val="6AD4484C"/>
    <w:rsid w:val="6AD645BD"/>
    <w:rsid w:val="6B3E7991"/>
    <w:rsid w:val="6B5020C1"/>
    <w:rsid w:val="6B75737C"/>
    <w:rsid w:val="6C3F073E"/>
    <w:rsid w:val="6CD54AEB"/>
    <w:rsid w:val="6D04704D"/>
    <w:rsid w:val="6D96073F"/>
    <w:rsid w:val="6DCD5D2D"/>
    <w:rsid w:val="6E0110B8"/>
    <w:rsid w:val="6E02095E"/>
    <w:rsid w:val="6E4C109F"/>
    <w:rsid w:val="6E600234"/>
    <w:rsid w:val="6E620FFA"/>
    <w:rsid w:val="6E9F7CF9"/>
    <w:rsid w:val="6EB57D05"/>
    <w:rsid w:val="6EC4342A"/>
    <w:rsid w:val="6F6A64DD"/>
    <w:rsid w:val="6FB4683E"/>
    <w:rsid w:val="6FBB374A"/>
    <w:rsid w:val="7011765B"/>
    <w:rsid w:val="70C32ADF"/>
    <w:rsid w:val="7119311C"/>
    <w:rsid w:val="716770ED"/>
    <w:rsid w:val="71887B22"/>
    <w:rsid w:val="71E85D3F"/>
    <w:rsid w:val="72437CD2"/>
    <w:rsid w:val="72625092"/>
    <w:rsid w:val="7277756F"/>
    <w:rsid w:val="72A10C2D"/>
    <w:rsid w:val="73BE7CEC"/>
    <w:rsid w:val="73D519EA"/>
    <w:rsid w:val="73DC382F"/>
    <w:rsid w:val="73E5008F"/>
    <w:rsid w:val="741F371E"/>
    <w:rsid w:val="74624FF7"/>
    <w:rsid w:val="7476588E"/>
    <w:rsid w:val="748D2097"/>
    <w:rsid w:val="74930744"/>
    <w:rsid w:val="750C3C92"/>
    <w:rsid w:val="75283B25"/>
    <w:rsid w:val="75622C87"/>
    <w:rsid w:val="758D5C0C"/>
    <w:rsid w:val="761018D3"/>
    <w:rsid w:val="765C4ABB"/>
    <w:rsid w:val="766508A4"/>
    <w:rsid w:val="76C202A2"/>
    <w:rsid w:val="770A27E7"/>
    <w:rsid w:val="77124756"/>
    <w:rsid w:val="775409B7"/>
    <w:rsid w:val="77575FBE"/>
    <w:rsid w:val="77801E36"/>
    <w:rsid w:val="77887775"/>
    <w:rsid w:val="77B71B76"/>
    <w:rsid w:val="786653CC"/>
    <w:rsid w:val="78EA3B05"/>
    <w:rsid w:val="795569DB"/>
    <w:rsid w:val="79A706A8"/>
    <w:rsid w:val="7A1946EB"/>
    <w:rsid w:val="7AC50DF3"/>
    <w:rsid w:val="7AFC119E"/>
    <w:rsid w:val="7B310DA1"/>
    <w:rsid w:val="7B312326"/>
    <w:rsid w:val="7B3D1B00"/>
    <w:rsid w:val="7BD62D4E"/>
    <w:rsid w:val="7BDF546D"/>
    <w:rsid w:val="7BF613AA"/>
    <w:rsid w:val="7C501B69"/>
    <w:rsid w:val="7CD95BC9"/>
    <w:rsid w:val="7CE34539"/>
    <w:rsid w:val="7CE97607"/>
    <w:rsid w:val="7D4004F2"/>
    <w:rsid w:val="7EAF2513"/>
    <w:rsid w:val="7F073EC8"/>
    <w:rsid w:val="7F5F4208"/>
    <w:rsid w:val="7F743DCE"/>
    <w:rsid w:val="7F7A1DF0"/>
    <w:rsid w:val="7FD9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C64306"/>
  <w15:docId w15:val="{AF2CC479-8296-4AF4-AE9E-772DBA83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3">
    <w:name w:val="修订3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4">
    <w:name w:val="修订4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5">
    <w:name w:val="修订5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Revision"/>
    <w:hidden/>
    <w:uiPriority w:val="99"/>
    <w:semiHidden/>
    <w:rsid w:val="00307B09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证券部</cp:lastModifiedBy>
  <cp:revision>5</cp:revision>
  <dcterms:created xsi:type="dcterms:W3CDTF">2023-09-03T07:35:00Z</dcterms:created>
  <dcterms:modified xsi:type="dcterms:W3CDTF">2023-09-03T09:46:00Z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0B191A9AD88F4A71A790E5799076B606</vt:lpwstr>
  </property>
</Properties>
</file>