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67D1" w14:textId="77777777" w:rsidR="00E14439" w:rsidRDefault="005E4D9F" w:rsidP="000510C1">
      <w:pPr>
        <w:keepNext/>
        <w:keepLines/>
        <w:spacing w:before="260" w:after="260"/>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证券代码：600927                                 证券简称：</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永安期货</w:t>
      </w:r>
    </w:p>
    <w:p w14:paraId="6DAFB4BC" w14:textId="77777777" w:rsidR="00E14439" w:rsidRDefault="005E4D9F" w:rsidP="000510C1">
      <w:pPr>
        <w:keepNext/>
        <w:keepLines/>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永安期货股份有限公司</w:t>
      </w:r>
    </w:p>
    <w:p w14:paraId="08B57B39" w14:textId="77777777" w:rsidR="00E14439" w:rsidRDefault="005E4D9F" w:rsidP="000510C1">
      <w:pPr>
        <w:keepNext/>
        <w:keepLines/>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2FC614DE" w14:textId="5D1B469D" w:rsidR="00640788" w:rsidRDefault="00640788" w:rsidP="00640788">
      <w:pPr>
        <w:keepNext/>
        <w:keepLines/>
        <w:spacing w:beforeLines="50" w:before="156" w:afterLines="50" w:after="156" w:line="360" w:lineRule="auto"/>
        <w:jc w:val="center"/>
        <w:outlineLvl w:val="1"/>
        <w:rPr>
          <w:rFonts w:ascii="宋体" w:eastAsia="宋体" w:hAnsi="宋体" w:cs="Times New Roman"/>
          <w:b/>
          <w:bCs/>
          <w:sz w:val="28"/>
          <w:szCs w:val="32"/>
        </w:rPr>
      </w:pPr>
      <w:r>
        <w:rPr>
          <w:rFonts w:ascii="宋体" w:eastAsia="宋体" w:hAnsi="宋体" w:cs="Times New Roman" w:hint="eastAsia"/>
          <w:b/>
          <w:bCs/>
          <w:sz w:val="28"/>
          <w:szCs w:val="32"/>
        </w:rPr>
        <w:t>（2023年</w:t>
      </w:r>
      <w:r>
        <w:rPr>
          <w:rFonts w:ascii="宋体" w:eastAsia="宋体" w:hAnsi="宋体" w:cs="Times New Roman"/>
          <w:b/>
          <w:bCs/>
          <w:sz w:val="28"/>
          <w:szCs w:val="32"/>
        </w:rPr>
        <w:t>8</w:t>
      </w:r>
      <w:r>
        <w:rPr>
          <w:rFonts w:ascii="宋体" w:eastAsia="宋体" w:hAnsi="宋体" w:cs="Times New Roman" w:hint="eastAsia"/>
          <w:b/>
          <w:bCs/>
          <w:sz w:val="28"/>
          <w:szCs w:val="32"/>
        </w:rPr>
        <w:t>月）</w:t>
      </w:r>
    </w:p>
    <w:p w14:paraId="55FC4AB1" w14:textId="34C922E2" w:rsidR="00640788" w:rsidRPr="00640788" w:rsidRDefault="00640788" w:rsidP="00640788">
      <w:pPr>
        <w:keepNext/>
        <w:keepLines/>
        <w:spacing w:beforeLines="50" w:before="156" w:afterLines="50" w:after="156" w:line="360" w:lineRule="auto"/>
        <w:outlineLvl w:val="1"/>
        <w:rPr>
          <w:rFonts w:ascii="宋体" w:eastAsia="宋体" w:hAnsi="宋体" w:cs="Times New Roman"/>
          <w:b/>
          <w:bCs/>
          <w:sz w:val="24"/>
          <w:szCs w:val="24"/>
        </w:rPr>
      </w:pPr>
      <w:r w:rsidRPr="000F5988">
        <w:rPr>
          <w:rFonts w:ascii="宋体" w:eastAsia="宋体" w:hAnsi="宋体" w:cs="Times New Roman" w:hint="eastAsia"/>
          <w:b/>
          <w:bCs/>
          <w:sz w:val="24"/>
          <w:szCs w:val="24"/>
        </w:rPr>
        <w:t>编号：2</w:t>
      </w:r>
      <w:r w:rsidRPr="000F5988">
        <w:rPr>
          <w:rFonts w:ascii="宋体" w:eastAsia="宋体" w:hAnsi="宋体" w:cs="Times New Roman"/>
          <w:b/>
          <w:bCs/>
          <w:sz w:val="24"/>
          <w:szCs w:val="24"/>
        </w:rPr>
        <w:t>023-00</w:t>
      </w:r>
      <w:r>
        <w:rPr>
          <w:rFonts w:ascii="宋体" w:eastAsia="宋体" w:hAnsi="宋体" w:cs="Times New Roman"/>
          <w:b/>
          <w:bCs/>
          <w:sz w:val="24"/>
          <w:szCs w:val="24"/>
        </w:rPr>
        <w:t>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5706"/>
      </w:tblGrid>
      <w:tr w:rsidR="00E14439" w14:paraId="3A2A1E12" w14:textId="77777777">
        <w:tc>
          <w:tcPr>
            <w:tcW w:w="2978" w:type="dxa"/>
            <w:shd w:val="clear" w:color="auto" w:fill="auto"/>
          </w:tcPr>
          <w:p w14:paraId="39BA7E68"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42902A9B" w14:textId="77777777" w:rsidR="00E14439" w:rsidRDefault="00E14439">
            <w:pPr>
              <w:spacing w:line="360" w:lineRule="auto"/>
              <w:rPr>
                <w:rFonts w:ascii="宋体" w:eastAsia="宋体" w:hAnsi="宋体" w:cs="Times New Roman"/>
                <w:b/>
                <w:bCs/>
                <w:iCs/>
                <w:sz w:val="24"/>
                <w:szCs w:val="24"/>
              </w:rPr>
            </w:pPr>
          </w:p>
        </w:tc>
        <w:tc>
          <w:tcPr>
            <w:tcW w:w="5812" w:type="dxa"/>
            <w:shd w:val="clear" w:color="auto" w:fill="auto"/>
          </w:tcPr>
          <w:p w14:paraId="2FBF5972" w14:textId="77777777" w:rsidR="00E14439" w:rsidRDefault="005E4D9F">
            <w:pPr>
              <w:spacing w:line="360" w:lineRule="auto"/>
              <w:rPr>
                <w:rFonts w:ascii="宋体" w:eastAsia="宋体" w:hAnsi="宋体" w:cs="Times New Roman"/>
                <w:bCs/>
                <w:iCs/>
                <w:sz w:val="24"/>
                <w:szCs w:val="24"/>
              </w:rPr>
            </w:pPr>
            <w:r>
              <w:rPr>
                <w:rFonts w:ascii="Times New Roman" w:hAnsi="Times New Roman" w:hint="eastAsia"/>
                <w:sz w:val="22"/>
                <w:szCs w:val="21"/>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5AD73BC9" w14:textId="77777777" w:rsidR="00E14439" w:rsidRDefault="005E4D9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0E1D71E7" w14:textId="77777777" w:rsidR="00E14439" w:rsidRDefault="005E4D9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1AA76344" w14:textId="77777777" w:rsidR="00E14439" w:rsidRDefault="005E4D9F">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sz w:val="24"/>
                <w:szCs w:val="24"/>
              </w:rPr>
              <w:t>□电话会议</w:t>
            </w:r>
          </w:p>
          <w:p w14:paraId="2297F1F6" w14:textId="77777777" w:rsidR="00E14439" w:rsidRDefault="005E4D9F">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E14439" w14:paraId="233D816E" w14:textId="77777777">
        <w:tc>
          <w:tcPr>
            <w:tcW w:w="2978" w:type="dxa"/>
            <w:shd w:val="clear" w:color="auto" w:fill="auto"/>
          </w:tcPr>
          <w:p w14:paraId="7CD058C0"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5812" w:type="dxa"/>
            <w:shd w:val="clear" w:color="auto" w:fill="auto"/>
          </w:tcPr>
          <w:p w14:paraId="5FE9B123" w14:textId="77777777" w:rsidR="00E14439" w:rsidRDefault="005E4D9F">
            <w:pPr>
              <w:tabs>
                <w:tab w:val="center" w:pos="2798"/>
              </w:tabs>
              <w:spacing w:line="360" w:lineRule="auto"/>
              <w:rPr>
                <w:rFonts w:ascii="宋体" w:eastAsia="宋体" w:hAnsi="宋体" w:cs="Times New Roman"/>
                <w:bCs/>
                <w:iCs/>
                <w:sz w:val="24"/>
                <w:szCs w:val="24"/>
              </w:rPr>
            </w:pPr>
            <w:r>
              <w:rPr>
                <w:rFonts w:hint="eastAsia"/>
                <w:sz w:val="24"/>
                <w:szCs w:val="20"/>
              </w:rPr>
              <w:t>兴业证券、</w:t>
            </w:r>
            <w:proofErr w:type="gramStart"/>
            <w:r>
              <w:rPr>
                <w:rFonts w:hint="eastAsia"/>
                <w:sz w:val="24"/>
                <w:szCs w:val="20"/>
              </w:rPr>
              <w:t>汇添富基金</w:t>
            </w:r>
            <w:proofErr w:type="gramEnd"/>
          </w:p>
        </w:tc>
      </w:tr>
      <w:tr w:rsidR="00E14439" w14:paraId="24A5B2CE" w14:textId="77777777">
        <w:tc>
          <w:tcPr>
            <w:tcW w:w="2978" w:type="dxa"/>
            <w:shd w:val="clear" w:color="auto" w:fill="auto"/>
          </w:tcPr>
          <w:p w14:paraId="099B1A27"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14:paraId="1E46FEB2" w14:textId="77777777" w:rsidR="00E14439" w:rsidRDefault="005E4D9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Pr>
                <w:rFonts w:ascii="宋体" w:eastAsia="宋体" w:hAnsi="宋体" w:cs="Times New Roman"/>
                <w:bCs/>
                <w:iCs/>
                <w:sz w:val="24"/>
                <w:szCs w:val="24"/>
              </w:rPr>
              <w:t>3</w:t>
            </w:r>
            <w:r>
              <w:rPr>
                <w:rFonts w:ascii="宋体" w:eastAsia="宋体" w:hAnsi="宋体" w:cs="Times New Roman" w:hint="eastAsia"/>
                <w:bCs/>
                <w:iCs/>
                <w:sz w:val="24"/>
                <w:szCs w:val="24"/>
              </w:rPr>
              <w:t>年</w:t>
            </w:r>
            <w:r>
              <w:rPr>
                <w:rFonts w:ascii="宋体" w:eastAsia="宋体" w:hAnsi="宋体" w:cs="Times New Roman"/>
                <w:bCs/>
                <w:iCs/>
                <w:sz w:val="24"/>
                <w:szCs w:val="24"/>
              </w:rPr>
              <w:t>8</w:t>
            </w:r>
            <w:r>
              <w:rPr>
                <w:rFonts w:ascii="宋体" w:eastAsia="宋体" w:hAnsi="宋体" w:cs="Times New Roman" w:hint="eastAsia"/>
                <w:bCs/>
                <w:iCs/>
                <w:sz w:val="24"/>
                <w:szCs w:val="24"/>
              </w:rPr>
              <w:t>月2</w:t>
            </w:r>
            <w:r>
              <w:rPr>
                <w:rFonts w:ascii="宋体" w:eastAsia="宋体" w:hAnsi="宋体" w:cs="Times New Roman"/>
                <w:bCs/>
                <w:iCs/>
                <w:sz w:val="24"/>
                <w:szCs w:val="24"/>
              </w:rPr>
              <w:t>4</w:t>
            </w:r>
            <w:r>
              <w:rPr>
                <w:rFonts w:ascii="宋体" w:eastAsia="宋体" w:hAnsi="宋体" w:cs="Times New Roman" w:hint="eastAsia"/>
                <w:bCs/>
                <w:iCs/>
                <w:sz w:val="24"/>
                <w:szCs w:val="24"/>
              </w:rPr>
              <w:t>日  1</w:t>
            </w:r>
            <w:r>
              <w:rPr>
                <w:rFonts w:ascii="宋体" w:eastAsia="宋体" w:hAnsi="宋体" w:cs="Times New Roman"/>
                <w:bCs/>
                <w:iCs/>
                <w:sz w:val="24"/>
                <w:szCs w:val="24"/>
              </w:rPr>
              <w:t>0</w:t>
            </w:r>
            <w:r>
              <w:rPr>
                <w:rFonts w:ascii="宋体" w:eastAsia="宋体" w:hAnsi="宋体" w:cs="Times New Roman" w:hint="eastAsia"/>
                <w:bCs/>
                <w:iCs/>
                <w:sz w:val="24"/>
                <w:szCs w:val="24"/>
              </w:rPr>
              <w:t>:00</w:t>
            </w:r>
          </w:p>
        </w:tc>
      </w:tr>
      <w:tr w:rsidR="00E14439" w14:paraId="44428C92" w14:textId="77777777">
        <w:tc>
          <w:tcPr>
            <w:tcW w:w="2978" w:type="dxa"/>
            <w:shd w:val="clear" w:color="auto" w:fill="auto"/>
          </w:tcPr>
          <w:p w14:paraId="03C94EE6"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14:paraId="5CE47AA9" w14:textId="77777777" w:rsidR="00E14439" w:rsidRDefault="005E4D9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浙江省杭州市上城区</w:t>
            </w:r>
            <w:proofErr w:type="gramStart"/>
            <w:r>
              <w:rPr>
                <w:rFonts w:ascii="宋体" w:eastAsia="宋体" w:hAnsi="宋体" w:cs="Times New Roman" w:hint="eastAsia"/>
                <w:bCs/>
                <w:iCs/>
                <w:sz w:val="24"/>
                <w:szCs w:val="24"/>
              </w:rPr>
              <w:t>新业路2</w:t>
            </w:r>
            <w:r>
              <w:rPr>
                <w:rFonts w:ascii="宋体" w:eastAsia="宋体" w:hAnsi="宋体" w:cs="Times New Roman"/>
                <w:bCs/>
                <w:iCs/>
                <w:sz w:val="24"/>
                <w:szCs w:val="24"/>
              </w:rPr>
              <w:t>00</w:t>
            </w:r>
            <w:r>
              <w:rPr>
                <w:rFonts w:ascii="宋体" w:eastAsia="宋体" w:hAnsi="宋体" w:cs="Times New Roman" w:hint="eastAsia"/>
                <w:bCs/>
                <w:iCs/>
                <w:sz w:val="24"/>
                <w:szCs w:val="24"/>
              </w:rPr>
              <w:t>号</w:t>
            </w:r>
            <w:proofErr w:type="gramEnd"/>
            <w:r>
              <w:rPr>
                <w:rFonts w:ascii="宋体" w:eastAsia="宋体" w:hAnsi="宋体" w:cs="Times New Roman" w:hint="eastAsia"/>
                <w:bCs/>
                <w:iCs/>
                <w:sz w:val="24"/>
                <w:szCs w:val="24"/>
              </w:rPr>
              <w:t>华</w:t>
            </w:r>
            <w:proofErr w:type="gramStart"/>
            <w:r>
              <w:rPr>
                <w:rFonts w:ascii="宋体" w:eastAsia="宋体" w:hAnsi="宋体" w:cs="Times New Roman" w:hint="eastAsia"/>
                <w:bCs/>
                <w:iCs/>
                <w:sz w:val="24"/>
                <w:szCs w:val="24"/>
              </w:rPr>
              <w:t>峰国际</w:t>
            </w:r>
            <w:proofErr w:type="gramEnd"/>
            <w:r>
              <w:rPr>
                <w:rFonts w:ascii="宋体" w:eastAsia="宋体" w:hAnsi="宋体" w:cs="Times New Roman" w:hint="eastAsia"/>
                <w:bCs/>
                <w:iCs/>
                <w:sz w:val="24"/>
                <w:szCs w:val="24"/>
              </w:rPr>
              <w:t>商务大厦1</w:t>
            </w:r>
            <w:r>
              <w:rPr>
                <w:rFonts w:ascii="宋体" w:eastAsia="宋体" w:hAnsi="宋体" w:cs="Times New Roman"/>
                <w:bCs/>
                <w:iCs/>
                <w:sz w:val="24"/>
                <w:szCs w:val="24"/>
              </w:rPr>
              <w:t>601</w:t>
            </w:r>
            <w:r>
              <w:rPr>
                <w:rFonts w:ascii="宋体" w:eastAsia="宋体" w:hAnsi="宋体" w:cs="Times New Roman" w:hint="eastAsia"/>
                <w:bCs/>
                <w:iCs/>
                <w:sz w:val="24"/>
                <w:szCs w:val="24"/>
              </w:rPr>
              <w:t>会议室</w:t>
            </w:r>
          </w:p>
        </w:tc>
      </w:tr>
      <w:tr w:rsidR="00E14439" w14:paraId="18645BDE" w14:textId="77777777">
        <w:tc>
          <w:tcPr>
            <w:tcW w:w="2978" w:type="dxa"/>
            <w:shd w:val="clear" w:color="auto" w:fill="auto"/>
          </w:tcPr>
          <w:p w14:paraId="48179B73"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5812" w:type="dxa"/>
            <w:shd w:val="clear" w:color="auto" w:fill="auto"/>
          </w:tcPr>
          <w:p w14:paraId="4CB35F85" w14:textId="7CAFEDE4" w:rsidR="00E14439" w:rsidRPr="00C523A7" w:rsidRDefault="005E4D9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副总经理兼董事会秘书兼财务总监、计划财务</w:t>
            </w:r>
            <w:r w:rsidR="009646DF">
              <w:rPr>
                <w:rFonts w:ascii="宋体" w:eastAsia="宋体" w:hAnsi="宋体" w:cs="Times New Roman" w:hint="eastAsia"/>
                <w:bCs/>
                <w:iCs/>
                <w:sz w:val="24"/>
                <w:szCs w:val="24"/>
              </w:rPr>
              <w:t>总</w:t>
            </w:r>
            <w:r>
              <w:rPr>
                <w:rFonts w:ascii="宋体" w:eastAsia="宋体" w:hAnsi="宋体" w:cs="Times New Roman" w:hint="eastAsia"/>
                <w:bCs/>
                <w:iCs/>
                <w:sz w:val="24"/>
                <w:szCs w:val="24"/>
              </w:rPr>
              <w:t>部经理、证券事务代表、计划财务</w:t>
            </w:r>
            <w:r w:rsidR="009646DF">
              <w:rPr>
                <w:rFonts w:ascii="宋体" w:eastAsia="宋体" w:hAnsi="宋体" w:cs="Times New Roman" w:hint="eastAsia"/>
                <w:bCs/>
                <w:iCs/>
                <w:sz w:val="24"/>
                <w:szCs w:val="24"/>
              </w:rPr>
              <w:t>总</w:t>
            </w:r>
            <w:r>
              <w:rPr>
                <w:rFonts w:ascii="宋体" w:eastAsia="宋体" w:hAnsi="宋体" w:cs="Times New Roman" w:hint="eastAsia"/>
                <w:bCs/>
                <w:iCs/>
                <w:sz w:val="24"/>
                <w:szCs w:val="24"/>
              </w:rPr>
              <w:t>部及董事会办公室相关人员</w:t>
            </w:r>
            <w:r>
              <w:rPr>
                <w:rFonts w:ascii="宋体" w:eastAsia="宋体" w:hAnsi="宋体" w:cs="Times New Roman"/>
                <w:bCs/>
                <w:iCs/>
                <w:sz w:val="24"/>
                <w:szCs w:val="24"/>
              </w:rPr>
              <w:t xml:space="preserve"> </w:t>
            </w:r>
          </w:p>
        </w:tc>
      </w:tr>
      <w:tr w:rsidR="00E14439" w14:paraId="0321BB71" w14:textId="77777777">
        <w:trPr>
          <w:trHeight w:val="2701"/>
        </w:trPr>
        <w:tc>
          <w:tcPr>
            <w:tcW w:w="2978" w:type="dxa"/>
            <w:shd w:val="clear" w:color="auto" w:fill="auto"/>
            <w:vAlign w:val="center"/>
          </w:tcPr>
          <w:p w14:paraId="5D25125D"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14:paraId="723E54E5" w14:textId="77777777" w:rsidR="00E14439" w:rsidRDefault="005E4D9F">
            <w:pPr>
              <w:spacing w:line="360" w:lineRule="auto"/>
              <w:rPr>
                <w:rFonts w:ascii="宋体" w:eastAsia="仿宋" w:hAnsi="宋体" w:cs="Times New Roman"/>
                <w:b/>
                <w:iCs/>
                <w:sz w:val="24"/>
                <w:szCs w:val="24"/>
              </w:rPr>
            </w:pPr>
            <w:r>
              <w:rPr>
                <w:rFonts w:ascii="宋体" w:eastAsia="宋体" w:hAnsi="宋体" w:cs="Times New Roman" w:hint="eastAsia"/>
                <w:b/>
                <w:iCs/>
                <w:sz w:val="24"/>
                <w:szCs w:val="24"/>
              </w:rPr>
              <w:t>问:</w:t>
            </w:r>
            <w:r>
              <w:rPr>
                <w:rFonts w:ascii="宋体" w:eastAsia="宋体" w:hAnsi="宋体" w:cs="Times New Roman" w:hint="eastAsia"/>
                <w:b/>
                <w:bCs/>
                <w:iCs/>
                <w:sz w:val="24"/>
                <w:szCs w:val="24"/>
              </w:rPr>
              <w:t>公司整体的发展战略是什么？</w:t>
            </w:r>
          </w:p>
          <w:p w14:paraId="5C4BD099" w14:textId="77777777" w:rsidR="00E14439" w:rsidRDefault="005E4D9F">
            <w:pPr>
              <w:spacing w:line="360" w:lineRule="auto"/>
              <w:ind w:firstLineChars="200" w:firstLine="482"/>
              <w:rPr>
                <w:rFonts w:ascii="宋体" w:eastAsia="宋体" w:hAnsi="宋体" w:cs="Times New Roman"/>
                <w:iCs/>
                <w:sz w:val="24"/>
                <w:szCs w:val="24"/>
              </w:rPr>
            </w:pPr>
            <w:r>
              <w:rPr>
                <w:rFonts w:ascii="宋体" w:eastAsia="宋体" w:hAnsi="宋体" w:cs="Times New Roman" w:hint="eastAsia"/>
                <w:b/>
                <w:iCs/>
                <w:sz w:val="24"/>
                <w:szCs w:val="24"/>
              </w:rPr>
              <w:t>答:</w:t>
            </w:r>
            <w:r>
              <w:rPr>
                <w:rFonts w:ascii="宋体" w:eastAsia="宋体" w:hAnsi="宋体" w:cs="Times New Roman"/>
                <w:iCs/>
                <w:sz w:val="24"/>
                <w:szCs w:val="24"/>
              </w:rPr>
              <w:t xml:space="preserve"> </w:t>
            </w:r>
            <w:r>
              <w:rPr>
                <w:rFonts w:ascii="宋体" w:eastAsia="宋体" w:hAnsi="宋体" w:cs="Times New Roman" w:hint="eastAsia"/>
                <w:iCs/>
                <w:sz w:val="24"/>
                <w:szCs w:val="24"/>
              </w:rPr>
              <w:t>公司确立了“十四五”发展战略规划，确立了“135”战略架构，即一个战略定位、三个战略目标、五条战略路径。以“大宗商品投行、大类资产配置专家、产融资源整合者”为战略目标，通过“五个永安”战略路径，打造行业领先、独具特色的</w:t>
            </w:r>
            <w:proofErr w:type="gramStart"/>
            <w:r>
              <w:rPr>
                <w:rFonts w:ascii="宋体" w:eastAsia="宋体" w:hAnsi="宋体" w:cs="Times New Roman" w:hint="eastAsia"/>
                <w:iCs/>
                <w:sz w:val="24"/>
                <w:szCs w:val="24"/>
              </w:rPr>
              <w:t>衍生品投行</w:t>
            </w:r>
            <w:proofErr w:type="gramEnd"/>
            <w:r>
              <w:rPr>
                <w:rFonts w:ascii="宋体" w:eastAsia="宋体" w:hAnsi="宋体" w:cs="Times New Roman" w:hint="eastAsia"/>
                <w:iCs/>
                <w:sz w:val="24"/>
                <w:szCs w:val="24"/>
              </w:rPr>
              <w:t>，为建设高效率、有活力、开放型的期货市场贡献力量。</w:t>
            </w:r>
          </w:p>
          <w:p w14:paraId="638E5DB7" w14:textId="77777777" w:rsidR="00E14439" w:rsidRDefault="005E4D9F">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一个战略定位：打造</w:t>
            </w:r>
            <w:proofErr w:type="gramStart"/>
            <w:r>
              <w:rPr>
                <w:rFonts w:ascii="宋体" w:eastAsia="宋体" w:hAnsi="宋体" w:cs="Times New Roman" w:hint="eastAsia"/>
                <w:iCs/>
                <w:sz w:val="24"/>
                <w:szCs w:val="24"/>
              </w:rPr>
              <w:t>衍生品投行</w:t>
            </w:r>
            <w:proofErr w:type="gramEnd"/>
            <w:r>
              <w:rPr>
                <w:rFonts w:ascii="宋体" w:eastAsia="宋体" w:hAnsi="宋体" w:cs="Times New Roman" w:hint="eastAsia"/>
                <w:iCs/>
                <w:sz w:val="24"/>
                <w:szCs w:val="24"/>
              </w:rPr>
              <w:t>，指以运用衍生品作为主要工具和核心能力，围绕大类资产和大宗商</w:t>
            </w:r>
            <w:r>
              <w:rPr>
                <w:rFonts w:ascii="宋体" w:eastAsia="宋体" w:hAnsi="宋体" w:cs="Times New Roman" w:hint="eastAsia"/>
                <w:iCs/>
                <w:sz w:val="24"/>
                <w:szCs w:val="24"/>
              </w:rPr>
              <w:lastRenderedPageBreak/>
              <w:t>品产业</w:t>
            </w:r>
            <w:proofErr w:type="gramStart"/>
            <w:r>
              <w:rPr>
                <w:rFonts w:ascii="宋体" w:eastAsia="宋体" w:hAnsi="宋体" w:cs="Times New Roman" w:hint="eastAsia"/>
                <w:iCs/>
                <w:sz w:val="24"/>
                <w:szCs w:val="24"/>
              </w:rPr>
              <w:t>链业务</w:t>
            </w:r>
            <w:proofErr w:type="gramEnd"/>
            <w:r>
              <w:rPr>
                <w:rFonts w:ascii="宋体" w:eastAsia="宋体" w:hAnsi="宋体" w:cs="Times New Roman" w:hint="eastAsia"/>
                <w:iCs/>
                <w:sz w:val="24"/>
                <w:szCs w:val="24"/>
              </w:rPr>
              <w:t>领域，为客户提供资产配置、风险管理、投融资服务的综合性金融服务机构。</w:t>
            </w:r>
          </w:p>
          <w:p w14:paraId="67AE110A" w14:textId="77777777" w:rsidR="00E14439" w:rsidRDefault="005E4D9F">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三个战略目标：打造大宗商品投行，促进场内场外、期货现货协同发展，形成产业链、供应链、价值链的综合服务体系，提供个性化的风险管理方案。打造大类资产配置专家，以衍生</w:t>
            </w:r>
            <w:proofErr w:type="gramStart"/>
            <w:r>
              <w:rPr>
                <w:rFonts w:ascii="宋体" w:eastAsia="宋体" w:hAnsi="宋体" w:cs="Times New Roman" w:hint="eastAsia"/>
                <w:iCs/>
                <w:sz w:val="24"/>
                <w:szCs w:val="24"/>
              </w:rPr>
              <w:t>品工具</w:t>
            </w:r>
            <w:proofErr w:type="gramEnd"/>
            <w:r>
              <w:rPr>
                <w:rFonts w:ascii="宋体" w:eastAsia="宋体" w:hAnsi="宋体" w:cs="Times New Roman" w:hint="eastAsia"/>
                <w:iCs/>
                <w:sz w:val="24"/>
                <w:szCs w:val="24"/>
              </w:rPr>
              <w:t>为核心，向证券权益类、债券</w:t>
            </w:r>
            <w:proofErr w:type="gramStart"/>
            <w:r>
              <w:rPr>
                <w:rFonts w:ascii="宋体" w:eastAsia="宋体" w:hAnsi="宋体" w:cs="Times New Roman" w:hint="eastAsia"/>
                <w:iCs/>
                <w:sz w:val="24"/>
                <w:szCs w:val="24"/>
              </w:rPr>
              <w:t>固收类</w:t>
            </w:r>
            <w:proofErr w:type="gramEnd"/>
            <w:r>
              <w:rPr>
                <w:rFonts w:ascii="宋体" w:eastAsia="宋体" w:hAnsi="宋体" w:cs="Times New Roman" w:hint="eastAsia"/>
                <w:iCs/>
                <w:sz w:val="24"/>
                <w:szCs w:val="24"/>
              </w:rPr>
              <w:t>、衍生期权类、海外资产配置扩展，提升资产配置能力，满足日益增长的财富增值需求。打造产融资源整合者，通过产业链上下游、境内外的资产和股权投资，开展战略合作，成为产业链上国际级、全球化的头部综合服务商。</w:t>
            </w:r>
          </w:p>
          <w:p w14:paraId="1BD0AB7D" w14:textId="77777777" w:rsidR="00E14439" w:rsidRDefault="005E4D9F">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五条战略路径：打造资本永安，通过A股市场融资与资本运作，积极增强公司融资能力与资本运营能力，为大力发展风险管理业务、开展战略性投资、提升产业</w:t>
            </w:r>
            <w:proofErr w:type="gramStart"/>
            <w:r>
              <w:rPr>
                <w:rFonts w:ascii="宋体" w:eastAsia="宋体" w:hAnsi="宋体" w:cs="Times New Roman" w:hint="eastAsia"/>
                <w:iCs/>
                <w:sz w:val="24"/>
                <w:szCs w:val="24"/>
              </w:rPr>
              <w:t>链服务</w:t>
            </w:r>
            <w:proofErr w:type="gramEnd"/>
            <w:r>
              <w:rPr>
                <w:rFonts w:ascii="宋体" w:eastAsia="宋体" w:hAnsi="宋体" w:cs="Times New Roman" w:hint="eastAsia"/>
                <w:iCs/>
                <w:sz w:val="24"/>
                <w:szCs w:val="24"/>
              </w:rPr>
              <w:t>能力、建设</w:t>
            </w:r>
            <w:proofErr w:type="gramStart"/>
            <w:r>
              <w:rPr>
                <w:rFonts w:ascii="宋体" w:eastAsia="宋体" w:hAnsi="宋体" w:cs="Times New Roman" w:hint="eastAsia"/>
                <w:iCs/>
                <w:sz w:val="24"/>
                <w:szCs w:val="24"/>
              </w:rPr>
              <w:t>衍生品投行</w:t>
            </w:r>
            <w:proofErr w:type="gramEnd"/>
            <w:r>
              <w:rPr>
                <w:rFonts w:ascii="宋体" w:eastAsia="宋体" w:hAnsi="宋体" w:cs="Times New Roman" w:hint="eastAsia"/>
                <w:iCs/>
                <w:sz w:val="24"/>
                <w:szCs w:val="24"/>
              </w:rPr>
              <w:t>提供强有力的资金保障。</w:t>
            </w:r>
            <w:proofErr w:type="gramStart"/>
            <w:r>
              <w:rPr>
                <w:rFonts w:ascii="宋体" w:eastAsia="宋体" w:hAnsi="宋体" w:cs="Times New Roman" w:hint="eastAsia"/>
                <w:iCs/>
                <w:sz w:val="24"/>
                <w:szCs w:val="24"/>
              </w:rPr>
              <w:t>打造数智永安</w:t>
            </w:r>
            <w:proofErr w:type="gramEnd"/>
            <w:r>
              <w:rPr>
                <w:rFonts w:ascii="宋体" w:eastAsia="宋体" w:hAnsi="宋体" w:cs="Times New Roman" w:hint="eastAsia"/>
                <w:iCs/>
                <w:sz w:val="24"/>
                <w:szCs w:val="24"/>
              </w:rPr>
              <w:t>，锚定“MORE”战略目标，即中台化（Middle</w:t>
            </w:r>
            <w:r>
              <w:rPr>
                <w:rFonts w:ascii="宋体" w:eastAsia="宋体" w:hAnsi="宋体" w:cs="Times New Roman"/>
                <w:iCs/>
                <w:sz w:val="24"/>
                <w:szCs w:val="24"/>
              </w:rPr>
              <w:t xml:space="preserve"> </w:t>
            </w:r>
            <w:r>
              <w:rPr>
                <w:rFonts w:ascii="宋体" w:eastAsia="宋体" w:hAnsi="宋体" w:cs="Times New Roman" w:hint="eastAsia"/>
                <w:iCs/>
                <w:sz w:val="24"/>
                <w:szCs w:val="24"/>
              </w:rPr>
              <w:t>Platform）、线上化（Online）、</w:t>
            </w:r>
            <w:proofErr w:type="gramStart"/>
            <w:r>
              <w:rPr>
                <w:rFonts w:ascii="宋体" w:eastAsia="宋体" w:hAnsi="宋体" w:cs="Times New Roman" w:hint="eastAsia"/>
                <w:iCs/>
                <w:sz w:val="24"/>
                <w:szCs w:val="24"/>
              </w:rPr>
              <w:t>数智化</w:t>
            </w:r>
            <w:proofErr w:type="gramEnd"/>
            <w:r>
              <w:rPr>
                <w:rFonts w:ascii="宋体" w:eastAsia="宋体" w:hAnsi="宋体" w:cs="Times New Roman" w:hint="eastAsia"/>
                <w:iCs/>
                <w:sz w:val="24"/>
                <w:szCs w:val="24"/>
              </w:rPr>
              <w:t>（Resourceful）和组织升级（Evolution），通过“5+3”战略路径，推动业务数字化、投</w:t>
            </w:r>
            <w:proofErr w:type="gramStart"/>
            <w:r>
              <w:rPr>
                <w:rFonts w:ascii="宋体" w:eastAsia="宋体" w:hAnsi="宋体" w:cs="Times New Roman" w:hint="eastAsia"/>
                <w:iCs/>
                <w:sz w:val="24"/>
                <w:szCs w:val="24"/>
              </w:rPr>
              <w:t>研</w:t>
            </w:r>
            <w:proofErr w:type="gramEnd"/>
            <w:r>
              <w:rPr>
                <w:rFonts w:ascii="宋体" w:eastAsia="宋体" w:hAnsi="宋体" w:cs="Times New Roman" w:hint="eastAsia"/>
                <w:iCs/>
                <w:sz w:val="24"/>
                <w:szCs w:val="24"/>
              </w:rPr>
              <w:t>一体化、运营精细化、营销网络化、合</w:t>
            </w:r>
            <w:proofErr w:type="gramStart"/>
            <w:r>
              <w:rPr>
                <w:rFonts w:ascii="宋体" w:eastAsia="宋体" w:hAnsi="宋体" w:cs="Times New Roman" w:hint="eastAsia"/>
                <w:iCs/>
                <w:sz w:val="24"/>
                <w:szCs w:val="24"/>
              </w:rPr>
              <w:t>规</w:t>
            </w:r>
            <w:proofErr w:type="gramEnd"/>
            <w:r>
              <w:rPr>
                <w:rFonts w:ascii="宋体" w:eastAsia="宋体" w:hAnsi="宋体" w:cs="Times New Roman" w:hint="eastAsia"/>
                <w:iCs/>
                <w:sz w:val="24"/>
                <w:szCs w:val="24"/>
              </w:rPr>
              <w:t>智能化以及数字化基础设施升级，使数字化能力成为公司的核心竞争力。打造生态永安，充分发挥行业头部企业的影响力，积极对接和动员多元化渠道和资源，加强全方位、跨行业战略合作，为公司打造</w:t>
            </w:r>
            <w:proofErr w:type="gramStart"/>
            <w:r>
              <w:rPr>
                <w:rFonts w:ascii="宋体" w:eastAsia="宋体" w:hAnsi="宋体" w:cs="Times New Roman" w:hint="eastAsia"/>
                <w:iCs/>
                <w:sz w:val="24"/>
                <w:szCs w:val="24"/>
              </w:rPr>
              <w:t>衍生品投行</w:t>
            </w:r>
            <w:proofErr w:type="gramEnd"/>
            <w:r>
              <w:rPr>
                <w:rFonts w:ascii="宋体" w:eastAsia="宋体" w:hAnsi="宋体" w:cs="Times New Roman" w:hint="eastAsia"/>
                <w:iCs/>
                <w:sz w:val="24"/>
                <w:szCs w:val="24"/>
              </w:rPr>
              <w:t>构筑起网络通畅、资源协同、优势互补的发展空间和生态系统。打造人才永安，坚持“人才是第一生产力”的发展理念，着力人才队伍建设，通过实施“123”人力资源管理提升计划，建设一个高效协同的组织生态，形成人力资源数字管理平台和人才梯度培养系统两大抓手，培养管</w:t>
            </w:r>
            <w:r>
              <w:rPr>
                <w:rFonts w:ascii="宋体" w:eastAsia="宋体" w:hAnsi="宋体" w:cs="Times New Roman" w:hint="eastAsia"/>
                <w:iCs/>
                <w:sz w:val="24"/>
                <w:szCs w:val="24"/>
              </w:rPr>
              <w:lastRenderedPageBreak/>
              <w:t>理队伍、投</w:t>
            </w:r>
            <w:proofErr w:type="gramStart"/>
            <w:r>
              <w:rPr>
                <w:rFonts w:ascii="宋体" w:eastAsia="宋体" w:hAnsi="宋体" w:cs="Times New Roman" w:hint="eastAsia"/>
                <w:iCs/>
                <w:sz w:val="24"/>
                <w:szCs w:val="24"/>
              </w:rPr>
              <w:t>研</w:t>
            </w:r>
            <w:proofErr w:type="gramEnd"/>
            <w:r>
              <w:rPr>
                <w:rFonts w:ascii="宋体" w:eastAsia="宋体" w:hAnsi="宋体" w:cs="Times New Roman" w:hint="eastAsia"/>
                <w:iCs/>
                <w:sz w:val="24"/>
                <w:szCs w:val="24"/>
              </w:rPr>
              <w:t>队伍、销售队伍三支人才队伍，充分发挥人才引擎作用，为实现公司战略目标提供人才支撑。打造文化永安，以“一切只为客户”作为公司基本理念，坚持合法合</w:t>
            </w:r>
            <w:proofErr w:type="gramStart"/>
            <w:r>
              <w:rPr>
                <w:rFonts w:ascii="宋体" w:eastAsia="宋体" w:hAnsi="宋体" w:cs="Times New Roman" w:hint="eastAsia"/>
                <w:iCs/>
                <w:sz w:val="24"/>
                <w:szCs w:val="24"/>
              </w:rPr>
              <w:t>规</w:t>
            </w:r>
            <w:proofErr w:type="gramEnd"/>
            <w:r>
              <w:rPr>
                <w:rFonts w:ascii="宋体" w:eastAsia="宋体" w:hAnsi="宋体" w:cs="Times New Roman" w:hint="eastAsia"/>
                <w:iCs/>
                <w:sz w:val="24"/>
                <w:szCs w:val="24"/>
              </w:rPr>
              <w:t>、坚持客户利益至上、坚持以人为本、坚持股东利益最大化、坚持企业社会责任，积极推动企业文化和品牌建设，持续创造文化价值，不断提升品牌影响力。</w:t>
            </w:r>
          </w:p>
          <w:p w14:paraId="2F4FA1BE" w14:textId="77777777" w:rsidR="00E14439" w:rsidRDefault="005E4D9F">
            <w:pPr>
              <w:rPr>
                <w:rFonts w:ascii="宋体" w:eastAsia="宋体" w:hAnsi="宋体" w:cs="Times New Roman"/>
                <w:b/>
                <w:iCs/>
                <w:sz w:val="24"/>
                <w:szCs w:val="24"/>
              </w:rPr>
            </w:pPr>
            <w:r>
              <w:rPr>
                <w:rFonts w:ascii="宋体" w:eastAsia="宋体" w:hAnsi="宋体" w:cs="Times New Roman" w:hint="eastAsia"/>
                <w:b/>
                <w:iCs/>
                <w:sz w:val="24"/>
                <w:szCs w:val="24"/>
              </w:rPr>
              <w:t>问：请问公司期货经纪业务表现如何？</w:t>
            </w:r>
          </w:p>
          <w:p w14:paraId="1CFCCCDE" w14:textId="111F0FD7" w:rsidR="00E14439" w:rsidRDefault="005E4D9F">
            <w:pPr>
              <w:spacing w:line="360" w:lineRule="auto"/>
              <w:ind w:firstLineChars="200" w:firstLine="482"/>
              <w:rPr>
                <w:rFonts w:ascii="宋体" w:eastAsia="宋体" w:hAnsi="宋体" w:cs="Times New Roman"/>
                <w:iCs/>
                <w:sz w:val="24"/>
                <w:szCs w:val="24"/>
              </w:rPr>
            </w:pPr>
            <w:r>
              <w:rPr>
                <w:rFonts w:ascii="宋体" w:eastAsia="宋体" w:hAnsi="宋体" w:cs="Times New Roman" w:hint="eastAsia"/>
                <w:b/>
                <w:iCs/>
                <w:sz w:val="24"/>
                <w:szCs w:val="24"/>
              </w:rPr>
              <w:t>答：</w:t>
            </w:r>
            <w:r>
              <w:rPr>
                <w:rFonts w:ascii="宋体" w:eastAsia="宋体" w:hAnsi="宋体" w:cs="Times New Roman" w:hint="eastAsia"/>
                <w:iCs/>
                <w:sz w:val="24"/>
                <w:szCs w:val="24"/>
              </w:rPr>
              <w:t>今年上半年，公司期货经纪业务找准有效抓手，实现承压突破，期货经纪成交量1.04亿手，同比上升10.</w:t>
            </w:r>
            <w:r w:rsidR="00727D37">
              <w:rPr>
                <w:rFonts w:ascii="宋体" w:eastAsia="宋体" w:hAnsi="宋体" w:cs="Times New Roman"/>
                <w:iCs/>
                <w:sz w:val="24"/>
                <w:szCs w:val="24"/>
              </w:rPr>
              <w:t>29</w:t>
            </w:r>
            <w:r w:rsidR="00882705">
              <w:rPr>
                <w:rFonts w:ascii="宋体" w:eastAsia="宋体" w:hAnsi="宋体" w:cs="Times New Roman"/>
                <w:iCs/>
                <w:sz w:val="24"/>
                <w:szCs w:val="24"/>
              </w:rPr>
              <w:t>%</w:t>
            </w:r>
            <w:r>
              <w:rPr>
                <w:rFonts w:ascii="宋体" w:eastAsia="宋体" w:hAnsi="宋体" w:cs="Times New Roman" w:hint="eastAsia"/>
                <w:iCs/>
                <w:sz w:val="24"/>
                <w:szCs w:val="24"/>
              </w:rPr>
              <w:t>，成交金额7.67</w:t>
            </w:r>
            <w:proofErr w:type="gramStart"/>
            <w:r>
              <w:rPr>
                <w:rFonts w:ascii="宋体" w:eastAsia="宋体" w:hAnsi="宋体" w:cs="Times New Roman" w:hint="eastAsia"/>
                <w:iCs/>
                <w:sz w:val="24"/>
                <w:szCs w:val="24"/>
              </w:rPr>
              <w:t>万亿</w:t>
            </w:r>
            <w:proofErr w:type="gramEnd"/>
            <w:r>
              <w:rPr>
                <w:rFonts w:ascii="宋体" w:eastAsia="宋体" w:hAnsi="宋体" w:cs="Times New Roman" w:hint="eastAsia"/>
                <w:iCs/>
                <w:sz w:val="24"/>
                <w:szCs w:val="24"/>
              </w:rPr>
              <w:t>元，客户日均权益487.</w:t>
            </w:r>
            <w:r>
              <w:rPr>
                <w:rFonts w:ascii="宋体" w:eastAsia="宋体" w:hAnsi="宋体" w:cs="Times New Roman"/>
                <w:iCs/>
                <w:sz w:val="24"/>
                <w:szCs w:val="24"/>
              </w:rPr>
              <w:t>18</w:t>
            </w:r>
            <w:r>
              <w:rPr>
                <w:rFonts w:ascii="宋体" w:eastAsia="宋体" w:hAnsi="宋体" w:cs="Times New Roman" w:hint="eastAsia"/>
                <w:iCs/>
                <w:sz w:val="24"/>
                <w:szCs w:val="24"/>
              </w:rPr>
              <w:t>亿元，同比增长</w:t>
            </w:r>
            <w:r w:rsidR="00727D37">
              <w:rPr>
                <w:rFonts w:ascii="宋体" w:eastAsia="宋体" w:hAnsi="宋体" w:cs="Times New Roman"/>
                <w:iCs/>
                <w:sz w:val="24"/>
                <w:szCs w:val="24"/>
              </w:rPr>
              <w:t>7.63</w:t>
            </w:r>
            <w:r>
              <w:rPr>
                <w:rFonts w:ascii="宋体" w:eastAsia="宋体" w:hAnsi="宋体" w:cs="Times New Roman" w:hint="eastAsia"/>
                <w:iCs/>
                <w:sz w:val="24"/>
                <w:szCs w:val="24"/>
              </w:rPr>
              <w:t>%。</w:t>
            </w:r>
          </w:p>
          <w:p w14:paraId="14BC6ACF" w14:textId="77777777" w:rsidR="00E14439" w:rsidRDefault="005E4D9F">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面对日益激烈的市场竞争，公司多</w:t>
            </w:r>
            <w:proofErr w:type="gramStart"/>
            <w:r>
              <w:rPr>
                <w:rFonts w:ascii="宋体" w:eastAsia="宋体" w:hAnsi="宋体" w:cs="Times New Roman" w:hint="eastAsia"/>
                <w:iCs/>
                <w:sz w:val="24"/>
                <w:szCs w:val="24"/>
              </w:rPr>
              <w:t>措</w:t>
            </w:r>
            <w:proofErr w:type="gramEnd"/>
            <w:r>
              <w:rPr>
                <w:rFonts w:ascii="宋体" w:eastAsia="宋体" w:hAnsi="宋体" w:cs="Times New Roman" w:hint="eastAsia"/>
                <w:iCs/>
                <w:sz w:val="24"/>
                <w:szCs w:val="24"/>
              </w:rPr>
              <w:t>并举提升客户服务能力。首先，公司</w:t>
            </w:r>
            <w:proofErr w:type="gramStart"/>
            <w:r>
              <w:rPr>
                <w:rFonts w:ascii="宋体" w:eastAsia="宋体" w:hAnsi="宋体" w:cs="Times New Roman" w:hint="eastAsia"/>
                <w:iCs/>
                <w:sz w:val="24"/>
                <w:szCs w:val="24"/>
              </w:rPr>
              <w:t>焕</w:t>
            </w:r>
            <w:proofErr w:type="gramEnd"/>
            <w:r>
              <w:rPr>
                <w:rFonts w:ascii="宋体" w:eastAsia="宋体" w:hAnsi="宋体" w:cs="Times New Roman" w:hint="eastAsia"/>
                <w:iCs/>
                <w:sz w:val="24"/>
                <w:szCs w:val="24"/>
              </w:rPr>
              <w:t>新升级产业委员会，下设13家品种委员会，涵盖黑色、能化、农产品、</w:t>
            </w:r>
            <w:proofErr w:type="gramStart"/>
            <w:r>
              <w:rPr>
                <w:rFonts w:ascii="宋体" w:eastAsia="宋体" w:hAnsi="宋体" w:cs="Times New Roman" w:hint="eastAsia"/>
                <w:iCs/>
                <w:sz w:val="24"/>
                <w:szCs w:val="24"/>
              </w:rPr>
              <w:t>有色与</w:t>
            </w:r>
            <w:proofErr w:type="gramEnd"/>
            <w:r>
              <w:rPr>
                <w:rFonts w:ascii="宋体" w:eastAsia="宋体" w:hAnsi="宋体" w:cs="Times New Roman" w:hint="eastAsia"/>
                <w:iCs/>
                <w:sz w:val="24"/>
                <w:szCs w:val="24"/>
              </w:rPr>
              <w:t>金融板块的主要品种，报告期内开展调研活动、行业</w:t>
            </w:r>
            <w:proofErr w:type="gramStart"/>
            <w:r>
              <w:rPr>
                <w:rFonts w:ascii="宋体" w:eastAsia="宋体" w:hAnsi="宋体" w:cs="Times New Roman" w:hint="eastAsia"/>
                <w:iCs/>
                <w:sz w:val="24"/>
                <w:szCs w:val="24"/>
              </w:rPr>
              <w:t>会议超</w:t>
            </w:r>
            <w:proofErr w:type="gramEnd"/>
            <w:r>
              <w:rPr>
                <w:rFonts w:ascii="宋体" w:eastAsia="宋体" w:hAnsi="宋体" w:cs="Times New Roman" w:hint="eastAsia"/>
                <w:iCs/>
                <w:sz w:val="24"/>
                <w:szCs w:val="24"/>
              </w:rPr>
              <w:t>80场，有效服务产业客户；其次，参与举办中国大宗商品金融服务创新峰会、中国（深圳）私募基金高峰论坛、中国化工产业（衍生品）大会、中国玉米市场（杭州）年会等一系列大型会议活动，提升公司品牌影响力；此外，优化“源点资讯”APP建设，提升其作为研究平台和客户平台的双重功能，新增注册用户1,300余户，新增点击量超77万次。</w:t>
            </w:r>
          </w:p>
          <w:p w14:paraId="1B5A465E" w14:textId="6FAF6C11" w:rsidR="00E14439" w:rsidRDefault="005E4D9F">
            <w:pPr>
              <w:spacing w:line="360" w:lineRule="auto"/>
              <w:rPr>
                <w:rFonts w:ascii="宋体" w:eastAsia="宋体" w:hAnsi="宋体" w:cs="Times New Roman"/>
                <w:iCs/>
                <w:sz w:val="24"/>
                <w:szCs w:val="24"/>
              </w:rPr>
            </w:pPr>
            <w:r>
              <w:rPr>
                <w:rFonts w:ascii="宋体" w:eastAsia="宋体" w:hAnsi="宋体" w:cs="Times New Roman" w:hint="eastAsia"/>
                <w:b/>
                <w:iCs/>
                <w:sz w:val="24"/>
                <w:szCs w:val="24"/>
              </w:rPr>
              <w:t>问:</w:t>
            </w:r>
            <w:r>
              <w:rPr>
                <w:rFonts w:hint="eastAsia"/>
                <w:b/>
                <w:sz w:val="24"/>
                <w:szCs w:val="20"/>
              </w:rPr>
              <w:t>请问公司风险管理业务表现如何？对行业波动是如何应对的？</w:t>
            </w:r>
          </w:p>
          <w:p w14:paraId="714A3C58" w14:textId="4AAF2E68" w:rsidR="00E14439" w:rsidRDefault="005E4D9F">
            <w:pPr>
              <w:spacing w:line="360" w:lineRule="auto"/>
              <w:ind w:firstLine="480"/>
              <w:rPr>
                <w:rFonts w:ascii="宋体" w:eastAsia="宋体" w:hAnsi="宋体" w:cs="Times New Roman"/>
                <w:iCs/>
                <w:sz w:val="24"/>
                <w:szCs w:val="24"/>
              </w:rPr>
            </w:pPr>
            <w:r>
              <w:rPr>
                <w:rFonts w:ascii="宋体" w:eastAsia="宋体" w:hAnsi="宋体" w:cs="Times New Roman" w:hint="eastAsia"/>
                <w:b/>
                <w:iCs/>
                <w:sz w:val="24"/>
                <w:szCs w:val="24"/>
              </w:rPr>
              <w:t>答：</w:t>
            </w:r>
            <w:r>
              <w:rPr>
                <w:rFonts w:ascii="宋体" w:eastAsia="宋体" w:hAnsi="宋体" w:cs="Times New Roman" w:hint="eastAsia"/>
                <w:iCs/>
                <w:sz w:val="24"/>
                <w:szCs w:val="24"/>
              </w:rPr>
              <w:t>今年上半年，公司风险管理业务实现营业收入111.36亿元，营业利润1.6</w:t>
            </w:r>
            <w:r>
              <w:rPr>
                <w:rFonts w:ascii="宋体" w:eastAsia="宋体" w:hAnsi="宋体" w:cs="Times New Roman"/>
                <w:iCs/>
                <w:sz w:val="24"/>
                <w:szCs w:val="24"/>
              </w:rPr>
              <w:t>0</w:t>
            </w:r>
            <w:r>
              <w:rPr>
                <w:rFonts w:ascii="宋体" w:eastAsia="宋体" w:hAnsi="宋体" w:cs="Times New Roman" w:hint="eastAsia"/>
                <w:iCs/>
                <w:sz w:val="24"/>
                <w:szCs w:val="24"/>
              </w:rPr>
              <w:t>亿元。面对行业压力，公司风险管理业务</w:t>
            </w:r>
            <w:r w:rsidR="00D70732">
              <w:rPr>
                <w:rFonts w:ascii="宋体" w:eastAsia="宋体" w:hAnsi="宋体" w:cs="Times New Roman" w:hint="eastAsia"/>
                <w:iCs/>
                <w:sz w:val="24"/>
                <w:szCs w:val="24"/>
              </w:rPr>
              <w:t>稳中有进</w:t>
            </w:r>
            <w:r>
              <w:rPr>
                <w:rFonts w:ascii="宋体" w:eastAsia="宋体" w:hAnsi="宋体" w:cs="Times New Roman" w:hint="eastAsia"/>
                <w:iCs/>
                <w:sz w:val="24"/>
                <w:szCs w:val="24"/>
              </w:rPr>
              <w:t>，仍取得了一定的亮点及成果。</w:t>
            </w:r>
          </w:p>
          <w:p w14:paraId="47F9DEA6" w14:textId="77777777" w:rsidR="00E14439" w:rsidRDefault="005E4D9F">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上半年，在期货风险管理行业发展放缓，行业盈</w:t>
            </w:r>
            <w:r>
              <w:rPr>
                <w:rFonts w:ascii="宋体" w:eastAsia="宋体" w:hAnsi="宋体" w:cs="Times New Roman" w:hint="eastAsia"/>
                <w:iCs/>
                <w:sz w:val="24"/>
                <w:szCs w:val="24"/>
              </w:rPr>
              <w:lastRenderedPageBreak/>
              <w:t>利能力下降的严峻大环境下，公司积极探索业务增长点，场外衍生品业务交易量显著增长，积极把握市场机遇，加强行情研究和业务创新，在运用对冲工具、丰富交易品种、优化客户结构、增进业务协同等方面取得成效，推动业务规模持续增长，实现预期经营目标。</w:t>
            </w:r>
          </w:p>
          <w:p w14:paraId="57DF68AF" w14:textId="77777777" w:rsidR="00E14439" w:rsidRDefault="005E4D9F">
            <w:pPr>
              <w:spacing w:line="360" w:lineRule="auto"/>
              <w:rPr>
                <w:b/>
                <w:sz w:val="24"/>
                <w:szCs w:val="20"/>
              </w:rPr>
            </w:pPr>
            <w:r>
              <w:rPr>
                <w:rFonts w:ascii="宋体" w:eastAsia="宋体" w:hAnsi="宋体" w:cs="Times New Roman" w:hint="eastAsia"/>
                <w:b/>
                <w:iCs/>
                <w:sz w:val="24"/>
                <w:szCs w:val="24"/>
              </w:rPr>
              <w:t>问:</w:t>
            </w:r>
            <w:r>
              <w:rPr>
                <w:rFonts w:ascii="宋体" w:eastAsia="宋体" w:hAnsi="宋体" w:cs="Times New Roman"/>
                <w:bCs/>
                <w:iCs/>
                <w:sz w:val="24"/>
                <w:szCs w:val="24"/>
              </w:rPr>
              <w:t xml:space="preserve"> </w:t>
            </w:r>
            <w:r>
              <w:rPr>
                <w:b/>
                <w:sz w:val="24"/>
                <w:szCs w:val="20"/>
              </w:rPr>
              <w:t>近期</w:t>
            </w:r>
            <w:r>
              <w:rPr>
                <w:rFonts w:hint="eastAsia"/>
                <w:b/>
                <w:sz w:val="24"/>
                <w:szCs w:val="20"/>
              </w:rPr>
              <w:t>《期货公司监督管理办法（征求意见稿）》</w:t>
            </w:r>
            <w:r>
              <w:rPr>
                <w:b/>
                <w:sz w:val="24"/>
                <w:szCs w:val="20"/>
              </w:rPr>
              <w:t>对公司的影响如何？</w:t>
            </w:r>
            <w:r>
              <w:rPr>
                <w:b/>
                <w:sz w:val="24"/>
                <w:szCs w:val="20"/>
              </w:rPr>
              <w:t xml:space="preserve"> </w:t>
            </w:r>
          </w:p>
          <w:p w14:paraId="4E288276" w14:textId="49368A30" w:rsidR="00E14439" w:rsidRDefault="005E4D9F" w:rsidP="00A96EDB">
            <w:pPr>
              <w:spacing w:line="360" w:lineRule="auto"/>
              <w:ind w:firstLineChars="202" w:firstLine="487"/>
              <w:rPr>
                <w:rFonts w:ascii="宋体" w:eastAsia="宋体" w:hAnsi="宋体" w:cs="Times New Roman"/>
                <w:iCs/>
                <w:sz w:val="24"/>
                <w:szCs w:val="24"/>
              </w:rPr>
            </w:pPr>
            <w:r>
              <w:rPr>
                <w:rFonts w:ascii="宋体" w:eastAsia="宋体" w:hAnsi="宋体" w:cs="Times New Roman" w:hint="eastAsia"/>
                <w:b/>
                <w:iCs/>
                <w:sz w:val="24"/>
                <w:szCs w:val="24"/>
              </w:rPr>
              <w:t>答:</w:t>
            </w:r>
            <w:r>
              <w:rPr>
                <w:rFonts w:ascii="宋体" w:eastAsia="宋体" w:hAnsi="宋体" w:cs="Times New Roman"/>
                <w:iCs/>
                <w:sz w:val="24"/>
                <w:szCs w:val="24"/>
              </w:rPr>
              <w:t xml:space="preserve"> </w:t>
            </w:r>
            <w:r>
              <w:rPr>
                <w:rFonts w:ascii="宋体" w:eastAsia="宋体" w:hAnsi="宋体" w:cs="Times New Roman"/>
                <w:bCs/>
                <w:iCs/>
                <w:sz w:val="24"/>
                <w:szCs w:val="24"/>
              </w:rPr>
              <w:t>2023年3月24日，证监会就《期货公司监督管理办法（征求意见稿）》向社会公开征求意见，新增了期货自营、期货保证金融资等业务安排，同时明确做</w:t>
            </w:r>
            <w:proofErr w:type="gramStart"/>
            <w:r>
              <w:rPr>
                <w:rFonts w:ascii="宋体" w:eastAsia="宋体" w:hAnsi="宋体" w:cs="Times New Roman"/>
                <w:bCs/>
                <w:iCs/>
                <w:sz w:val="24"/>
                <w:szCs w:val="24"/>
              </w:rPr>
              <w:t>市业务</w:t>
            </w:r>
            <w:proofErr w:type="gramEnd"/>
            <w:r>
              <w:rPr>
                <w:rFonts w:ascii="宋体" w:eastAsia="宋体" w:hAnsi="宋体" w:cs="Times New Roman"/>
                <w:bCs/>
                <w:iCs/>
                <w:sz w:val="24"/>
                <w:szCs w:val="24"/>
              </w:rPr>
              <w:t>和场外衍生品业务“由子归母”，期货公司从单一的期货经纪商转变为综合金融服务商，业务的复杂程度和展业要求明显提升</w:t>
            </w:r>
            <w:r w:rsidR="00A96EDB">
              <w:rPr>
                <w:rFonts w:ascii="宋体" w:eastAsia="宋体" w:hAnsi="宋体" w:cs="Times New Roman" w:hint="eastAsia"/>
                <w:bCs/>
                <w:iCs/>
                <w:sz w:val="24"/>
                <w:szCs w:val="24"/>
              </w:rPr>
              <w:t>，</w:t>
            </w:r>
            <w:r w:rsidR="00A96EDB">
              <w:rPr>
                <w:rFonts w:ascii="宋体" w:eastAsia="宋体" w:hAnsi="宋体" w:cs="Times New Roman"/>
                <w:bCs/>
                <w:iCs/>
                <w:sz w:val="24"/>
                <w:szCs w:val="24"/>
              </w:rPr>
              <w:t>体现了“扶优限劣”的监管导向和防范金融风险的监管要求。</w:t>
            </w:r>
            <w:r>
              <w:rPr>
                <w:rFonts w:ascii="宋体" w:eastAsia="宋体" w:hAnsi="宋体" w:cs="Times New Roman"/>
                <w:bCs/>
                <w:iCs/>
                <w:sz w:val="24"/>
                <w:szCs w:val="24"/>
              </w:rPr>
              <w:t>一是重资产业务高门槛，高要求，高回报。对期货公司的资本实力、融资能力和流动性管理能力都有很高的要求，期货公司开展这些重资产业务，必须尽可能的拓宽融资渠道，并且对资产负债有着优秀的规划和管理能力，头部期货公司可借助资本优势综合发展新型业务。二是业务风险性质多元，风险相互交错。传统赛道上，各业务</w:t>
            </w:r>
            <w:r>
              <w:rPr>
                <w:rFonts w:ascii="宋体" w:eastAsia="宋体" w:hAnsi="宋体" w:cs="Times New Roman" w:hint="eastAsia"/>
                <w:bCs/>
                <w:iCs/>
                <w:sz w:val="24"/>
                <w:szCs w:val="24"/>
              </w:rPr>
              <w:t>板</w:t>
            </w:r>
            <w:r>
              <w:rPr>
                <w:rFonts w:ascii="宋体" w:eastAsia="宋体" w:hAnsi="宋体" w:cs="Times New Roman"/>
                <w:bCs/>
                <w:iCs/>
                <w:sz w:val="24"/>
                <w:szCs w:val="24"/>
              </w:rPr>
              <w:t>块风险相对独立，业务边界也比较清晰</w:t>
            </w:r>
            <w:r w:rsidR="009911D8">
              <w:rPr>
                <w:rFonts w:ascii="宋体" w:eastAsia="宋体" w:hAnsi="宋体" w:cs="Times New Roman" w:hint="eastAsia"/>
                <w:bCs/>
                <w:iCs/>
                <w:sz w:val="24"/>
                <w:szCs w:val="24"/>
              </w:rPr>
              <w:t>，</w:t>
            </w:r>
            <w:r>
              <w:rPr>
                <w:rFonts w:ascii="宋体" w:eastAsia="宋体" w:hAnsi="宋体" w:cs="Times New Roman"/>
                <w:bCs/>
                <w:iCs/>
                <w:sz w:val="24"/>
                <w:szCs w:val="24"/>
              </w:rPr>
              <w:t>随着新业务的上线，业务之间的关联性增强，风险相互交错，跨业</w:t>
            </w:r>
            <w:proofErr w:type="gramStart"/>
            <w:r>
              <w:rPr>
                <w:rFonts w:ascii="宋体" w:eastAsia="宋体" w:hAnsi="宋体" w:cs="Times New Roman"/>
                <w:bCs/>
                <w:iCs/>
                <w:sz w:val="24"/>
                <w:szCs w:val="24"/>
              </w:rPr>
              <w:t>务</w:t>
            </w:r>
            <w:proofErr w:type="gramEnd"/>
            <w:r>
              <w:rPr>
                <w:rFonts w:ascii="宋体" w:eastAsia="宋体" w:hAnsi="宋体" w:cs="Times New Roman"/>
                <w:bCs/>
                <w:iCs/>
                <w:sz w:val="24"/>
                <w:szCs w:val="24"/>
              </w:rPr>
              <w:t>的联合风险管理重要性凸显，对期货公司风险管理组织架构的决策效能和执行力度都提出了更高的要求。</w:t>
            </w:r>
          </w:p>
        </w:tc>
      </w:tr>
    </w:tbl>
    <w:p w14:paraId="3EC6C6E8" w14:textId="77777777" w:rsidR="00C523A7" w:rsidRDefault="00C523A7" w:rsidP="000510C1">
      <w:pPr>
        <w:spacing w:line="360" w:lineRule="auto"/>
        <w:rPr>
          <w:rFonts w:ascii="宋体" w:eastAsia="宋体" w:hAnsi="宋体" w:cs="Times New Roman"/>
          <w:b/>
          <w:bCs/>
          <w:iCs/>
          <w:sz w:val="24"/>
          <w:szCs w:val="24"/>
        </w:rPr>
      </w:pPr>
    </w:p>
    <w:sectPr w:rsidR="00C523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B860" w14:textId="77777777" w:rsidR="00BA6EEA" w:rsidRDefault="00BA6EEA" w:rsidP="00727D37">
      <w:r>
        <w:separator/>
      </w:r>
    </w:p>
  </w:endnote>
  <w:endnote w:type="continuationSeparator" w:id="0">
    <w:p w14:paraId="3D3A8024" w14:textId="77777777" w:rsidR="00BA6EEA" w:rsidRDefault="00BA6EEA" w:rsidP="0072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6064" w14:textId="77777777" w:rsidR="00BA6EEA" w:rsidRDefault="00BA6EEA" w:rsidP="00727D37">
      <w:r>
        <w:separator/>
      </w:r>
    </w:p>
  </w:footnote>
  <w:footnote w:type="continuationSeparator" w:id="0">
    <w:p w14:paraId="00A0FEE5" w14:textId="77777777" w:rsidR="00BA6EEA" w:rsidRDefault="00BA6EEA" w:rsidP="00727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VmNjMxYzMyM2I1MWFhY2ExZmRjYjQ5MTY2Yjc1MDMifQ=="/>
  </w:docVars>
  <w:rsids>
    <w:rsidRoot w:val="00EE26CD"/>
    <w:rsid w:val="0000466C"/>
    <w:rsid w:val="00007952"/>
    <w:rsid w:val="00013CDE"/>
    <w:rsid w:val="00014EDC"/>
    <w:rsid w:val="00014F2A"/>
    <w:rsid w:val="00021F69"/>
    <w:rsid w:val="00023F7B"/>
    <w:rsid w:val="000269F1"/>
    <w:rsid w:val="00026CD7"/>
    <w:rsid w:val="00026E2B"/>
    <w:rsid w:val="000270E5"/>
    <w:rsid w:val="000333DF"/>
    <w:rsid w:val="00042C46"/>
    <w:rsid w:val="000444E5"/>
    <w:rsid w:val="000510C1"/>
    <w:rsid w:val="000528A8"/>
    <w:rsid w:val="0005452E"/>
    <w:rsid w:val="00063DB5"/>
    <w:rsid w:val="0006434F"/>
    <w:rsid w:val="0006491E"/>
    <w:rsid w:val="00070593"/>
    <w:rsid w:val="00070C3B"/>
    <w:rsid w:val="00071B11"/>
    <w:rsid w:val="000776C1"/>
    <w:rsid w:val="00081B36"/>
    <w:rsid w:val="000828F8"/>
    <w:rsid w:val="00086C90"/>
    <w:rsid w:val="000A65EF"/>
    <w:rsid w:val="000B6FFD"/>
    <w:rsid w:val="000C2F52"/>
    <w:rsid w:val="000C3F33"/>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D65B7"/>
    <w:rsid w:val="002E2D84"/>
    <w:rsid w:val="002F1B04"/>
    <w:rsid w:val="002F4C46"/>
    <w:rsid w:val="002F6EAD"/>
    <w:rsid w:val="00307607"/>
    <w:rsid w:val="00307EC1"/>
    <w:rsid w:val="0031032E"/>
    <w:rsid w:val="003131C3"/>
    <w:rsid w:val="0031371B"/>
    <w:rsid w:val="00320D9D"/>
    <w:rsid w:val="00320EA7"/>
    <w:rsid w:val="00327CE4"/>
    <w:rsid w:val="00335116"/>
    <w:rsid w:val="00336191"/>
    <w:rsid w:val="00340A0E"/>
    <w:rsid w:val="003413FD"/>
    <w:rsid w:val="003508D5"/>
    <w:rsid w:val="003524BC"/>
    <w:rsid w:val="0035572A"/>
    <w:rsid w:val="00362CD0"/>
    <w:rsid w:val="00363384"/>
    <w:rsid w:val="0037038A"/>
    <w:rsid w:val="003722F1"/>
    <w:rsid w:val="0037245D"/>
    <w:rsid w:val="00376C2D"/>
    <w:rsid w:val="00376EB2"/>
    <w:rsid w:val="0038034C"/>
    <w:rsid w:val="00385823"/>
    <w:rsid w:val="00386F86"/>
    <w:rsid w:val="00397642"/>
    <w:rsid w:val="003A2EB2"/>
    <w:rsid w:val="003B13A4"/>
    <w:rsid w:val="003C0892"/>
    <w:rsid w:val="003D2A88"/>
    <w:rsid w:val="003D2F73"/>
    <w:rsid w:val="003D40E0"/>
    <w:rsid w:val="003F2A5A"/>
    <w:rsid w:val="003F6D0B"/>
    <w:rsid w:val="00400B90"/>
    <w:rsid w:val="0040142B"/>
    <w:rsid w:val="00404723"/>
    <w:rsid w:val="00407284"/>
    <w:rsid w:val="004106EC"/>
    <w:rsid w:val="00411262"/>
    <w:rsid w:val="00412E14"/>
    <w:rsid w:val="00415FC4"/>
    <w:rsid w:val="00420071"/>
    <w:rsid w:val="0042182D"/>
    <w:rsid w:val="00425BB1"/>
    <w:rsid w:val="00432964"/>
    <w:rsid w:val="00433835"/>
    <w:rsid w:val="00467B9C"/>
    <w:rsid w:val="00470346"/>
    <w:rsid w:val="00472F77"/>
    <w:rsid w:val="00473F91"/>
    <w:rsid w:val="00482D5D"/>
    <w:rsid w:val="004859A7"/>
    <w:rsid w:val="004947BA"/>
    <w:rsid w:val="00495655"/>
    <w:rsid w:val="004A58CB"/>
    <w:rsid w:val="004B19E2"/>
    <w:rsid w:val="004B500C"/>
    <w:rsid w:val="004B75DE"/>
    <w:rsid w:val="004C3E41"/>
    <w:rsid w:val="004C50C2"/>
    <w:rsid w:val="004C6956"/>
    <w:rsid w:val="004C770A"/>
    <w:rsid w:val="004D4156"/>
    <w:rsid w:val="004D5BB3"/>
    <w:rsid w:val="004D614E"/>
    <w:rsid w:val="004E25DD"/>
    <w:rsid w:val="004E4CBB"/>
    <w:rsid w:val="004F5C3F"/>
    <w:rsid w:val="00504DF9"/>
    <w:rsid w:val="00507071"/>
    <w:rsid w:val="00510286"/>
    <w:rsid w:val="00524D04"/>
    <w:rsid w:val="00534D66"/>
    <w:rsid w:val="0054404C"/>
    <w:rsid w:val="005541FF"/>
    <w:rsid w:val="00554318"/>
    <w:rsid w:val="00560717"/>
    <w:rsid w:val="00572A6D"/>
    <w:rsid w:val="00574762"/>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575A"/>
    <w:rsid w:val="005C6678"/>
    <w:rsid w:val="005D087C"/>
    <w:rsid w:val="005D20DD"/>
    <w:rsid w:val="005E4D9F"/>
    <w:rsid w:val="005E4F20"/>
    <w:rsid w:val="005E5F7A"/>
    <w:rsid w:val="005F2C62"/>
    <w:rsid w:val="005F3083"/>
    <w:rsid w:val="005F3897"/>
    <w:rsid w:val="005F7318"/>
    <w:rsid w:val="006016A0"/>
    <w:rsid w:val="00605119"/>
    <w:rsid w:val="00606A42"/>
    <w:rsid w:val="00616E36"/>
    <w:rsid w:val="00623855"/>
    <w:rsid w:val="00626FB3"/>
    <w:rsid w:val="00630710"/>
    <w:rsid w:val="0063129A"/>
    <w:rsid w:val="006323B5"/>
    <w:rsid w:val="00640788"/>
    <w:rsid w:val="00642382"/>
    <w:rsid w:val="00643F90"/>
    <w:rsid w:val="0064637F"/>
    <w:rsid w:val="00653A71"/>
    <w:rsid w:val="00655835"/>
    <w:rsid w:val="00657402"/>
    <w:rsid w:val="00667FB5"/>
    <w:rsid w:val="00672C00"/>
    <w:rsid w:val="00686E4C"/>
    <w:rsid w:val="006934D3"/>
    <w:rsid w:val="0069619A"/>
    <w:rsid w:val="006A2E11"/>
    <w:rsid w:val="006A3184"/>
    <w:rsid w:val="006E3B82"/>
    <w:rsid w:val="006E7372"/>
    <w:rsid w:val="006F32A2"/>
    <w:rsid w:val="006F438E"/>
    <w:rsid w:val="00700B5B"/>
    <w:rsid w:val="00701E34"/>
    <w:rsid w:val="007118F2"/>
    <w:rsid w:val="00713A75"/>
    <w:rsid w:val="00720E6D"/>
    <w:rsid w:val="00727D37"/>
    <w:rsid w:val="00733488"/>
    <w:rsid w:val="00735F04"/>
    <w:rsid w:val="00735F4D"/>
    <w:rsid w:val="00746249"/>
    <w:rsid w:val="00751592"/>
    <w:rsid w:val="00756A97"/>
    <w:rsid w:val="00757362"/>
    <w:rsid w:val="0076183F"/>
    <w:rsid w:val="00770B3F"/>
    <w:rsid w:val="00771A91"/>
    <w:rsid w:val="00773213"/>
    <w:rsid w:val="00785284"/>
    <w:rsid w:val="00790374"/>
    <w:rsid w:val="0079430A"/>
    <w:rsid w:val="00794C8B"/>
    <w:rsid w:val="00795940"/>
    <w:rsid w:val="007A4905"/>
    <w:rsid w:val="007B196F"/>
    <w:rsid w:val="007C39F3"/>
    <w:rsid w:val="007C42ED"/>
    <w:rsid w:val="007C7447"/>
    <w:rsid w:val="007C7D09"/>
    <w:rsid w:val="007D626D"/>
    <w:rsid w:val="007E1F58"/>
    <w:rsid w:val="007F2176"/>
    <w:rsid w:val="00806573"/>
    <w:rsid w:val="00814484"/>
    <w:rsid w:val="008160A1"/>
    <w:rsid w:val="00816CED"/>
    <w:rsid w:val="00821685"/>
    <w:rsid w:val="00827C6C"/>
    <w:rsid w:val="00836E8C"/>
    <w:rsid w:val="008453D5"/>
    <w:rsid w:val="00845837"/>
    <w:rsid w:val="00847440"/>
    <w:rsid w:val="00857E84"/>
    <w:rsid w:val="00871AF7"/>
    <w:rsid w:val="00873293"/>
    <w:rsid w:val="00875E95"/>
    <w:rsid w:val="00882705"/>
    <w:rsid w:val="00890336"/>
    <w:rsid w:val="008914C8"/>
    <w:rsid w:val="00894406"/>
    <w:rsid w:val="008A120E"/>
    <w:rsid w:val="008B4886"/>
    <w:rsid w:val="008C04C9"/>
    <w:rsid w:val="008C4D32"/>
    <w:rsid w:val="008C6B72"/>
    <w:rsid w:val="008C7588"/>
    <w:rsid w:val="008D2B96"/>
    <w:rsid w:val="008D3726"/>
    <w:rsid w:val="008E245B"/>
    <w:rsid w:val="008F5F3A"/>
    <w:rsid w:val="00900BAF"/>
    <w:rsid w:val="00901E9E"/>
    <w:rsid w:val="009108F5"/>
    <w:rsid w:val="0091400E"/>
    <w:rsid w:val="009157EF"/>
    <w:rsid w:val="009224F5"/>
    <w:rsid w:val="00924412"/>
    <w:rsid w:val="0092574C"/>
    <w:rsid w:val="00941808"/>
    <w:rsid w:val="00942951"/>
    <w:rsid w:val="009457DF"/>
    <w:rsid w:val="0095035C"/>
    <w:rsid w:val="009553B1"/>
    <w:rsid w:val="0096018C"/>
    <w:rsid w:val="009646DF"/>
    <w:rsid w:val="00966C22"/>
    <w:rsid w:val="009678BF"/>
    <w:rsid w:val="009776A7"/>
    <w:rsid w:val="00980694"/>
    <w:rsid w:val="009830E1"/>
    <w:rsid w:val="009868C0"/>
    <w:rsid w:val="009911D8"/>
    <w:rsid w:val="00991961"/>
    <w:rsid w:val="009C06A4"/>
    <w:rsid w:val="009C63B1"/>
    <w:rsid w:val="009E0B46"/>
    <w:rsid w:val="009E3D68"/>
    <w:rsid w:val="009E476C"/>
    <w:rsid w:val="009F7840"/>
    <w:rsid w:val="00A03AA1"/>
    <w:rsid w:val="00A04996"/>
    <w:rsid w:val="00A05042"/>
    <w:rsid w:val="00A10F5B"/>
    <w:rsid w:val="00A16F6F"/>
    <w:rsid w:val="00A31B20"/>
    <w:rsid w:val="00A32B73"/>
    <w:rsid w:val="00A32ED1"/>
    <w:rsid w:val="00A33601"/>
    <w:rsid w:val="00A37775"/>
    <w:rsid w:val="00A40825"/>
    <w:rsid w:val="00A41A06"/>
    <w:rsid w:val="00A43F30"/>
    <w:rsid w:val="00A56101"/>
    <w:rsid w:val="00A57863"/>
    <w:rsid w:val="00A6487E"/>
    <w:rsid w:val="00A70EC0"/>
    <w:rsid w:val="00A71BFD"/>
    <w:rsid w:val="00A76F0C"/>
    <w:rsid w:val="00A81659"/>
    <w:rsid w:val="00A878CB"/>
    <w:rsid w:val="00A96ED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42C"/>
    <w:rsid w:val="00B47853"/>
    <w:rsid w:val="00B57667"/>
    <w:rsid w:val="00B577E9"/>
    <w:rsid w:val="00B61BCB"/>
    <w:rsid w:val="00B67838"/>
    <w:rsid w:val="00B70645"/>
    <w:rsid w:val="00B73AED"/>
    <w:rsid w:val="00B855F5"/>
    <w:rsid w:val="00B8596B"/>
    <w:rsid w:val="00B87C18"/>
    <w:rsid w:val="00B922C8"/>
    <w:rsid w:val="00B948F2"/>
    <w:rsid w:val="00B95F5D"/>
    <w:rsid w:val="00BA6EEA"/>
    <w:rsid w:val="00BB20B3"/>
    <w:rsid w:val="00BC6E04"/>
    <w:rsid w:val="00BE0789"/>
    <w:rsid w:val="00BE20BB"/>
    <w:rsid w:val="00BE277C"/>
    <w:rsid w:val="00BE54C4"/>
    <w:rsid w:val="00BE5D9C"/>
    <w:rsid w:val="00BF1133"/>
    <w:rsid w:val="00C001F3"/>
    <w:rsid w:val="00C104B8"/>
    <w:rsid w:val="00C1636B"/>
    <w:rsid w:val="00C207C2"/>
    <w:rsid w:val="00C2449C"/>
    <w:rsid w:val="00C32714"/>
    <w:rsid w:val="00C37AAB"/>
    <w:rsid w:val="00C40B1A"/>
    <w:rsid w:val="00C42788"/>
    <w:rsid w:val="00C47614"/>
    <w:rsid w:val="00C523A7"/>
    <w:rsid w:val="00C5254A"/>
    <w:rsid w:val="00C52F40"/>
    <w:rsid w:val="00C531CC"/>
    <w:rsid w:val="00C55E93"/>
    <w:rsid w:val="00C56171"/>
    <w:rsid w:val="00C70DF2"/>
    <w:rsid w:val="00C7174C"/>
    <w:rsid w:val="00C740F5"/>
    <w:rsid w:val="00C860DF"/>
    <w:rsid w:val="00C91519"/>
    <w:rsid w:val="00C9168C"/>
    <w:rsid w:val="00C91FD9"/>
    <w:rsid w:val="00C951AA"/>
    <w:rsid w:val="00CC092E"/>
    <w:rsid w:val="00CC4FD6"/>
    <w:rsid w:val="00CC6538"/>
    <w:rsid w:val="00CC78CC"/>
    <w:rsid w:val="00CD419D"/>
    <w:rsid w:val="00CD5CAD"/>
    <w:rsid w:val="00CD65D6"/>
    <w:rsid w:val="00CD66E0"/>
    <w:rsid w:val="00CE6D72"/>
    <w:rsid w:val="00CF6F6C"/>
    <w:rsid w:val="00D100A7"/>
    <w:rsid w:val="00D12BD7"/>
    <w:rsid w:val="00D13CFA"/>
    <w:rsid w:val="00D170E1"/>
    <w:rsid w:val="00D172BD"/>
    <w:rsid w:val="00D208A4"/>
    <w:rsid w:val="00D327C1"/>
    <w:rsid w:val="00D37CB6"/>
    <w:rsid w:val="00D40C13"/>
    <w:rsid w:val="00D41E36"/>
    <w:rsid w:val="00D5622E"/>
    <w:rsid w:val="00D67180"/>
    <w:rsid w:val="00D703A8"/>
    <w:rsid w:val="00D70732"/>
    <w:rsid w:val="00D7427C"/>
    <w:rsid w:val="00D76F2A"/>
    <w:rsid w:val="00D84DF8"/>
    <w:rsid w:val="00D93D53"/>
    <w:rsid w:val="00D96FB9"/>
    <w:rsid w:val="00DA4962"/>
    <w:rsid w:val="00DA5894"/>
    <w:rsid w:val="00DB1D3C"/>
    <w:rsid w:val="00DD2242"/>
    <w:rsid w:val="00DD27C7"/>
    <w:rsid w:val="00DE31A5"/>
    <w:rsid w:val="00DE7F6D"/>
    <w:rsid w:val="00E0172D"/>
    <w:rsid w:val="00E06C0B"/>
    <w:rsid w:val="00E07C47"/>
    <w:rsid w:val="00E14439"/>
    <w:rsid w:val="00E24E41"/>
    <w:rsid w:val="00E31B5E"/>
    <w:rsid w:val="00E32A31"/>
    <w:rsid w:val="00E37E19"/>
    <w:rsid w:val="00E53347"/>
    <w:rsid w:val="00E53783"/>
    <w:rsid w:val="00E61A61"/>
    <w:rsid w:val="00E63812"/>
    <w:rsid w:val="00E64488"/>
    <w:rsid w:val="00E668C5"/>
    <w:rsid w:val="00E803AB"/>
    <w:rsid w:val="00E84386"/>
    <w:rsid w:val="00E93DA5"/>
    <w:rsid w:val="00E96FCA"/>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1730"/>
    <w:rsid w:val="00F6394E"/>
    <w:rsid w:val="00F66E15"/>
    <w:rsid w:val="00F743F0"/>
    <w:rsid w:val="00F744EC"/>
    <w:rsid w:val="00F74675"/>
    <w:rsid w:val="00F76634"/>
    <w:rsid w:val="00F8047B"/>
    <w:rsid w:val="00F870FA"/>
    <w:rsid w:val="00F87C66"/>
    <w:rsid w:val="00F93AD8"/>
    <w:rsid w:val="00F9738B"/>
    <w:rsid w:val="00FA56AE"/>
    <w:rsid w:val="00FB28D9"/>
    <w:rsid w:val="00FB28F5"/>
    <w:rsid w:val="00FB4A0F"/>
    <w:rsid w:val="00FC12C0"/>
    <w:rsid w:val="00FC19DF"/>
    <w:rsid w:val="00FC1DA5"/>
    <w:rsid w:val="00FC2937"/>
    <w:rsid w:val="00FC55FE"/>
    <w:rsid w:val="00FD225E"/>
    <w:rsid w:val="00FE33A1"/>
    <w:rsid w:val="00FE6D51"/>
    <w:rsid w:val="00FE6ED9"/>
    <w:rsid w:val="00FF291F"/>
    <w:rsid w:val="00FF4F78"/>
    <w:rsid w:val="0B3348C0"/>
    <w:rsid w:val="15152076"/>
    <w:rsid w:val="15661C9B"/>
    <w:rsid w:val="2F064DB0"/>
    <w:rsid w:val="32242D99"/>
    <w:rsid w:val="467F0394"/>
    <w:rsid w:val="492E7813"/>
    <w:rsid w:val="4AD238A2"/>
    <w:rsid w:val="4CF7225E"/>
    <w:rsid w:val="4E4D1DF3"/>
    <w:rsid w:val="5656661A"/>
    <w:rsid w:val="5E151E13"/>
    <w:rsid w:val="685428D3"/>
    <w:rsid w:val="7D9832A7"/>
    <w:rsid w:val="7EDF0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67BAF"/>
  <w15:docId w15:val="{DC58E141-C52A-44C1-BC88-CF05F98C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unhideWhenUsed/>
    <w:qFormat/>
    <w:rPr>
      <w:kern w:val="2"/>
      <w:sz w:val="21"/>
      <w:szCs w:val="22"/>
    </w:rPr>
  </w:style>
  <w:style w:type="paragraph" w:styleId="af0">
    <w:name w:val="Revision"/>
    <w:hidden/>
    <w:uiPriority w:val="99"/>
    <w:semiHidden/>
    <w:rsid w:val="00C523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B0B5-08BE-4CAC-9DD1-77249D60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王俊伟</cp:lastModifiedBy>
  <cp:revision>2</cp:revision>
  <cp:lastPrinted>2022-01-28T05:48:00Z</cp:lastPrinted>
  <dcterms:created xsi:type="dcterms:W3CDTF">2023-09-04T06:30:00Z</dcterms:created>
  <dcterms:modified xsi:type="dcterms:W3CDTF">2023-09-04T06:30:00Z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A96A6819B1DB4054A1139279EA65F3B8_13</vt:lpwstr>
  </property>
</Properties>
</file>