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9"/>
        <w:jc w:val="center"/>
        <w:rPr>
          <w:b/>
          <w:sz w:val="36"/>
        </w:rPr>
      </w:pPr>
      <w:r>
        <w:rPr>
          <w:rFonts w:hint="eastAsia"/>
          <w:b/>
          <w:sz w:val="36"/>
        </w:rPr>
        <w:t>抚顺特殊钢</w:t>
      </w:r>
      <w:r>
        <w:rPr>
          <w:b/>
          <w:sz w:val="36"/>
        </w:rPr>
        <w:t>股份有限公司投资者关系活动记录表</w:t>
      </w:r>
    </w:p>
    <w:p>
      <w:pPr>
        <w:pStyle w:val="2"/>
        <w:spacing w:before="29"/>
        <w:jc w:val="center"/>
        <w:rPr>
          <w:b/>
          <w:sz w:val="36"/>
        </w:rPr>
      </w:pPr>
    </w:p>
    <w:p>
      <w:pPr>
        <w:spacing w:before="71" w:after="40"/>
        <w:ind w:right="573"/>
        <w:jc w:val="right"/>
        <w:rPr>
          <w:rFonts w:hint="default" w:eastAsia="宋体"/>
          <w:sz w:val="24"/>
          <w:lang w:val="en-US" w:eastAsia="zh-CN"/>
        </w:rPr>
      </w:pPr>
      <w:r>
        <w:rPr>
          <w:sz w:val="24"/>
        </w:rPr>
        <w:t>记录表编号：</w:t>
      </w:r>
      <w:r>
        <w:rPr>
          <w:rFonts w:hint="eastAsia"/>
          <w:sz w:val="24"/>
          <w:lang w:val="en-US"/>
        </w:rPr>
        <w:t>2023-</w:t>
      </w:r>
      <w:r>
        <w:rPr>
          <w:rFonts w:hint="eastAsia"/>
          <w:sz w:val="24"/>
          <w:lang w:val="en-US" w:eastAsia="zh-CN"/>
        </w:rPr>
        <w:t>003</w:t>
      </w:r>
    </w:p>
    <w:tbl>
      <w:tblPr>
        <w:tblStyle w:val="5"/>
        <w:tblW w:w="10196" w:type="dxa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0"/>
        <w:gridCol w:w="2629"/>
        <w:gridCol w:w="59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570" w:type="dxa"/>
            <w:vMerge w:val="restart"/>
          </w:tcPr>
          <w:p>
            <w:pPr>
              <w:pStyle w:val="9"/>
              <w:ind w:left="0"/>
              <w:rPr>
                <w:sz w:val="24"/>
              </w:rPr>
            </w:pPr>
          </w:p>
          <w:p>
            <w:pPr>
              <w:pStyle w:val="9"/>
              <w:spacing w:before="6"/>
              <w:ind w:left="0"/>
              <w:rPr>
                <w:sz w:val="24"/>
              </w:rPr>
            </w:pPr>
          </w:p>
          <w:p>
            <w:pPr>
              <w:pStyle w:val="9"/>
              <w:spacing w:line="244" w:lineRule="auto"/>
              <w:ind w:left="244" w:right="228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投资者关系活动类别</w:t>
            </w:r>
            <w:r>
              <w:rPr>
                <w:b/>
                <w:w w:val="99"/>
                <w:sz w:val="24"/>
              </w:rPr>
              <w:t xml:space="preserve"> </w:t>
            </w:r>
          </w:p>
        </w:tc>
        <w:tc>
          <w:tcPr>
            <w:tcW w:w="2629" w:type="dxa"/>
            <w:tcBorders>
              <w:bottom w:val="nil"/>
              <w:right w:val="nil"/>
            </w:tcBorders>
          </w:tcPr>
          <w:p>
            <w:pPr>
              <w:pStyle w:val="9"/>
              <w:numPr>
                <w:ilvl w:val="0"/>
                <w:numId w:val="1"/>
              </w:numPr>
              <w:tabs>
                <w:tab w:val="left" w:pos="349"/>
              </w:tabs>
              <w:spacing w:before="95"/>
              <w:ind w:hanging="242"/>
              <w:rPr>
                <w:sz w:val="24"/>
              </w:rPr>
            </w:pPr>
            <w:r>
              <w:rPr>
                <w:sz w:val="24"/>
              </w:rPr>
              <w:t xml:space="preserve">特定对象调研 </w:t>
            </w:r>
          </w:p>
        </w:tc>
        <w:tc>
          <w:tcPr>
            <w:tcW w:w="5997" w:type="dxa"/>
            <w:tcBorders>
              <w:left w:val="nil"/>
              <w:bottom w:val="nil"/>
            </w:tcBorders>
          </w:tcPr>
          <w:p>
            <w:pPr>
              <w:pStyle w:val="9"/>
              <w:spacing w:before="95"/>
              <w:ind w:left="724"/>
              <w:rPr>
                <w:sz w:val="24"/>
              </w:rPr>
            </w:pPr>
            <w:r>
              <w:rPr>
                <w:sz w:val="24"/>
              </w:rPr>
              <w:t xml:space="preserve">□分析师会议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57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tcBorders>
              <w:top w:val="nil"/>
              <w:bottom w:val="nil"/>
              <w:right w:val="nil"/>
            </w:tcBorders>
          </w:tcPr>
          <w:p>
            <w:pPr>
              <w:pStyle w:val="9"/>
              <w:spacing w:before="8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□媒体采访 </w:t>
            </w:r>
          </w:p>
        </w:tc>
        <w:tc>
          <w:tcPr>
            <w:tcW w:w="5997" w:type="dxa"/>
            <w:tcBorders>
              <w:top w:val="nil"/>
              <w:left w:val="nil"/>
              <w:bottom w:val="nil"/>
            </w:tcBorders>
          </w:tcPr>
          <w:p>
            <w:pPr>
              <w:pStyle w:val="9"/>
              <w:spacing w:before="82"/>
              <w:ind w:left="724"/>
              <w:rPr>
                <w:sz w:val="24"/>
              </w:rPr>
            </w:pPr>
            <w:r>
              <w:rPr>
                <w:sz w:val="24"/>
              </w:rPr>
              <w:t xml:space="preserve">□业绩说明会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57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tcBorders>
              <w:top w:val="nil"/>
              <w:bottom w:val="nil"/>
              <w:right w:val="nil"/>
            </w:tcBorders>
          </w:tcPr>
          <w:p>
            <w:pPr>
              <w:pStyle w:val="9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□新闻发布会 </w:t>
            </w:r>
          </w:p>
        </w:tc>
        <w:tc>
          <w:tcPr>
            <w:tcW w:w="5997" w:type="dxa"/>
            <w:tcBorders>
              <w:top w:val="nil"/>
              <w:left w:val="nil"/>
              <w:bottom w:val="nil"/>
            </w:tcBorders>
          </w:tcPr>
          <w:p>
            <w:pPr>
              <w:pStyle w:val="9"/>
              <w:spacing w:before="97"/>
              <w:ind w:left="724"/>
              <w:rPr>
                <w:sz w:val="24"/>
              </w:rPr>
            </w:pPr>
            <w:r>
              <w:rPr>
                <w:sz w:val="24"/>
              </w:rPr>
              <w:t xml:space="preserve">□路演活动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57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26" w:type="dxa"/>
            <w:gridSpan w:val="2"/>
            <w:tcBorders>
              <w:top w:val="nil"/>
            </w:tcBorders>
          </w:tcPr>
          <w:p>
            <w:pPr>
              <w:pStyle w:val="9"/>
              <w:spacing w:before="117"/>
              <w:ind w:left="107"/>
              <w:rPr>
                <w:sz w:val="24"/>
              </w:rPr>
            </w:pPr>
            <w:r>
              <w:rPr>
                <w:sz w:val="24"/>
              </w:rPr>
              <w:t>□ 现 场 参 观</w:t>
            </w:r>
            <w:r>
              <w:rPr>
                <w:rFonts w:hint="eastAsia"/>
                <w:sz w:val="24"/>
                <w:lang w:val="en-US"/>
              </w:rPr>
              <w:t xml:space="preserve">            </w:t>
            </w:r>
            <w:r>
              <w:rPr>
                <w:sz w:val="24"/>
              </w:rPr>
              <w:t xml:space="preserve"> □ 其 他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570" w:type="dxa"/>
          </w:tcPr>
          <w:p>
            <w:pPr>
              <w:pStyle w:val="9"/>
              <w:spacing w:before="12"/>
              <w:ind w:left="0"/>
              <w:rPr>
                <w:sz w:val="17"/>
              </w:rPr>
            </w:pPr>
          </w:p>
          <w:p>
            <w:pPr>
              <w:pStyle w:val="9"/>
              <w:spacing w:line="242" w:lineRule="auto"/>
              <w:ind w:left="182" w:right="50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参与单位名称及人员姓名</w:t>
            </w:r>
            <w:r>
              <w:rPr>
                <w:b/>
                <w:w w:val="99"/>
                <w:sz w:val="24"/>
              </w:rPr>
              <w:t xml:space="preserve"> </w:t>
            </w:r>
          </w:p>
        </w:tc>
        <w:tc>
          <w:tcPr>
            <w:tcW w:w="8626" w:type="dxa"/>
            <w:gridSpan w:val="2"/>
          </w:tcPr>
          <w:p>
            <w:pPr>
              <w:pStyle w:val="9"/>
              <w:tabs>
                <w:tab w:val="left" w:pos="8360"/>
              </w:tabs>
              <w:spacing w:before="64" w:line="295" w:lineRule="auto"/>
              <w:ind w:right="80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/>
              </w:rPr>
              <w:t>东方证券</w:t>
            </w:r>
            <w:r>
              <w:rPr>
                <w:rFonts w:hint="eastAsia"/>
                <w:sz w:val="24"/>
                <w:lang w:val="en-US" w:eastAsia="zh-CN"/>
              </w:rPr>
              <w:t>、兴业</w:t>
            </w:r>
            <w:r>
              <w:rPr>
                <w:rFonts w:hint="eastAsia"/>
                <w:sz w:val="24"/>
                <w:lang w:val="en-US"/>
              </w:rPr>
              <w:t>证券</w:t>
            </w:r>
            <w:r>
              <w:rPr>
                <w:rFonts w:hint="eastAsia"/>
                <w:sz w:val="24"/>
                <w:lang w:val="en-US" w:eastAsia="zh-CN"/>
              </w:rPr>
              <w:t>、财通证券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570" w:type="dxa"/>
          </w:tcPr>
          <w:p>
            <w:pPr>
              <w:pStyle w:val="9"/>
              <w:spacing w:before="184"/>
              <w:ind w:left="0" w:right="5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时间</w:t>
            </w:r>
          </w:p>
        </w:tc>
        <w:tc>
          <w:tcPr>
            <w:tcW w:w="8626" w:type="dxa"/>
            <w:gridSpan w:val="2"/>
          </w:tcPr>
          <w:p>
            <w:pPr>
              <w:pStyle w:val="9"/>
              <w:spacing w:before="167"/>
              <w:ind w:left="124"/>
              <w:rPr>
                <w:rFonts w:hint="default"/>
                <w:sz w:val="24"/>
                <w:lang w:val="en-US" w:eastAsia="zh-CN"/>
              </w:rPr>
            </w:pPr>
            <w:r>
              <w:rPr>
                <w:sz w:val="24"/>
              </w:rPr>
              <w:t>202</w:t>
            </w:r>
            <w:r>
              <w:rPr>
                <w:rFonts w:hint="eastAsia"/>
                <w:sz w:val="24"/>
                <w:lang w:val="en-US"/>
              </w:rPr>
              <w:t>3</w:t>
            </w:r>
            <w:r>
              <w:rPr>
                <w:sz w:val="24"/>
              </w:rPr>
              <w:t xml:space="preserve"> 年</w:t>
            </w:r>
            <w:r>
              <w:rPr>
                <w:rFonts w:hint="eastAsia"/>
                <w:sz w:val="24"/>
                <w:lang w:val="en-US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sz w:val="24"/>
              </w:rPr>
              <w:t xml:space="preserve"> 月</w:t>
            </w:r>
            <w:r>
              <w:rPr>
                <w:rFonts w:hint="eastAsia"/>
                <w:sz w:val="24"/>
                <w:lang w:val="en-US" w:eastAsia="zh-CN"/>
              </w:rPr>
              <w:t>30</w:t>
            </w:r>
            <w:r>
              <w:rPr>
                <w:sz w:val="24"/>
              </w:rPr>
              <w:t>日</w:t>
            </w:r>
            <w:r>
              <w:rPr>
                <w:rFonts w:hint="eastAsia"/>
                <w:sz w:val="24"/>
                <w:lang w:val="en-US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lang w:val="en-US"/>
              </w:rPr>
              <w:t>：</w:t>
            </w:r>
            <w:r>
              <w:rPr>
                <w:rFonts w:hint="eastAsia"/>
                <w:sz w:val="24"/>
                <w:lang w:val="en-US" w:eastAsia="zh-CN"/>
              </w:rPr>
              <w:t>00</w:t>
            </w:r>
            <w:r>
              <w:rPr>
                <w:rFonts w:hint="eastAsia"/>
                <w:sz w:val="24"/>
                <w:lang w:val="en-US"/>
              </w:rPr>
              <w:t>-</w:t>
            </w:r>
            <w:r>
              <w:rPr>
                <w:rFonts w:hint="eastAsia"/>
                <w:sz w:val="24"/>
                <w:lang w:val="en-US" w:eastAsia="zh-CN"/>
              </w:rPr>
              <w:t>16：00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570" w:type="dxa"/>
          </w:tcPr>
          <w:p>
            <w:pPr>
              <w:pStyle w:val="9"/>
              <w:spacing w:before="182"/>
              <w:ind w:left="0" w:right="5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地点</w:t>
            </w:r>
          </w:p>
        </w:tc>
        <w:tc>
          <w:tcPr>
            <w:tcW w:w="8626" w:type="dxa"/>
            <w:gridSpan w:val="2"/>
          </w:tcPr>
          <w:p>
            <w:pPr>
              <w:pStyle w:val="9"/>
              <w:spacing w:before="166"/>
              <w:rPr>
                <w:sz w:val="24"/>
              </w:rPr>
            </w:pPr>
            <w:r>
              <w:rPr>
                <w:sz w:val="24"/>
              </w:rPr>
              <w:t xml:space="preserve">公司会议室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570" w:type="dxa"/>
          </w:tcPr>
          <w:p>
            <w:pPr>
              <w:pStyle w:val="9"/>
              <w:spacing w:before="156" w:line="242" w:lineRule="auto"/>
              <w:ind w:left="302" w:right="51"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上市公司接待人员姓名</w:t>
            </w:r>
          </w:p>
        </w:tc>
        <w:tc>
          <w:tcPr>
            <w:tcW w:w="8626" w:type="dxa"/>
            <w:gridSpan w:val="2"/>
          </w:tcPr>
          <w:p>
            <w:pPr>
              <w:pStyle w:val="9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</w:rPr>
              <w:t xml:space="preserve">董事会秘书 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</w:rPr>
              <w:t>财务总监</w:t>
            </w:r>
          </w:p>
          <w:p>
            <w:pPr>
              <w:pStyle w:val="9"/>
              <w:rPr>
                <w:sz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5" w:hRule="atLeast"/>
        </w:trPr>
        <w:tc>
          <w:tcPr>
            <w:tcW w:w="1570" w:type="dxa"/>
            <w:tcBorders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b/>
                <w:bCs/>
                <w:sz w:val="24"/>
              </w:rPr>
            </w:pPr>
            <w:r>
              <w:rPr>
                <w:rFonts w:hint="eastAsia" w:ascii="Times New Roman"/>
                <w:b/>
                <w:bCs/>
                <w:sz w:val="24"/>
              </w:rPr>
              <w:t>投资者关系活动主要内容介绍</w:t>
            </w:r>
          </w:p>
        </w:tc>
        <w:tc>
          <w:tcPr>
            <w:tcW w:w="8626" w:type="dxa"/>
            <w:gridSpan w:val="2"/>
            <w:tcBorders>
              <w:bottom w:val="nil"/>
            </w:tcBorders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投资者提问：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请介绍一下30吨感应炉投产情况。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董事会秘书：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公司均质化项目中30吨感应炉从运行情况来看整体比较顺利，各品种试验情况、各参数指标基本满足设计要求，实际产能与设计产能基本一致。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投资者提问：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公司产能扩张后，产品是否能够完全实现销售。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董事会秘书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：公司因高档产品产能不足所以逐步开始技术改造，从目前30吨感应炉投产后的情况来看，仍然不能满足市场需求。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投资者提问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：上年在产能还没有投产的时候，公司变形合金的产量有所上升是什么原因？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董事会秘书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：主要有两个自身方面的原因，一是在不能满足市场交付的情况下，公司不断进行生产效率等方面挖潜工作，从设备本体和工装准备等方面进行效率提升；第二在工艺优化及原材料方面进行提升。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  <w:t>投资者提问：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高温合金与超高强度钢的生产周期是否一致？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董事会秘书：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高温合金与超高强度钢的生产周期由交付状态和技术标准决定。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投资者提问：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二季度业绩较一季度环比增长，是因为成本下降的原因吗？与上年同期相比下降的主要原因是什么？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财务总监：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二季度业绩较一季度环比小幅增长，成本下降是一方面原因，同时品种结构调整所造成的销量及收入增加也是主要原因之一。与上年同期相比，虽然镍价有所下降，但因公司产品生产周期较长，上年同期结算产品所对应的成本投入基本为上年一季度或之前一期，相对成本较低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投资者提问：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随着镍价的下调，公司是否会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相应调整产品销售价格？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财务总监：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公司民用产品销售价格会按市场价格的</w:t>
            </w:r>
            <w:r>
              <w:rPr>
                <w:rFonts w:hint="eastAsia"/>
                <w:b w:val="0"/>
                <w:bCs w:val="0"/>
                <w:strike w:val="0"/>
                <w:dstrike w:val="0"/>
                <w:sz w:val="24"/>
                <w:szCs w:val="24"/>
                <w:highlight w:val="none"/>
                <w:lang w:val="en-US" w:eastAsia="zh-CN"/>
              </w:rPr>
              <w:t>变化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而适时进行调整。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投资者提问：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公司新产能投入以后，公司会加大哪些品种的生产力度？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董事会秘书：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一是从企业和股东利益出发以效益优先；二是做为特殊用途产品配套企业要兼顾客户急需。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投资者提问：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公司镍、钼等金属原材料的备库周期是多长时间？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董事会秘书：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金属原材料的备库周期要根据其价格走势来确定，如金属原料价格波动较大且处于高位备库周期相应缩短，反之备库周期相应增加，正常情况备库一个月至一个半月左右。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投资者提问：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公司所得税留抵情况如何？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财务总监：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公司目前所得税还有一定的留抵，暂时不用上缴</w:t>
            </w:r>
            <w:r>
              <w:rPr>
                <w:rFonts w:hint="eastAsia"/>
                <w:b w:val="0"/>
                <w:bCs w:val="0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企业所得税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投资者提问：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公司民品盈利情况如何？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财务总监：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公司民品接</w:t>
            </w:r>
            <w:r>
              <w:rPr>
                <w:rFonts w:hint="eastAsia"/>
                <w:b w:val="0"/>
                <w:bCs w:val="0"/>
                <w:strike w:val="0"/>
                <w:dstrike w:val="0"/>
                <w:sz w:val="24"/>
                <w:szCs w:val="24"/>
                <w:highlight w:val="none"/>
                <w:u w:val="none"/>
                <w:lang w:val="en-US" w:eastAsia="zh-CN"/>
              </w:rPr>
              <w:t>必须有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边际利润，没有边际利润公司基本上不会接单。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投资者提问：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通过公司经营数据看高温合金价格下降的原因是什么？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财务总监：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本期高温合金价格下降的主要原因是高温合金产品的结构，民用高温合金生产成本相对较低，有些品种价格也比较低，民用高温合金销售增加影响了高温合金的平均单价。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投资者提问：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公司更换董事长后，在公司治理方面是否有变化？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董事会秘书：</w:t>
            </w:r>
            <w:r>
              <w:rPr>
                <w:rFonts w:hint="eastAsia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公司重整后，沙钢集团就对企业的发展明确了“特钢更特”的定位，做特钢中的精品产品，所以企业的发展定位不会因董事长的变化而变化。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570" w:type="dxa"/>
          </w:tcPr>
          <w:p>
            <w:pPr>
              <w:pStyle w:val="9"/>
              <w:spacing w:before="2"/>
              <w:ind w:left="30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附件清单（如有）</w:t>
            </w:r>
          </w:p>
        </w:tc>
        <w:tc>
          <w:tcPr>
            <w:tcW w:w="8626" w:type="dxa"/>
            <w:gridSpan w:val="2"/>
          </w:tcPr>
          <w:p>
            <w:pPr>
              <w:pStyle w:val="9"/>
              <w:spacing w:before="105"/>
              <w:ind w:left="124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570" w:type="dxa"/>
          </w:tcPr>
          <w:p>
            <w:pPr>
              <w:pStyle w:val="9"/>
              <w:spacing w:before="182"/>
              <w:ind w:left="61" w:right="51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日期</w:t>
            </w:r>
          </w:p>
        </w:tc>
        <w:tc>
          <w:tcPr>
            <w:tcW w:w="8626" w:type="dxa"/>
            <w:gridSpan w:val="2"/>
          </w:tcPr>
          <w:p>
            <w:pPr>
              <w:pStyle w:val="9"/>
              <w:spacing w:before="105"/>
              <w:ind w:left="124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9</w:t>
            </w:r>
            <w:r>
              <w:rPr>
                <w:rFonts w:hint="eastAsia"/>
                <w:sz w:val="24"/>
                <w:lang w:val="en-US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lang w:val="en-US"/>
              </w:rPr>
              <w:t>日</w:t>
            </w:r>
          </w:p>
        </w:tc>
      </w:tr>
    </w:tbl>
    <w:p>
      <w:bookmarkStart w:id="0" w:name="_GoBack"/>
      <w:bookmarkEnd w:id="0"/>
    </w:p>
    <w:sectPr>
      <w:headerReference r:id="rId3" w:type="default"/>
      <w:pgSz w:w="11910" w:h="16850"/>
      <w:pgMar w:top="1320" w:right="740" w:bottom="280" w:left="9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■"/>
      <w:lvlJc w:val="left"/>
      <w:pPr>
        <w:ind w:left="348" w:hanging="241"/>
      </w:pPr>
      <w:rPr>
        <w:rFonts w:hint="default" w:ascii="宋体" w:hAnsi="宋体" w:eastAsia="宋体" w:cs="宋体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568" w:hanging="24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796" w:hanging="2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025" w:hanging="2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253" w:hanging="2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482" w:hanging="2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1710" w:hanging="2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938" w:hanging="2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2167" w:hanging="241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4ZTJlNGY3YzNkOGI0ZjZlNTAwMjEzZmIyZjU3ZWEifQ=="/>
  </w:docVars>
  <w:rsids>
    <w:rsidRoot w:val="00A47C9E"/>
    <w:rsid w:val="00046663"/>
    <w:rsid w:val="00047B0E"/>
    <w:rsid w:val="000519AE"/>
    <w:rsid w:val="000735B6"/>
    <w:rsid w:val="000752D4"/>
    <w:rsid w:val="000859F0"/>
    <w:rsid w:val="00094A0E"/>
    <w:rsid w:val="000A30B4"/>
    <w:rsid w:val="000A5F6F"/>
    <w:rsid w:val="000D1167"/>
    <w:rsid w:val="000D28AC"/>
    <w:rsid w:val="00165782"/>
    <w:rsid w:val="001E13F7"/>
    <w:rsid w:val="001F79EA"/>
    <w:rsid w:val="00201A55"/>
    <w:rsid w:val="002530DE"/>
    <w:rsid w:val="00263435"/>
    <w:rsid w:val="00281994"/>
    <w:rsid w:val="002C46DE"/>
    <w:rsid w:val="00381EA9"/>
    <w:rsid w:val="0038373F"/>
    <w:rsid w:val="003E2415"/>
    <w:rsid w:val="00433F47"/>
    <w:rsid w:val="00436D25"/>
    <w:rsid w:val="004A4948"/>
    <w:rsid w:val="0050022B"/>
    <w:rsid w:val="00523B73"/>
    <w:rsid w:val="005437B3"/>
    <w:rsid w:val="00566184"/>
    <w:rsid w:val="005941D4"/>
    <w:rsid w:val="00602172"/>
    <w:rsid w:val="0062475A"/>
    <w:rsid w:val="00636018"/>
    <w:rsid w:val="00674C51"/>
    <w:rsid w:val="00696E9C"/>
    <w:rsid w:val="00755BF5"/>
    <w:rsid w:val="007A1EAD"/>
    <w:rsid w:val="007B7C1F"/>
    <w:rsid w:val="00815BFE"/>
    <w:rsid w:val="00825B5B"/>
    <w:rsid w:val="00892CAD"/>
    <w:rsid w:val="008C1946"/>
    <w:rsid w:val="0091757F"/>
    <w:rsid w:val="009B7A0D"/>
    <w:rsid w:val="009C06D2"/>
    <w:rsid w:val="009D5BBA"/>
    <w:rsid w:val="009D7286"/>
    <w:rsid w:val="00A47C9E"/>
    <w:rsid w:val="00A81BA5"/>
    <w:rsid w:val="00A955E8"/>
    <w:rsid w:val="00AD6C8A"/>
    <w:rsid w:val="00B81958"/>
    <w:rsid w:val="00B95BDC"/>
    <w:rsid w:val="00BA78C0"/>
    <w:rsid w:val="00BB3AFB"/>
    <w:rsid w:val="00BB63F5"/>
    <w:rsid w:val="00C17937"/>
    <w:rsid w:val="00C52117"/>
    <w:rsid w:val="00CD2D4A"/>
    <w:rsid w:val="00D4241A"/>
    <w:rsid w:val="00D7336A"/>
    <w:rsid w:val="00D96F4F"/>
    <w:rsid w:val="00DC2A67"/>
    <w:rsid w:val="00DE3C7B"/>
    <w:rsid w:val="00DF19B7"/>
    <w:rsid w:val="00E37A79"/>
    <w:rsid w:val="00E97436"/>
    <w:rsid w:val="00EA726A"/>
    <w:rsid w:val="00F01C46"/>
    <w:rsid w:val="00F13B81"/>
    <w:rsid w:val="00F21FAB"/>
    <w:rsid w:val="00F73645"/>
    <w:rsid w:val="00F73A56"/>
    <w:rsid w:val="00F73A8C"/>
    <w:rsid w:val="00F93CD4"/>
    <w:rsid w:val="00FA7388"/>
    <w:rsid w:val="00FB5831"/>
    <w:rsid w:val="00FB7605"/>
    <w:rsid w:val="039B163E"/>
    <w:rsid w:val="07B166EC"/>
    <w:rsid w:val="098932BE"/>
    <w:rsid w:val="0AA06303"/>
    <w:rsid w:val="0B2A4B3E"/>
    <w:rsid w:val="0C664F6A"/>
    <w:rsid w:val="0D616707"/>
    <w:rsid w:val="0D6819EB"/>
    <w:rsid w:val="0FBD7D30"/>
    <w:rsid w:val="10CA5325"/>
    <w:rsid w:val="11715B79"/>
    <w:rsid w:val="12292144"/>
    <w:rsid w:val="149A7983"/>
    <w:rsid w:val="14A70AF0"/>
    <w:rsid w:val="15547695"/>
    <w:rsid w:val="15EC3A79"/>
    <w:rsid w:val="17594566"/>
    <w:rsid w:val="17E612C2"/>
    <w:rsid w:val="1933384D"/>
    <w:rsid w:val="19AD1F39"/>
    <w:rsid w:val="1A21651E"/>
    <w:rsid w:val="1AF3609D"/>
    <w:rsid w:val="1B494B0A"/>
    <w:rsid w:val="1E82002A"/>
    <w:rsid w:val="200B17D8"/>
    <w:rsid w:val="20E92028"/>
    <w:rsid w:val="21362A66"/>
    <w:rsid w:val="231A104D"/>
    <w:rsid w:val="23C40A65"/>
    <w:rsid w:val="25EA4F22"/>
    <w:rsid w:val="26110C5B"/>
    <w:rsid w:val="262267AF"/>
    <w:rsid w:val="265F3234"/>
    <w:rsid w:val="26E40B5E"/>
    <w:rsid w:val="28BC0AD1"/>
    <w:rsid w:val="28FD05D1"/>
    <w:rsid w:val="2A014BB8"/>
    <w:rsid w:val="2AE54DDD"/>
    <w:rsid w:val="2CF52D3F"/>
    <w:rsid w:val="2D007CF2"/>
    <w:rsid w:val="2D4B1B15"/>
    <w:rsid w:val="2D6E2A55"/>
    <w:rsid w:val="2D835B98"/>
    <w:rsid w:val="2DB63969"/>
    <w:rsid w:val="2DBA3A04"/>
    <w:rsid w:val="2E03420E"/>
    <w:rsid w:val="2F8870BE"/>
    <w:rsid w:val="2FBB0E47"/>
    <w:rsid w:val="2FF81ACE"/>
    <w:rsid w:val="317A2780"/>
    <w:rsid w:val="325B4E57"/>
    <w:rsid w:val="327C0793"/>
    <w:rsid w:val="331456E3"/>
    <w:rsid w:val="33793C3A"/>
    <w:rsid w:val="33B02265"/>
    <w:rsid w:val="35B82495"/>
    <w:rsid w:val="3832231A"/>
    <w:rsid w:val="3A6E723D"/>
    <w:rsid w:val="3DE0449E"/>
    <w:rsid w:val="40890521"/>
    <w:rsid w:val="40A4024A"/>
    <w:rsid w:val="40BA6631"/>
    <w:rsid w:val="41140530"/>
    <w:rsid w:val="430F44F9"/>
    <w:rsid w:val="48A5156B"/>
    <w:rsid w:val="48C46D56"/>
    <w:rsid w:val="4958024B"/>
    <w:rsid w:val="49B74731"/>
    <w:rsid w:val="49FD5D24"/>
    <w:rsid w:val="4B7125E6"/>
    <w:rsid w:val="4BE709DF"/>
    <w:rsid w:val="4EE70FB0"/>
    <w:rsid w:val="5000624C"/>
    <w:rsid w:val="534011CC"/>
    <w:rsid w:val="534E5647"/>
    <w:rsid w:val="54070829"/>
    <w:rsid w:val="55C74A35"/>
    <w:rsid w:val="55E767A5"/>
    <w:rsid w:val="56704C08"/>
    <w:rsid w:val="57A84C2D"/>
    <w:rsid w:val="58085D42"/>
    <w:rsid w:val="5A575D74"/>
    <w:rsid w:val="5BF3512E"/>
    <w:rsid w:val="5E962EEE"/>
    <w:rsid w:val="60924102"/>
    <w:rsid w:val="61721C81"/>
    <w:rsid w:val="62116DA4"/>
    <w:rsid w:val="62835BAE"/>
    <w:rsid w:val="65A25CEE"/>
    <w:rsid w:val="683E0C50"/>
    <w:rsid w:val="698C2ACC"/>
    <w:rsid w:val="6B266410"/>
    <w:rsid w:val="7004415E"/>
    <w:rsid w:val="72A32DFA"/>
    <w:rsid w:val="74BA334D"/>
    <w:rsid w:val="74F84F2F"/>
    <w:rsid w:val="76C757CF"/>
    <w:rsid w:val="77550220"/>
    <w:rsid w:val="77553ED6"/>
    <w:rsid w:val="79287455"/>
    <w:rsid w:val="795C21A7"/>
    <w:rsid w:val="7C154031"/>
    <w:rsid w:val="7E0E73D8"/>
    <w:rsid w:val="7E146706"/>
    <w:rsid w:val="7E8F62C3"/>
    <w:rsid w:val="7FED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8"/>
      <w:ind w:left="119"/>
    </w:pPr>
    <w:rPr>
      <w:sz w:val="30"/>
      <w:szCs w:val="30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pPr>
      <w:ind w:left="4"/>
    </w:pPr>
  </w:style>
  <w:style w:type="character" w:customStyle="1" w:styleId="10">
    <w:name w:val="页眉 字符"/>
    <w:basedOn w:val="6"/>
    <w:link w:val="4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1">
    <w:name w:val="页脚 字符"/>
    <w:basedOn w:val="6"/>
    <w:link w:val="3"/>
    <w:qFormat/>
    <w:uiPriority w:val="0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1269</Words>
  <Characters>1293</Characters>
  <Lines>14</Lines>
  <Paragraphs>3</Paragraphs>
  <TotalTime>28</TotalTime>
  <ScaleCrop>false</ScaleCrop>
  <LinksUpToDate>false</LinksUpToDate>
  <CharactersWithSpaces>1326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2022-07-22T12:38:00Z</dcterms:created>
  <dc:creator>xfzj</dc:creator>
  <cp:lastModifiedBy>上善若水</cp:lastModifiedBy>
  <dcterms:modified xsi:type="dcterms:W3CDTF">2023-09-04T01:25:41Z</dcterms:modified>
  <dc:title>辰欣药业股份有限公司投资者关系活动记录表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2020-06-08T00:00:00Z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1D05855B616F4E428CD8701118FB52BB</vt:lpwstr>
  </property>
</Properties>
</file>