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80" w:rsidRPr="00761B72" w:rsidRDefault="001B4B80" w:rsidP="001B4B80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证券代码： </w:t>
      </w:r>
      <w:r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>688</w:t>
      </w:r>
      <w:r w:rsidR="00845D6C"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>107</w:t>
      </w: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</w:t>
      </w:r>
      <w:r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 xml:space="preserve">   </w:t>
      </w: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</w:t>
      </w:r>
      <w:r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 xml:space="preserve">          </w:t>
      </w: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证券简称：</w:t>
      </w:r>
      <w:r w:rsidR="00845D6C"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安路科技</w:t>
      </w:r>
    </w:p>
    <w:p w:rsidR="001B4B80" w:rsidRPr="00761B72" w:rsidRDefault="001B4B80" w:rsidP="001B4B80">
      <w:pPr>
        <w:spacing w:beforeLines="50" w:before="156" w:afterLines="50" w:after="156" w:line="400" w:lineRule="exact"/>
        <w:ind w:firstLineChars="300" w:firstLine="720"/>
        <w:rPr>
          <w:rFonts w:asciiTheme="minorEastAsia" w:eastAsiaTheme="minorEastAsia" w:hAnsiTheme="minorEastAsia"/>
          <w:bCs/>
          <w:iCs/>
          <w:color w:val="000000"/>
          <w:sz w:val="24"/>
        </w:rPr>
      </w:pPr>
    </w:p>
    <w:p w:rsidR="001B4B80" w:rsidRPr="00761B72" w:rsidRDefault="00845D6C" w:rsidP="001B4B80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761B72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上海安路信息科技股份有限公司</w:t>
      </w:r>
    </w:p>
    <w:p w:rsidR="001B4B80" w:rsidRPr="00761B72" w:rsidRDefault="001B4B80" w:rsidP="001B4B80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761B72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1B4B80" w:rsidRPr="00761B72" w:rsidRDefault="001B4B80" w:rsidP="001B4B80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编号：</w:t>
      </w:r>
      <w:r w:rsidR="000E0D06"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</w:t>
      </w:r>
      <w:r w:rsidR="000E0D06"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>023</w:t>
      </w:r>
      <w:r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-</w:t>
      </w:r>
      <w:r w:rsidR="000E0D06" w:rsidRPr="00761B7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0</w:t>
      </w:r>
      <w:r w:rsidR="000E0D06" w:rsidRPr="00761B72">
        <w:rPr>
          <w:rFonts w:asciiTheme="minorEastAsia" w:eastAsiaTheme="minorEastAsia" w:hAnsiTheme="minorEastAsia"/>
          <w:bCs/>
          <w:iCs/>
          <w:color w:val="000000"/>
          <w:sz w:val="24"/>
        </w:rPr>
        <w:t>0</w:t>
      </w:r>
      <w:r w:rsidR="00822680">
        <w:rPr>
          <w:rFonts w:asciiTheme="minorEastAsia" w:eastAsiaTheme="minorEastAsia" w:hAnsiTheme="minorEastAsia"/>
          <w:bCs/>
          <w:iCs/>
          <w:color w:val="000000"/>
          <w:sz w:val="24"/>
        </w:rPr>
        <w:t>2</w:t>
      </w:r>
    </w:p>
    <w:tbl>
      <w:tblPr>
        <w:tblW w:w="89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0"/>
      </w:tblGrid>
      <w:tr w:rsidR="001B4B80" w:rsidRPr="00761B72" w:rsidTr="003522D5">
        <w:tc>
          <w:tcPr>
            <w:tcW w:w="1985" w:type="dxa"/>
          </w:tcPr>
          <w:p w:rsidR="001B4B80" w:rsidRPr="00761B72" w:rsidRDefault="001B4B80" w:rsidP="00845D6C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</w:p>
          <w:p w:rsidR="001B4B80" w:rsidRPr="00761B72" w:rsidRDefault="001B4B80" w:rsidP="00845D6C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940" w:type="dxa"/>
          </w:tcPr>
          <w:p w:rsidR="001B4B80" w:rsidRPr="00761B72" w:rsidRDefault="00845D6C" w:rsidP="000C789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1B4B80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特定对象调研        □分析师会议</w:t>
            </w:r>
          </w:p>
          <w:p w:rsidR="001B4B80" w:rsidRPr="00761B72" w:rsidRDefault="001B4B80" w:rsidP="000C789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□媒体采访            </w:t>
            </w:r>
            <w:r w:rsidR="000E0D06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√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业绩说明会</w:t>
            </w:r>
          </w:p>
          <w:p w:rsidR="001B4B80" w:rsidRPr="00761B72" w:rsidRDefault="001B4B80" w:rsidP="000C789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:rsidR="001B4B80" w:rsidRPr="00761B72" w:rsidRDefault="001B4B80" w:rsidP="00E5768C">
            <w:pPr>
              <w:tabs>
                <w:tab w:val="left" w:pos="2688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□现场参观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ab/>
            </w:r>
            <w:r w:rsidR="00E5768C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DA6E4D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电话会议</w:t>
            </w:r>
          </w:p>
          <w:p w:rsidR="001B4B80" w:rsidRPr="00761B72" w:rsidRDefault="001B4B80" w:rsidP="00AF1910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□其他（</w:t>
            </w:r>
            <w:proofErr w:type="gramStart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1B4B80" w:rsidRPr="00761B72" w:rsidTr="00AF1910">
        <w:tc>
          <w:tcPr>
            <w:tcW w:w="1985" w:type="dxa"/>
            <w:vAlign w:val="center"/>
          </w:tcPr>
          <w:p w:rsidR="001B4B80" w:rsidRPr="00761B72" w:rsidRDefault="001B4B80" w:rsidP="000C7891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940" w:type="dxa"/>
          </w:tcPr>
          <w:p w:rsidR="000E0D06" w:rsidRPr="00761B72" w:rsidRDefault="000E0D06" w:rsidP="00AF1910">
            <w:pPr>
              <w:spacing w:line="560" w:lineRule="exac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参与本次业绩说明会的线上投资者</w:t>
            </w:r>
          </w:p>
        </w:tc>
      </w:tr>
      <w:tr w:rsidR="001B4B80" w:rsidRPr="00761B72" w:rsidTr="003522D5">
        <w:tc>
          <w:tcPr>
            <w:tcW w:w="1985" w:type="dxa"/>
          </w:tcPr>
          <w:p w:rsidR="001B4B80" w:rsidRPr="00761B72" w:rsidRDefault="001B4B80" w:rsidP="000C7891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40" w:type="dxa"/>
            <w:vAlign w:val="center"/>
          </w:tcPr>
          <w:p w:rsidR="001B4B80" w:rsidRPr="00761B72" w:rsidRDefault="000E0D06" w:rsidP="0082268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023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9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4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  <w:r w:rsid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下午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1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3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:0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-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5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:0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</w:t>
            </w:r>
          </w:p>
        </w:tc>
      </w:tr>
      <w:tr w:rsidR="001B4B80" w:rsidRPr="00761B72" w:rsidTr="003522D5">
        <w:trPr>
          <w:trHeight w:val="510"/>
        </w:trPr>
        <w:tc>
          <w:tcPr>
            <w:tcW w:w="1985" w:type="dxa"/>
          </w:tcPr>
          <w:p w:rsidR="001B4B80" w:rsidRPr="00761B72" w:rsidRDefault="001B4B80" w:rsidP="000C7891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40" w:type="dxa"/>
            <w:vAlign w:val="center"/>
          </w:tcPr>
          <w:p w:rsidR="00865F0D" w:rsidRDefault="0055137C" w:rsidP="00865F0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上海证券交易所</w:t>
            </w:r>
            <w:proofErr w:type="gramStart"/>
            <w:r w:rsidR="000E0D06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上证路演</w:t>
            </w:r>
            <w:proofErr w:type="gramEnd"/>
            <w:r w:rsidR="000E0D06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中心</w:t>
            </w:r>
          </w:p>
          <w:p w:rsidR="001B4B80" w:rsidRPr="00761B72" w:rsidRDefault="00DA6EA7" w:rsidP="00865F0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（</w:t>
            </w:r>
            <w:r w:rsidR="000E0D06"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http://roadshow.sseinfo.com）</w:t>
            </w:r>
          </w:p>
        </w:tc>
      </w:tr>
      <w:tr w:rsidR="001B4B80" w:rsidRPr="00761B72" w:rsidTr="003522D5">
        <w:tc>
          <w:tcPr>
            <w:tcW w:w="1985" w:type="dxa"/>
          </w:tcPr>
          <w:p w:rsidR="001B4B80" w:rsidRPr="00761B72" w:rsidRDefault="001B4B80" w:rsidP="000C7891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上市公司</w:t>
            </w:r>
            <w:r w:rsidR="00A95725"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参加</w:t>
            </w: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940" w:type="dxa"/>
            <w:vAlign w:val="center"/>
          </w:tcPr>
          <w:p w:rsidR="000E0D06" w:rsidRPr="00761B72" w:rsidRDefault="000E0D06" w:rsidP="000E0D0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董事、总经理：陈利光</w:t>
            </w:r>
          </w:p>
          <w:p w:rsidR="000E0D06" w:rsidRPr="00761B72" w:rsidRDefault="000E0D06" w:rsidP="000E0D0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财务总监、董事会秘书：郑成</w:t>
            </w:r>
          </w:p>
          <w:p w:rsidR="001B4B80" w:rsidRPr="00761B72" w:rsidRDefault="000E0D06" w:rsidP="000E0D0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独立董事：</w:t>
            </w:r>
            <w:proofErr w:type="gramStart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戴继雄</w:t>
            </w:r>
            <w:proofErr w:type="gramEnd"/>
          </w:p>
        </w:tc>
      </w:tr>
      <w:tr w:rsidR="001B4B80" w:rsidRPr="00761B72" w:rsidTr="003522D5">
        <w:trPr>
          <w:trHeight w:val="557"/>
        </w:trPr>
        <w:tc>
          <w:tcPr>
            <w:tcW w:w="1985" w:type="dxa"/>
            <w:vAlign w:val="center"/>
          </w:tcPr>
          <w:p w:rsidR="001B4B80" w:rsidRPr="00761B72" w:rsidRDefault="001B4B80" w:rsidP="000C789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40" w:type="dxa"/>
          </w:tcPr>
          <w:p w:rsidR="00EE076D" w:rsidRPr="00761B72" w:rsidRDefault="000E0D06" w:rsidP="000E0D06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公司参加了在上海证券交易所上</w:t>
            </w:r>
            <w:proofErr w:type="gramStart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证路演中心</w:t>
            </w:r>
            <w:proofErr w:type="gramEnd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网络平台(</w:t>
            </w:r>
            <w:r w:rsidR="0055137C" w:rsidRPr="0055137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http://roadshow.sseinfo.com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)举行的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202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3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年</w:t>
            </w:r>
            <w:r w:rsidR="00822680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半年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度半导体行业</w:t>
            </w:r>
            <w:proofErr w:type="gramStart"/>
            <w:r w:rsidR="00822680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科创板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集体</w:t>
            </w:r>
            <w:proofErr w:type="gramEnd"/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业绩说明会，</w:t>
            </w:r>
            <w:r w:rsidR="00C77640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以</w:t>
            </w:r>
            <w:r w:rsidR="00822680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网络文字互动</w:t>
            </w:r>
            <w:r w:rsidR="00C77640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的形式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与投资者展开了互动交流。其中部分主要问题及回复如下：</w:t>
            </w:r>
          </w:p>
          <w:p w:rsidR="009E125C" w:rsidRPr="00761B72" w:rsidRDefault="000E0D06" w:rsidP="00A0184C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Q1</w:t>
            </w:r>
            <w:r w:rsidR="00114AF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：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2023年上半年，公司产品的销售收入及利润较上年同期有所下降，请问背后的原因是什么？</w:t>
            </w:r>
          </w:p>
          <w:p w:rsidR="009E125C" w:rsidRDefault="000E0D06" w:rsidP="000557A1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受到行业景气度波动以及下游市场客户需求放缓的影响，公司上半年业绩</w:t>
            </w:r>
            <w:r w:rsidR="00CC394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暂时</w:t>
            </w:r>
            <w:bookmarkStart w:id="0" w:name="_GoBack"/>
            <w:bookmarkEnd w:id="0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出现了下滑。但</w:t>
            </w:r>
            <w:r w:rsidR="00B97CED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从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长远发展考虑，为进一步加强及巩固自身核心竞争力，公司持续加大产品开发与团队建设投入，研发费用增长较大。2023年上半年，公司研发投入2.08亿元，2022年上半年公司研发投入1.48亿元，同比增长40.60%，导致净利润较上年同期减少。其中第二季度，公司归属于母公司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lastRenderedPageBreak/>
              <w:t>股东的净利润为-2932.41</w:t>
            </w:r>
            <w:r w:rsid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万元，与第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一季度</w:t>
            </w:r>
            <w:r w:rsid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相比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，利润表现正在逐步修复，公司也正通过提升高毛利产品业务占比、加快新产品或型号导入进度、拓宽丰富公司产品矩阵等方式</w:t>
            </w:r>
            <w:r w:rsidR="00B97CED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来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提高公司利润水平。</w:t>
            </w:r>
          </w:p>
          <w:p w:rsidR="000557A1" w:rsidRPr="00761B72" w:rsidRDefault="000557A1" w:rsidP="000557A1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9E125C" w:rsidRPr="00761B72" w:rsidRDefault="000E0D06" w:rsidP="00C821F9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2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：</w:t>
            </w:r>
            <w:proofErr w:type="gramStart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财报显示</w:t>
            </w:r>
            <w:proofErr w:type="gramEnd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，安</w:t>
            </w:r>
            <w:proofErr w:type="gramStart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路科技</w:t>
            </w:r>
            <w:proofErr w:type="gramEnd"/>
            <w:r w:rsid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上半年研发投入出现了较大的增长幅度，请问公司的主要研发费用投入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了什么方向？公司的研发成果如何？</w:t>
            </w:r>
          </w:p>
          <w:p w:rsidR="00C821F9" w:rsidRPr="00C821F9" w:rsidRDefault="000E0D06" w:rsidP="00C821F9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公司在今年上半年持续保持较高的研发投入，在高性能大容量FPGA芯片、FPSoC芯片以及先进技术等多个领域开展项目研发。目前，公司在</w:t>
            </w:r>
            <w:proofErr w:type="gramStart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研</w:t>
            </w:r>
            <w:proofErr w:type="gramEnd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项目中除了FPGA芯片研发、FPSoC芯片研发，还包括车</w:t>
            </w:r>
            <w:proofErr w:type="gramStart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规</w:t>
            </w:r>
            <w:proofErr w:type="gramEnd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级芯片研发，并正在进行用户导入以及更多满足车</w:t>
            </w:r>
            <w:proofErr w:type="gramStart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规</w:t>
            </w:r>
            <w:proofErr w:type="gramEnd"/>
            <w:r w:rsidR="00C821F9"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要求的FPGA芯片开发，进一步满足快速增长的汽车电子系统中使用FPGA实现逻辑控制、接口转换、硬件升级等功能。除此之外，公司也在积极开发FPGA专用EDA软件和FPSoC专用软件。</w:t>
            </w:r>
          </w:p>
          <w:p w:rsidR="00BE14E1" w:rsidRDefault="00C821F9" w:rsidP="000557A1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C821F9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截至2023年6月30日，公司累计申请知识产权331项，获得知识产权授权194项，其中发明专利授权70项。公司在不断拓宽技术和产品的护城河，构筑坚实的核心技术壁垒。</w:t>
            </w:r>
          </w:p>
          <w:p w:rsidR="000557A1" w:rsidRPr="000557A1" w:rsidRDefault="000557A1" w:rsidP="000557A1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BE14E1" w:rsidRDefault="00BE14E1" w:rsidP="0022274F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：</w:t>
            </w:r>
            <w:r w:rsidR="0022274F" w:rsidRPr="0022274F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请问公司对2023年下半年下游通信、工控、消费电子、数据中心领域的需求情况如何展望？</w:t>
            </w:r>
          </w:p>
          <w:p w:rsidR="00BE14E1" w:rsidRPr="00761B72" w:rsidRDefault="00BE14E1" w:rsidP="0022274F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22274F" w:rsidRPr="0022274F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2023年上半年，由于全球仍处于前期半导体库存消化期以及下游市场需求下滑，半导体产业进入低迷行情，需求增速为负。下半年随着终端库存逐渐消化，传统工业控制、网络通信以及新一代信息技术、高端工业、新能源等新兴领域的需求在未来预计将逐渐恢复增长，长期需求前景依旧乐观。</w:t>
            </w:r>
          </w:p>
          <w:p w:rsidR="009E125C" w:rsidRPr="00761B72" w:rsidRDefault="009E125C" w:rsidP="00845D6C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9E125C" w:rsidRPr="00761B72" w:rsidRDefault="000E0D06" w:rsidP="00CE30E8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</w:t>
            </w:r>
            <w:r w:rsidR="00BE14E1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4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：</w:t>
            </w:r>
            <w:r w:rsidR="00CE30E8" w:rsidRPr="00CE30E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目前在外部环境不确定性较大的情况下，安路科技如何选择合作伙伴以保障公司的供应链稳定？</w:t>
            </w:r>
          </w:p>
          <w:p w:rsidR="00CE30E8" w:rsidRDefault="000E0D06" w:rsidP="00CE30E8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CE30E8" w:rsidRPr="00CE30E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公司采用Fabless的经营模式，芯片产业链的生产制造、封装及测试等其他环节委托第三</w:t>
            </w:r>
            <w:proofErr w:type="gramStart"/>
            <w:r w:rsidR="00CE30E8" w:rsidRPr="00CE30E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方专业</w:t>
            </w:r>
            <w:proofErr w:type="gramEnd"/>
            <w:r w:rsidR="00CE30E8" w:rsidRPr="00CE30E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机构代工。公司选择在技</w:t>
            </w:r>
            <w:r w:rsidR="00CE30E8" w:rsidRPr="00CE30E8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lastRenderedPageBreak/>
              <w:t>术水平、生产管理、产业资源等方面具有较强实力的知名企业或龙头企业开展密切合作，与关键核心供应商都建立了长期稳定的战略合作伙伴关系，经过多年积累形成了完善的供应链备份体系，保障了整个供应链系统的良性运转。</w:t>
            </w:r>
          </w:p>
          <w:p w:rsidR="000E0D06" w:rsidRPr="00761B72" w:rsidRDefault="000E0D06" w:rsidP="00845D6C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0E0D06" w:rsidRPr="00761B72" w:rsidRDefault="00ED580C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</w:t>
            </w:r>
            <w:r w:rsidR="00BE14E1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5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: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请问公司作为国内FPGA领先企业，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未来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将如何保持增长势头，夯实竞争优势？</w:t>
            </w:r>
          </w:p>
          <w:p w:rsidR="0040498E" w:rsidRPr="0040498E" w:rsidRDefault="00ED580C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随着公司新产品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的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不断推出，产品体系进一步丰富，公司愈加广泛地覆盖到了多种应用场景和客户群体。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同时，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将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加大市场推广力度，持续完善客户支持体系和业务流程，及时解决客户问题；开发了涵盖更多应用场景的IP和解决方案，提高客户支持能力,提升客户满意度，加快客户导入速度。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随着新产品的客户导入取得良好进展，预期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将为公司带来销售收入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的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增长。</w:t>
            </w:r>
          </w:p>
          <w:p w:rsidR="0040498E" w:rsidRDefault="0040498E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未来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公司将继续专注于FPGA芯片的研发和应用，在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持续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研发投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入的推动下，保持产品更新迭代的频率，不断适用市场的多样化需求，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提高公司的核心竞争力，并进一步稳固公司在FPGA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领域的市场地位。</w:t>
            </w:r>
          </w:p>
          <w:p w:rsidR="009E125C" w:rsidRPr="00761B72" w:rsidRDefault="009E125C" w:rsidP="00845D6C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9E125C" w:rsidRPr="00761B72" w:rsidRDefault="00ED580C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Q</w:t>
            </w:r>
            <w:r w:rsidR="00BE14E1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6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：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作为国内领先的FPGA芯片供应商，公司对于高水平人才有着持续性的需求，请问公司今年上半年的人才管理情况如何?</w:t>
            </w:r>
          </w:p>
          <w:p w:rsidR="0040498E" w:rsidRPr="0040498E" w:rsidRDefault="00ED580C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A：</w:t>
            </w:r>
            <w:r w:rsid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公司始终将人才工作放在首位，</w:t>
            </w:r>
            <w:r w:rsidR="0040498E"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在FPGA/FPSoC硬件设计、专用EDA软件设计、应用开发、测试品控、生产运营、市场销售等方面建立了强大的人才队伍，核心技术人员和管理团队长期稳定、高度互补，形成了公司在技术创新、产品研发、工程品质、市场推广等方面的突出优势。</w:t>
            </w:r>
          </w:p>
          <w:p w:rsidR="00ED580C" w:rsidRDefault="0040498E" w:rsidP="0040498E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一直以来，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公司提供业界有竞争力的薪酬水平和福利待遇、高水平的研发平台和发展空间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来吸引人才加入。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在2023年上半年设立了博士后科研工作站，将招收高层次创新型青年人才，持续提高人才储备。上半年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，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公司还完成了2022年限制性股票激励计划预留部分的授予</w:t>
            </w:r>
            <w:proofErr w:type="gramStart"/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及首次</w:t>
            </w:r>
            <w:proofErr w:type="gramEnd"/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授予部分的第一期归属工作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。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同时还开展了知识产权奖励、科技创新专项奖励、基于多维度绩效考核</w:t>
            </w:r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lastRenderedPageBreak/>
              <w:t>的职位晋升和薪酬奖励等，提升</w:t>
            </w:r>
            <w:proofErr w:type="gramStart"/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公司员</w:t>
            </w:r>
            <w:proofErr w:type="gramEnd"/>
            <w:r w:rsidRPr="0040498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工稳定性和积极性。</w:t>
            </w:r>
          </w:p>
          <w:p w:rsidR="00ED580C" w:rsidRPr="00B97CED" w:rsidRDefault="00ED580C" w:rsidP="00845D6C">
            <w:pPr>
              <w:spacing w:line="4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</w:p>
          <w:p w:rsidR="00ED580C" w:rsidRDefault="00ED580C" w:rsidP="003522D5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24"/>
              </w:rPr>
              <w:t>有关本次业绩说明会的具体详情请见：</w:t>
            </w:r>
          </w:p>
          <w:p w:rsidR="008E2566" w:rsidRPr="008E2566" w:rsidRDefault="00A0184C" w:rsidP="003522D5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</w:pPr>
            <w:r w:rsidRPr="00A0184C">
              <w:rPr>
                <w:rFonts w:asciiTheme="minorEastAsia" w:eastAsiaTheme="minorEastAsia" w:hAnsiTheme="minorEastAsia"/>
                <w:bCs/>
                <w:iCs/>
                <w:color w:val="000000" w:themeColor="text1"/>
                <w:sz w:val="24"/>
              </w:rPr>
              <w:t>https://roadshow.sseinfo.com/roadshowIndex.do?id=15102</w:t>
            </w:r>
          </w:p>
        </w:tc>
      </w:tr>
      <w:tr w:rsidR="001B4B80" w:rsidRPr="00761B72" w:rsidTr="003522D5">
        <w:tc>
          <w:tcPr>
            <w:tcW w:w="1985" w:type="dxa"/>
            <w:vAlign w:val="center"/>
          </w:tcPr>
          <w:p w:rsidR="001B4B80" w:rsidRPr="00761B72" w:rsidRDefault="001B4B80" w:rsidP="000C789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940" w:type="dxa"/>
          </w:tcPr>
          <w:p w:rsidR="001B4B80" w:rsidRPr="00761B72" w:rsidRDefault="00ED580C" w:rsidP="000C789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1B4B80" w:rsidRPr="00761B72" w:rsidTr="003522D5">
        <w:trPr>
          <w:trHeight w:val="557"/>
        </w:trPr>
        <w:tc>
          <w:tcPr>
            <w:tcW w:w="1985" w:type="dxa"/>
            <w:vAlign w:val="center"/>
          </w:tcPr>
          <w:p w:rsidR="001B4B80" w:rsidRPr="00761B72" w:rsidRDefault="001B4B80" w:rsidP="000C789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940" w:type="dxa"/>
          </w:tcPr>
          <w:p w:rsidR="001B4B80" w:rsidRPr="00761B72" w:rsidRDefault="00ED580C" w:rsidP="00822680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</w:t>
            </w:r>
            <w:r w:rsidRPr="00761B7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023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9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82268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4</w:t>
            </w:r>
            <w:r w:rsidRPr="00761B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8C2A9F" w:rsidRPr="00761B72" w:rsidRDefault="008C2A9F">
      <w:pPr>
        <w:rPr>
          <w:rFonts w:asciiTheme="minorEastAsia" w:eastAsiaTheme="minorEastAsia" w:hAnsiTheme="minorEastAsia"/>
        </w:rPr>
      </w:pPr>
    </w:p>
    <w:sectPr w:rsidR="008C2A9F" w:rsidRPr="00761B72" w:rsidSect="0012130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A7" w:rsidRDefault="008C4DA7">
      <w:r>
        <w:separator/>
      </w:r>
    </w:p>
  </w:endnote>
  <w:endnote w:type="continuationSeparator" w:id="0">
    <w:p w:rsidR="008C4DA7" w:rsidRDefault="008C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01" w:rsidRDefault="006E11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1301" w:rsidRDefault="008C4D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01" w:rsidRDefault="006E11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C3948">
      <w:rPr>
        <w:rStyle w:val="a5"/>
        <w:noProof/>
      </w:rPr>
      <w:t>4</w:t>
    </w:r>
    <w:r>
      <w:fldChar w:fldCharType="end"/>
    </w:r>
  </w:p>
  <w:p w:rsidR="00121301" w:rsidRDefault="008C4D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A7" w:rsidRDefault="008C4DA7">
      <w:r>
        <w:separator/>
      </w:r>
    </w:p>
  </w:footnote>
  <w:footnote w:type="continuationSeparator" w:id="0">
    <w:p w:rsidR="008C4DA7" w:rsidRDefault="008C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2711B"/>
    <w:multiLevelType w:val="singleLevel"/>
    <w:tmpl w:val="E55271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0"/>
    <w:rsid w:val="00005B18"/>
    <w:rsid w:val="000062BD"/>
    <w:rsid w:val="000557A1"/>
    <w:rsid w:val="0008744D"/>
    <w:rsid w:val="00095948"/>
    <w:rsid w:val="000A174A"/>
    <w:rsid w:val="000B1943"/>
    <w:rsid w:val="000C73FB"/>
    <w:rsid w:val="000E0D06"/>
    <w:rsid w:val="00107B4B"/>
    <w:rsid w:val="00114AFC"/>
    <w:rsid w:val="00116B35"/>
    <w:rsid w:val="00131928"/>
    <w:rsid w:val="00134C9D"/>
    <w:rsid w:val="001430D6"/>
    <w:rsid w:val="00167354"/>
    <w:rsid w:val="001832B0"/>
    <w:rsid w:val="00185B23"/>
    <w:rsid w:val="001A7497"/>
    <w:rsid w:val="001B154C"/>
    <w:rsid w:val="001B4B80"/>
    <w:rsid w:val="001C299E"/>
    <w:rsid w:val="001C6BD4"/>
    <w:rsid w:val="001D4138"/>
    <w:rsid w:val="001D4EBB"/>
    <w:rsid w:val="001E4216"/>
    <w:rsid w:val="001F586A"/>
    <w:rsid w:val="00206C54"/>
    <w:rsid w:val="0021117B"/>
    <w:rsid w:val="0021339D"/>
    <w:rsid w:val="0022274F"/>
    <w:rsid w:val="00297F92"/>
    <w:rsid w:val="002A40B2"/>
    <w:rsid w:val="002A4634"/>
    <w:rsid w:val="002B5592"/>
    <w:rsid w:val="002C45E3"/>
    <w:rsid w:val="002F5722"/>
    <w:rsid w:val="00316E17"/>
    <w:rsid w:val="00340596"/>
    <w:rsid w:val="003522D5"/>
    <w:rsid w:val="003D5A99"/>
    <w:rsid w:val="0040498E"/>
    <w:rsid w:val="004172E0"/>
    <w:rsid w:val="00437332"/>
    <w:rsid w:val="004955B7"/>
    <w:rsid w:val="004E2B24"/>
    <w:rsid w:val="005272DE"/>
    <w:rsid w:val="00542CBA"/>
    <w:rsid w:val="0055137C"/>
    <w:rsid w:val="005534E4"/>
    <w:rsid w:val="00564AD4"/>
    <w:rsid w:val="00572303"/>
    <w:rsid w:val="0057541A"/>
    <w:rsid w:val="005C5B67"/>
    <w:rsid w:val="005C6828"/>
    <w:rsid w:val="005D5923"/>
    <w:rsid w:val="00600757"/>
    <w:rsid w:val="00620DA6"/>
    <w:rsid w:val="00626F24"/>
    <w:rsid w:val="006418E5"/>
    <w:rsid w:val="00647BAE"/>
    <w:rsid w:val="00684696"/>
    <w:rsid w:val="00694627"/>
    <w:rsid w:val="006C2702"/>
    <w:rsid w:val="006C4064"/>
    <w:rsid w:val="006D40CB"/>
    <w:rsid w:val="006E11D4"/>
    <w:rsid w:val="006F0437"/>
    <w:rsid w:val="006F32A2"/>
    <w:rsid w:val="007619B1"/>
    <w:rsid w:val="00761B72"/>
    <w:rsid w:val="007657D4"/>
    <w:rsid w:val="007958EB"/>
    <w:rsid w:val="007C57C0"/>
    <w:rsid w:val="007C7B43"/>
    <w:rsid w:val="00820AA1"/>
    <w:rsid w:val="008212C8"/>
    <w:rsid w:val="00821CB9"/>
    <w:rsid w:val="00822680"/>
    <w:rsid w:val="00845D6C"/>
    <w:rsid w:val="00865F0D"/>
    <w:rsid w:val="008B78B5"/>
    <w:rsid w:val="008C2A9F"/>
    <w:rsid w:val="008C4DA7"/>
    <w:rsid w:val="008E1FFD"/>
    <w:rsid w:val="008E2566"/>
    <w:rsid w:val="008E3C84"/>
    <w:rsid w:val="008F2321"/>
    <w:rsid w:val="009421F0"/>
    <w:rsid w:val="00956518"/>
    <w:rsid w:val="0095680F"/>
    <w:rsid w:val="00991A6E"/>
    <w:rsid w:val="009928A9"/>
    <w:rsid w:val="00994191"/>
    <w:rsid w:val="009975C4"/>
    <w:rsid w:val="009A2924"/>
    <w:rsid w:val="009E125C"/>
    <w:rsid w:val="00A0184C"/>
    <w:rsid w:val="00A21C46"/>
    <w:rsid w:val="00A95725"/>
    <w:rsid w:val="00AB15FD"/>
    <w:rsid w:val="00AD78E6"/>
    <w:rsid w:val="00AF1910"/>
    <w:rsid w:val="00B43F12"/>
    <w:rsid w:val="00B507A2"/>
    <w:rsid w:val="00B55A7E"/>
    <w:rsid w:val="00B605E0"/>
    <w:rsid w:val="00B62A3A"/>
    <w:rsid w:val="00B74412"/>
    <w:rsid w:val="00B9238F"/>
    <w:rsid w:val="00B97CED"/>
    <w:rsid w:val="00BB09A6"/>
    <w:rsid w:val="00BE14E1"/>
    <w:rsid w:val="00BE4171"/>
    <w:rsid w:val="00C0257E"/>
    <w:rsid w:val="00C067D9"/>
    <w:rsid w:val="00C12530"/>
    <w:rsid w:val="00C20BD1"/>
    <w:rsid w:val="00C77640"/>
    <w:rsid w:val="00C821F9"/>
    <w:rsid w:val="00CC3948"/>
    <w:rsid w:val="00CE30E8"/>
    <w:rsid w:val="00D43DDE"/>
    <w:rsid w:val="00D6774C"/>
    <w:rsid w:val="00D92149"/>
    <w:rsid w:val="00DA6E4D"/>
    <w:rsid w:val="00DA6EA7"/>
    <w:rsid w:val="00DE1A6F"/>
    <w:rsid w:val="00E0039C"/>
    <w:rsid w:val="00E14F93"/>
    <w:rsid w:val="00E26254"/>
    <w:rsid w:val="00E5768C"/>
    <w:rsid w:val="00E7186A"/>
    <w:rsid w:val="00E808F7"/>
    <w:rsid w:val="00E93B3D"/>
    <w:rsid w:val="00ED2548"/>
    <w:rsid w:val="00ED580C"/>
    <w:rsid w:val="00EE076D"/>
    <w:rsid w:val="00EE3C7C"/>
    <w:rsid w:val="00EE4F50"/>
    <w:rsid w:val="00EE7C38"/>
    <w:rsid w:val="00F15A64"/>
    <w:rsid w:val="00F22B51"/>
    <w:rsid w:val="00F25AB4"/>
    <w:rsid w:val="00F42187"/>
    <w:rsid w:val="00F4652D"/>
    <w:rsid w:val="00F5016E"/>
    <w:rsid w:val="00F609F5"/>
    <w:rsid w:val="00FA1EE8"/>
    <w:rsid w:val="00FD1CB8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48FC5"/>
  <w15:docId w15:val="{FCC39BE1-01CD-41EC-94A5-E84FA13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B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4B8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1B4B80"/>
  </w:style>
  <w:style w:type="paragraph" w:customStyle="1" w:styleId="005">
    <w:name w:val="005正文"/>
    <w:basedOn w:val="a"/>
    <w:link w:val="005Char"/>
    <w:rsid w:val="001B4B80"/>
    <w:pPr>
      <w:spacing w:beforeLines="50" w:before="50" w:line="360" w:lineRule="auto"/>
      <w:ind w:firstLineChars="200" w:firstLine="200"/>
    </w:pPr>
    <w:rPr>
      <w:sz w:val="24"/>
      <w:szCs w:val="22"/>
    </w:rPr>
  </w:style>
  <w:style w:type="character" w:customStyle="1" w:styleId="005Char">
    <w:name w:val="005正文 Char"/>
    <w:link w:val="005"/>
    <w:qFormat/>
    <w:rsid w:val="001B4B80"/>
    <w:rPr>
      <w:rFonts w:ascii="Times New Roman" w:eastAsia="宋体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13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4C9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A6E4D"/>
    <w:rPr>
      <w:color w:val="0000FF"/>
      <w:u w:val="single"/>
    </w:rPr>
  </w:style>
  <w:style w:type="character" w:styleId="a9">
    <w:name w:val="Emphasis"/>
    <w:basedOn w:val="a0"/>
    <w:uiPriority w:val="20"/>
    <w:qFormat/>
    <w:rsid w:val="00DA6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B68F-31C6-43A5-925D-DA270F2B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gxc</dc:creator>
  <cp:keywords/>
  <dc:description/>
  <cp:lastModifiedBy>Yan Yao（姚琰）</cp:lastModifiedBy>
  <cp:revision>50</cp:revision>
  <dcterms:created xsi:type="dcterms:W3CDTF">2021-11-15T10:36:00Z</dcterms:created>
  <dcterms:modified xsi:type="dcterms:W3CDTF">2023-09-05T07:46:00Z</dcterms:modified>
</cp:coreProperties>
</file>