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77DC" w14:textId="5C961D3B" w:rsidR="00711300" w:rsidRPr="00445131" w:rsidRDefault="00000000">
      <w:pPr>
        <w:pStyle w:val="1"/>
        <w:rPr>
          <w:rFonts w:asciiTheme="minorEastAsia" w:eastAsiaTheme="minorEastAsia" w:hAnsiTheme="minorEastAsia" w:cs="宋体"/>
          <w:sz w:val="24"/>
          <w:szCs w:val="24"/>
          <w:lang w:val="en-US"/>
        </w:rPr>
      </w:pPr>
      <w:r w:rsidRPr="00445131">
        <w:rPr>
          <w:rFonts w:asciiTheme="minorEastAsia" w:eastAsiaTheme="minorEastAsia" w:hAnsiTheme="minorEastAsia" w:cs="宋体" w:hint="eastAsia"/>
          <w:sz w:val="24"/>
          <w:szCs w:val="24"/>
          <w:lang w:val="en-US"/>
        </w:rPr>
        <w:t>证券代码：600153                                   证券简称：建发股份</w:t>
      </w:r>
    </w:p>
    <w:p w14:paraId="5574165A" w14:textId="77777777" w:rsidR="00711300" w:rsidRPr="00445131" w:rsidRDefault="00711300">
      <w:pPr>
        <w:spacing w:line="360" w:lineRule="auto"/>
        <w:jc w:val="center"/>
        <w:rPr>
          <w:rFonts w:asciiTheme="minorEastAsia" w:eastAsiaTheme="minorEastAsia" w:hAnsiTheme="minorEastAsia" w:cs="宋体"/>
          <w:b/>
          <w:bCs/>
          <w:sz w:val="24"/>
          <w:szCs w:val="24"/>
        </w:rPr>
      </w:pPr>
    </w:p>
    <w:p w14:paraId="13107AFD" w14:textId="05EC3DB9" w:rsidR="00711300" w:rsidRPr="00445131" w:rsidRDefault="00000000">
      <w:pPr>
        <w:spacing w:line="360" w:lineRule="auto"/>
        <w:jc w:val="center"/>
        <w:rPr>
          <w:rFonts w:asciiTheme="minorEastAsia" w:eastAsiaTheme="minorEastAsia" w:hAnsiTheme="minorEastAsia" w:cs="宋体"/>
          <w:sz w:val="32"/>
          <w:szCs w:val="32"/>
        </w:rPr>
      </w:pPr>
      <w:r w:rsidRPr="00445131">
        <w:rPr>
          <w:rFonts w:asciiTheme="minorEastAsia" w:eastAsiaTheme="minorEastAsia" w:hAnsiTheme="minorEastAsia" w:cs="宋体" w:hint="eastAsia"/>
          <w:b/>
          <w:bCs/>
          <w:sz w:val="32"/>
          <w:szCs w:val="32"/>
        </w:rPr>
        <w:t>厦门建发股份有限公司投资者关系活动记录表</w:t>
      </w:r>
    </w:p>
    <w:p w14:paraId="7A4AED5C" w14:textId="53089B27" w:rsidR="00711300" w:rsidRPr="00445131" w:rsidRDefault="00711300">
      <w:pPr>
        <w:spacing w:before="51" w:after="32"/>
        <w:ind w:right="619"/>
        <w:jc w:val="right"/>
        <w:rPr>
          <w:rFonts w:asciiTheme="minorEastAsia" w:eastAsiaTheme="minorEastAsia" w:hAnsiTheme="minorEastAsia" w:cs="宋体"/>
          <w:sz w:val="24"/>
          <w:szCs w:val="24"/>
        </w:rPr>
      </w:pP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1555"/>
        <w:gridCol w:w="6970"/>
      </w:tblGrid>
      <w:tr w:rsidR="00711300" w:rsidRPr="00445131" w14:paraId="7E5FD097" w14:textId="77777777" w:rsidTr="00445131">
        <w:trPr>
          <w:trHeight w:val="2801"/>
          <w:jc w:val="center"/>
        </w:trPr>
        <w:tc>
          <w:tcPr>
            <w:tcW w:w="1555" w:type="dxa"/>
            <w:vAlign w:val="center"/>
          </w:tcPr>
          <w:p w14:paraId="2780DE21" w14:textId="77777777" w:rsidR="00711300" w:rsidRPr="00445131" w:rsidRDefault="00711300">
            <w:pPr>
              <w:pStyle w:val="TableParagraph"/>
              <w:spacing w:before="7"/>
              <w:rPr>
                <w:rFonts w:asciiTheme="minorEastAsia" w:eastAsiaTheme="minorEastAsia" w:hAnsiTheme="minorEastAsia" w:cs="宋体"/>
                <w:b/>
                <w:bCs/>
                <w:sz w:val="24"/>
                <w:szCs w:val="24"/>
              </w:rPr>
            </w:pPr>
          </w:p>
          <w:p w14:paraId="15D66DA2" w14:textId="77777777" w:rsidR="00711300" w:rsidRPr="00445131" w:rsidRDefault="00000000">
            <w:pPr>
              <w:pStyle w:val="TableParagraph"/>
              <w:spacing w:before="1"/>
              <w:ind w:left="107"/>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t>投资者关系活动类别</w:t>
            </w:r>
          </w:p>
        </w:tc>
        <w:tc>
          <w:tcPr>
            <w:tcW w:w="6970" w:type="dxa"/>
          </w:tcPr>
          <w:p w14:paraId="5E38AAEE" w14:textId="77777777" w:rsidR="00711300" w:rsidRPr="00445131" w:rsidRDefault="00711300">
            <w:pPr>
              <w:pStyle w:val="TableParagraph"/>
              <w:spacing w:before="7"/>
              <w:rPr>
                <w:rFonts w:asciiTheme="minorEastAsia" w:eastAsiaTheme="minorEastAsia" w:hAnsiTheme="minorEastAsia" w:cs="宋体"/>
                <w:sz w:val="24"/>
                <w:szCs w:val="24"/>
              </w:rPr>
            </w:pPr>
          </w:p>
          <w:p w14:paraId="3F024673" w14:textId="77777777" w:rsidR="00711300" w:rsidRPr="00445131" w:rsidRDefault="00000000">
            <w:pPr>
              <w:pStyle w:val="TableParagraph"/>
              <w:tabs>
                <w:tab w:val="left" w:pos="2418"/>
              </w:tabs>
              <w:spacing w:before="1"/>
              <w:ind w:left="107"/>
              <w:rPr>
                <w:rFonts w:asciiTheme="minorEastAsia" w:eastAsiaTheme="minorEastAsia" w:hAnsiTheme="minorEastAsia" w:cs="宋体"/>
                <w:sz w:val="24"/>
                <w:szCs w:val="24"/>
              </w:rPr>
            </w:pPr>
            <w:sdt>
              <w:sdtPr>
                <w:rPr>
                  <w:rFonts w:asciiTheme="minorEastAsia" w:eastAsiaTheme="minorEastAsia" w:hAnsiTheme="minorEastAsia" w:cs="宋体" w:hint="eastAsia"/>
                  <w:sz w:val="24"/>
                  <w:szCs w:val="24"/>
                </w:rPr>
                <w:id w:val="249780449"/>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特</w:t>
            </w:r>
            <w:r w:rsidRPr="00445131">
              <w:rPr>
                <w:rFonts w:asciiTheme="minorEastAsia" w:eastAsiaTheme="minorEastAsia" w:hAnsiTheme="minorEastAsia" w:cs="宋体" w:hint="eastAsia"/>
                <w:spacing w:val="-3"/>
                <w:sz w:val="24"/>
                <w:szCs w:val="24"/>
              </w:rPr>
              <w:t>定</w:t>
            </w:r>
            <w:r w:rsidRPr="00445131">
              <w:rPr>
                <w:rFonts w:asciiTheme="minorEastAsia" w:eastAsiaTheme="minorEastAsia" w:hAnsiTheme="minorEastAsia" w:cs="宋体" w:hint="eastAsia"/>
                <w:sz w:val="24"/>
                <w:szCs w:val="24"/>
              </w:rPr>
              <w:t>对</w:t>
            </w:r>
            <w:r w:rsidRPr="00445131">
              <w:rPr>
                <w:rFonts w:asciiTheme="minorEastAsia" w:eastAsiaTheme="minorEastAsia" w:hAnsiTheme="minorEastAsia" w:cs="宋体" w:hint="eastAsia"/>
                <w:spacing w:val="-3"/>
                <w:sz w:val="24"/>
                <w:szCs w:val="24"/>
              </w:rPr>
              <w:t>象</w:t>
            </w:r>
            <w:r w:rsidRPr="00445131">
              <w:rPr>
                <w:rFonts w:asciiTheme="minorEastAsia" w:eastAsiaTheme="minorEastAsia" w:hAnsiTheme="minorEastAsia" w:cs="宋体" w:hint="eastAsia"/>
                <w:sz w:val="24"/>
                <w:szCs w:val="24"/>
              </w:rPr>
              <w:t>调研</w:t>
            </w:r>
            <w:r w:rsidRPr="00445131">
              <w:rPr>
                <w:rFonts w:asciiTheme="minorEastAsia" w:eastAsiaTheme="minorEastAsia" w:hAnsiTheme="minorEastAsia" w:cs="宋体" w:hint="eastAsia"/>
                <w:sz w:val="24"/>
                <w:szCs w:val="24"/>
              </w:rPr>
              <w:tab/>
            </w:r>
            <w:sdt>
              <w:sdtPr>
                <w:rPr>
                  <w:rFonts w:asciiTheme="minorEastAsia" w:eastAsiaTheme="minorEastAsia" w:hAnsiTheme="minorEastAsia" w:cs="宋体" w:hint="eastAsia"/>
                  <w:sz w:val="24"/>
                  <w:szCs w:val="24"/>
                </w:rPr>
                <w:id w:val="-416875725"/>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分</w:t>
            </w:r>
            <w:r w:rsidRPr="00445131">
              <w:rPr>
                <w:rFonts w:asciiTheme="minorEastAsia" w:eastAsiaTheme="minorEastAsia" w:hAnsiTheme="minorEastAsia" w:cs="宋体" w:hint="eastAsia"/>
                <w:spacing w:val="-3"/>
                <w:sz w:val="24"/>
                <w:szCs w:val="24"/>
              </w:rPr>
              <w:t>析</w:t>
            </w:r>
            <w:r w:rsidRPr="00445131">
              <w:rPr>
                <w:rFonts w:asciiTheme="minorEastAsia" w:eastAsiaTheme="minorEastAsia" w:hAnsiTheme="minorEastAsia" w:cs="宋体" w:hint="eastAsia"/>
                <w:sz w:val="24"/>
                <w:szCs w:val="24"/>
              </w:rPr>
              <w:t>师</w:t>
            </w:r>
            <w:r w:rsidRPr="00445131">
              <w:rPr>
                <w:rFonts w:asciiTheme="minorEastAsia" w:eastAsiaTheme="minorEastAsia" w:hAnsiTheme="minorEastAsia" w:cs="宋体" w:hint="eastAsia"/>
                <w:spacing w:val="-3"/>
                <w:sz w:val="24"/>
                <w:szCs w:val="24"/>
              </w:rPr>
              <w:t>会</w:t>
            </w:r>
            <w:r w:rsidRPr="00445131">
              <w:rPr>
                <w:rFonts w:asciiTheme="minorEastAsia" w:eastAsiaTheme="minorEastAsia" w:hAnsiTheme="minorEastAsia" w:cs="宋体" w:hint="eastAsia"/>
                <w:sz w:val="24"/>
                <w:szCs w:val="24"/>
              </w:rPr>
              <w:t>议</w:t>
            </w:r>
          </w:p>
          <w:p w14:paraId="55558963" w14:textId="77777777" w:rsidR="00711300" w:rsidRPr="00445131" w:rsidRDefault="00711300">
            <w:pPr>
              <w:pStyle w:val="TableParagraph"/>
              <w:spacing w:before="11"/>
              <w:rPr>
                <w:rFonts w:asciiTheme="minorEastAsia" w:eastAsiaTheme="minorEastAsia" w:hAnsiTheme="minorEastAsia" w:cs="宋体"/>
                <w:sz w:val="24"/>
                <w:szCs w:val="24"/>
              </w:rPr>
            </w:pPr>
          </w:p>
          <w:p w14:paraId="4D846C1D" w14:textId="1CE7408A" w:rsidR="00711300" w:rsidRPr="00445131" w:rsidRDefault="00000000">
            <w:pPr>
              <w:pStyle w:val="TableParagraph"/>
              <w:tabs>
                <w:tab w:val="left" w:pos="2418"/>
              </w:tabs>
              <w:ind w:left="107"/>
              <w:rPr>
                <w:rFonts w:asciiTheme="minorEastAsia" w:eastAsiaTheme="minorEastAsia" w:hAnsiTheme="minorEastAsia" w:cs="宋体"/>
                <w:sz w:val="24"/>
                <w:szCs w:val="24"/>
              </w:rPr>
            </w:pPr>
            <w:sdt>
              <w:sdtPr>
                <w:rPr>
                  <w:rFonts w:asciiTheme="minorEastAsia" w:eastAsiaTheme="minorEastAsia" w:hAnsiTheme="minorEastAsia" w:cs="宋体" w:hint="eastAsia"/>
                  <w:sz w:val="24"/>
                  <w:szCs w:val="24"/>
                </w:rPr>
                <w:id w:val="1206906014"/>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媒</w:t>
            </w:r>
            <w:r w:rsidRPr="00445131">
              <w:rPr>
                <w:rFonts w:asciiTheme="minorEastAsia" w:eastAsiaTheme="minorEastAsia" w:hAnsiTheme="minorEastAsia" w:cs="宋体" w:hint="eastAsia"/>
                <w:spacing w:val="-3"/>
                <w:sz w:val="24"/>
                <w:szCs w:val="24"/>
              </w:rPr>
              <w:t>体</w:t>
            </w:r>
            <w:r w:rsidRPr="00445131">
              <w:rPr>
                <w:rFonts w:asciiTheme="minorEastAsia" w:eastAsiaTheme="minorEastAsia" w:hAnsiTheme="minorEastAsia" w:cs="宋体" w:hint="eastAsia"/>
                <w:sz w:val="24"/>
                <w:szCs w:val="24"/>
              </w:rPr>
              <w:t>采访</w:t>
            </w:r>
            <w:r w:rsidRPr="00445131">
              <w:rPr>
                <w:rFonts w:asciiTheme="minorEastAsia" w:eastAsiaTheme="minorEastAsia" w:hAnsiTheme="minorEastAsia" w:cs="宋体" w:hint="eastAsia"/>
                <w:sz w:val="24"/>
                <w:szCs w:val="24"/>
              </w:rPr>
              <w:tab/>
            </w:r>
            <w:sdt>
              <w:sdtPr>
                <w:rPr>
                  <w:rFonts w:asciiTheme="minorEastAsia" w:eastAsiaTheme="minorEastAsia" w:hAnsiTheme="minorEastAsia" w:cs="宋体" w:hint="eastAsia"/>
                  <w:sz w:val="24"/>
                  <w:szCs w:val="24"/>
                </w:rPr>
                <w:id w:val="-66658901"/>
                <w14:checkbox>
                  <w14:checked w14:val="1"/>
                  <w14:checkedState w14:val="0052" w14:font="Wingdings 2"/>
                  <w14:uncheckedState w14:val="2610" w14:font="MS Gothic"/>
                </w14:checkbox>
              </w:sdtPr>
              <w:sdtContent>
                <w:r w:rsidR="00445131">
                  <w:rPr>
                    <w:rFonts w:asciiTheme="minorEastAsia" w:eastAsiaTheme="minorEastAsia" w:hAnsiTheme="minorEastAsia" w:cs="宋体" w:hint="eastAsia"/>
                    <w:sz w:val="24"/>
                    <w:szCs w:val="24"/>
                  </w:rPr>
                  <w:sym w:font="Wingdings 2" w:char="F052"/>
                </w:r>
              </w:sdtContent>
            </w:sdt>
            <w:r w:rsidRPr="00445131">
              <w:rPr>
                <w:rFonts w:asciiTheme="minorEastAsia" w:eastAsiaTheme="minorEastAsia" w:hAnsiTheme="minorEastAsia" w:cs="宋体" w:hint="eastAsia"/>
                <w:sz w:val="24"/>
                <w:szCs w:val="24"/>
              </w:rPr>
              <w:t>业</w:t>
            </w:r>
            <w:r w:rsidRPr="00445131">
              <w:rPr>
                <w:rFonts w:asciiTheme="minorEastAsia" w:eastAsiaTheme="minorEastAsia" w:hAnsiTheme="minorEastAsia" w:cs="宋体" w:hint="eastAsia"/>
                <w:spacing w:val="-3"/>
                <w:sz w:val="24"/>
                <w:szCs w:val="24"/>
              </w:rPr>
              <w:t>绩</w:t>
            </w:r>
            <w:r w:rsidRPr="00445131">
              <w:rPr>
                <w:rFonts w:asciiTheme="minorEastAsia" w:eastAsiaTheme="minorEastAsia" w:hAnsiTheme="minorEastAsia" w:cs="宋体" w:hint="eastAsia"/>
                <w:sz w:val="24"/>
                <w:szCs w:val="24"/>
              </w:rPr>
              <w:t>说</w:t>
            </w:r>
            <w:r w:rsidRPr="00445131">
              <w:rPr>
                <w:rFonts w:asciiTheme="minorEastAsia" w:eastAsiaTheme="minorEastAsia" w:hAnsiTheme="minorEastAsia" w:cs="宋体" w:hint="eastAsia"/>
                <w:spacing w:val="-3"/>
                <w:sz w:val="24"/>
                <w:szCs w:val="24"/>
              </w:rPr>
              <w:t>明</w:t>
            </w:r>
            <w:r w:rsidRPr="00445131">
              <w:rPr>
                <w:rFonts w:asciiTheme="minorEastAsia" w:eastAsiaTheme="minorEastAsia" w:hAnsiTheme="minorEastAsia" w:cs="宋体" w:hint="eastAsia"/>
                <w:sz w:val="24"/>
                <w:szCs w:val="24"/>
              </w:rPr>
              <w:t>会</w:t>
            </w:r>
          </w:p>
          <w:p w14:paraId="6C346382" w14:textId="77777777" w:rsidR="00711300" w:rsidRPr="00445131" w:rsidRDefault="00711300">
            <w:pPr>
              <w:pStyle w:val="TableParagraph"/>
              <w:spacing w:before="8"/>
              <w:rPr>
                <w:rFonts w:asciiTheme="minorEastAsia" w:eastAsiaTheme="minorEastAsia" w:hAnsiTheme="minorEastAsia" w:cs="宋体"/>
                <w:sz w:val="24"/>
                <w:szCs w:val="24"/>
              </w:rPr>
            </w:pPr>
          </w:p>
          <w:p w14:paraId="30DA5D4D" w14:textId="77777777" w:rsidR="00711300" w:rsidRPr="00445131" w:rsidRDefault="00000000">
            <w:pPr>
              <w:pStyle w:val="TableParagraph"/>
              <w:tabs>
                <w:tab w:val="left" w:pos="2418"/>
              </w:tabs>
              <w:ind w:left="107"/>
              <w:rPr>
                <w:rFonts w:asciiTheme="minorEastAsia" w:eastAsiaTheme="minorEastAsia" w:hAnsiTheme="minorEastAsia" w:cs="宋体"/>
                <w:sz w:val="24"/>
                <w:szCs w:val="24"/>
              </w:rPr>
            </w:pPr>
            <w:sdt>
              <w:sdtPr>
                <w:rPr>
                  <w:rFonts w:asciiTheme="minorEastAsia" w:eastAsiaTheme="minorEastAsia" w:hAnsiTheme="minorEastAsia" w:cs="宋体" w:hint="eastAsia"/>
                  <w:sz w:val="24"/>
                  <w:szCs w:val="24"/>
                </w:rPr>
                <w:id w:val="-1848167434"/>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新</w:t>
            </w:r>
            <w:r w:rsidRPr="00445131">
              <w:rPr>
                <w:rFonts w:asciiTheme="minorEastAsia" w:eastAsiaTheme="minorEastAsia" w:hAnsiTheme="minorEastAsia" w:cs="宋体" w:hint="eastAsia"/>
                <w:spacing w:val="-3"/>
                <w:sz w:val="24"/>
                <w:szCs w:val="24"/>
              </w:rPr>
              <w:t>闻</w:t>
            </w:r>
            <w:r w:rsidRPr="00445131">
              <w:rPr>
                <w:rFonts w:asciiTheme="minorEastAsia" w:eastAsiaTheme="minorEastAsia" w:hAnsiTheme="minorEastAsia" w:cs="宋体" w:hint="eastAsia"/>
                <w:sz w:val="24"/>
                <w:szCs w:val="24"/>
              </w:rPr>
              <w:t>发</w:t>
            </w:r>
            <w:r w:rsidRPr="00445131">
              <w:rPr>
                <w:rFonts w:asciiTheme="minorEastAsia" w:eastAsiaTheme="minorEastAsia" w:hAnsiTheme="minorEastAsia" w:cs="宋体" w:hint="eastAsia"/>
                <w:spacing w:val="-3"/>
                <w:sz w:val="24"/>
                <w:szCs w:val="24"/>
              </w:rPr>
              <w:t>布</w:t>
            </w:r>
            <w:r w:rsidRPr="00445131">
              <w:rPr>
                <w:rFonts w:asciiTheme="minorEastAsia" w:eastAsiaTheme="minorEastAsia" w:hAnsiTheme="minorEastAsia" w:cs="宋体" w:hint="eastAsia"/>
                <w:sz w:val="24"/>
                <w:szCs w:val="24"/>
              </w:rPr>
              <w:t>会</w:t>
            </w:r>
            <w:r w:rsidRPr="00445131">
              <w:rPr>
                <w:rFonts w:asciiTheme="minorEastAsia" w:eastAsiaTheme="minorEastAsia" w:hAnsiTheme="minorEastAsia" w:cs="宋体" w:hint="eastAsia"/>
                <w:sz w:val="24"/>
                <w:szCs w:val="24"/>
              </w:rPr>
              <w:tab/>
            </w:r>
            <w:sdt>
              <w:sdtPr>
                <w:rPr>
                  <w:rFonts w:asciiTheme="minorEastAsia" w:eastAsiaTheme="minorEastAsia" w:hAnsiTheme="minorEastAsia" w:cs="宋体" w:hint="eastAsia"/>
                  <w:sz w:val="24"/>
                  <w:szCs w:val="24"/>
                </w:rPr>
                <w:id w:val="412049691"/>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路</w:t>
            </w:r>
            <w:r w:rsidRPr="00445131">
              <w:rPr>
                <w:rFonts w:asciiTheme="minorEastAsia" w:eastAsiaTheme="minorEastAsia" w:hAnsiTheme="minorEastAsia" w:cs="宋体" w:hint="eastAsia"/>
                <w:spacing w:val="-3"/>
                <w:sz w:val="24"/>
                <w:szCs w:val="24"/>
              </w:rPr>
              <w:t>演</w:t>
            </w:r>
            <w:r w:rsidRPr="00445131">
              <w:rPr>
                <w:rFonts w:asciiTheme="minorEastAsia" w:eastAsiaTheme="minorEastAsia" w:hAnsiTheme="minorEastAsia" w:cs="宋体" w:hint="eastAsia"/>
                <w:sz w:val="24"/>
                <w:szCs w:val="24"/>
              </w:rPr>
              <w:t>活动</w:t>
            </w:r>
          </w:p>
          <w:p w14:paraId="443A1C2D" w14:textId="77777777" w:rsidR="00711300" w:rsidRPr="00445131" w:rsidRDefault="00711300">
            <w:pPr>
              <w:pStyle w:val="TableParagraph"/>
              <w:spacing w:before="8"/>
              <w:rPr>
                <w:rFonts w:asciiTheme="minorEastAsia" w:eastAsiaTheme="minorEastAsia" w:hAnsiTheme="minorEastAsia" w:cs="宋体"/>
                <w:sz w:val="24"/>
                <w:szCs w:val="24"/>
              </w:rPr>
            </w:pPr>
          </w:p>
          <w:p w14:paraId="0457D5F3" w14:textId="77777777" w:rsidR="00711300" w:rsidRPr="00445131" w:rsidRDefault="00000000">
            <w:pPr>
              <w:pStyle w:val="TableParagraph"/>
              <w:ind w:left="107"/>
              <w:rPr>
                <w:rFonts w:asciiTheme="minorEastAsia" w:eastAsiaTheme="minorEastAsia" w:hAnsiTheme="minorEastAsia" w:cs="宋体"/>
                <w:sz w:val="24"/>
                <w:szCs w:val="24"/>
              </w:rPr>
            </w:pPr>
            <w:sdt>
              <w:sdtPr>
                <w:rPr>
                  <w:rFonts w:asciiTheme="minorEastAsia" w:eastAsiaTheme="minorEastAsia" w:hAnsiTheme="minorEastAsia" w:cs="宋体" w:hint="eastAsia"/>
                  <w:sz w:val="24"/>
                  <w:szCs w:val="24"/>
                </w:rPr>
                <w:id w:val="-1333366911"/>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现场参观</w:t>
            </w:r>
          </w:p>
          <w:p w14:paraId="38B77876" w14:textId="77777777" w:rsidR="00711300" w:rsidRPr="00445131" w:rsidRDefault="00711300">
            <w:pPr>
              <w:pStyle w:val="TableParagraph"/>
              <w:spacing w:before="11"/>
              <w:rPr>
                <w:rFonts w:asciiTheme="minorEastAsia" w:eastAsiaTheme="minorEastAsia" w:hAnsiTheme="minorEastAsia" w:cs="宋体"/>
                <w:sz w:val="24"/>
                <w:szCs w:val="24"/>
              </w:rPr>
            </w:pPr>
          </w:p>
          <w:p w14:paraId="71950EA5" w14:textId="77777777" w:rsidR="00711300" w:rsidRPr="00445131" w:rsidRDefault="00000000">
            <w:pPr>
              <w:pStyle w:val="TableParagraph"/>
              <w:ind w:left="107"/>
              <w:rPr>
                <w:rFonts w:asciiTheme="minorEastAsia" w:eastAsiaTheme="minorEastAsia" w:hAnsiTheme="minorEastAsia" w:cs="宋体"/>
                <w:sz w:val="24"/>
                <w:szCs w:val="24"/>
              </w:rPr>
            </w:pPr>
            <w:sdt>
              <w:sdtPr>
                <w:rPr>
                  <w:rFonts w:asciiTheme="minorEastAsia" w:eastAsiaTheme="minorEastAsia" w:hAnsiTheme="minorEastAsia" w:cs="宋体" w:hint="eastAsia"/>
                  <w:sz w:val="24"/>
                  <w:szCs w:val="24"/>
                </w:rPr>
                <w:id w:val="400885218"/>
                <w14:checkbox>
                  <w14:checked w14:val="0"/>
                  <w14:checkedState w14:val="0052" w14:font="Wingdings 2"/>
                  <w14:uncheckedState w14:val="2610" w14:font="MS Gothic"/>
                </w14:checkbox>
              </w:sdtPr>
              <w:sdtContent>
                <w:r w:rsidRPr="00445131">
                  <w:rPr>
                    <w:rFonts w:ascii="Segoe UI Symbol" w:eastAsiaTheme="minorEastAsia" w:hAnsi="Segoe UI Symbol" w:cs="Segoe UI Symbol"/>
                    <w:sz w:val="24"/>
                    <w:szCs w:val="24"/>
                  </w:rPr>
                  <w:t>☐</w:t>
                </w:r>
              </w:sdtContent>
            </w:sdt>
            <w:r w:rsidRPr="00445131">
              <w:rPr>
                <w:rFonts w:asciiTheme="minorEastAsia" w:eastAsiaTheme="minorEastAsia" w:hAnsiTheme="minorEastAsia" w:cs="宋体" w:hint="eastAsia"/>
                <w:sz w:val="24"/>
                <w:szCs w:val="24"/>
              </w:rPr>
              <w:t>其他（</w:t>
            </w:r>
            <w:r w:rsidRPr="00445131">
              <w:rPr>
                <w:rFonts w:asciiTheme="minorEastAsia" w:eastAsiaTheme="minorEastAsia" w:hAnsiTheme="minorEastAsia" w:cs="宋体" w:hint="eastAsia"/>
                <w:sz w:val="24"/>
                <w:szCs w:val="24"/>
                <w:u w:val="single"/>
              </w:rPr>
              <w:t>请文字说明其他活动内容）</w:t>
            </w:r>
          </w:p>
        </w:tc>
      </w:tr>
      <w:tr w:rsidR="00711300" w:rsidRPr="00445131" w14:paraId="753B5F4C" w14:textId="77777777" w:rsidTr="00445131">
        <w:trPr>
          <w:trHeight w:val="1120"/>
          <w:jc w:val="center"/>
        </w:trPr>
        <w:tc>
          <w:tcPr>
            <w:tcW w:w="1555" w:type="dxa"/>
            <w:vAlign w:val="center"/>
          </w:tcPr>
          <w:p w14:paraId="3CD22C6A" w14:textId="77777777" w:rsidR="00711300" w:rsidRPr="00445131" w:rsidRDefault="00000000">
            <w:pPr>
              <w:pStyle w:val="TableParagraph"/>
              <w:spacing w:line="560" w:lineRule="exact"/>
              <w:ind w:left="107" w:right="96"/>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t>参与单位名称及人员姓名</w:t>
            </w:r>
          </w:p>
        </w:tc>
        <w:tc>
          <w:tcPr>
            <w:tcW w:w="6970" w:type="dxa"/>
            <w:vAlign w:val="center"/>
          </w:tcPr>
          <w:p w14:paraId="65FEA636" w14:textId="50F5398F" w:rsidR="00711300" w:rsidRPr="00445131" w:rsidRDefault="00A631C0">
            <w:pPr>
              <w:pStyle w:val="TableParagraph"/>
              <w:spacing w:before="100" w:beforeAutospacing="1" w:line="360" w:lineRule="auto"/>
              <w:rPr>
                <w:rFonts w:asciiTheme="minorEastAsia" w:eastAsiaTheme="minorEastAsia" w:hAnsiTheme="minorEastAsia" w:cs="宋体"/>
                <w:sz w:val="24"/>
                <w:szCs w:val="24"/>
              </w:rPr>
            </w:pPr>
            <w:r w:rsidRPr="00445131">
              <w:rPr>
                <w:rFonts w:asciiTheme="minorEastAsia" w:eastAsiaTheme="minorEastAsia" w:hAnsiTheme="minorEastAsia" w:cs="宋体" w:hint="eastAsia"/>
                <w:sz w:val="24"/>
                <w:szCs w:val="24"/>
              </w:rPr>
              <w:t>线上参与公司</w:t>
            </w:r>
            <w:r w:rsidRPr="00445131">
              <w:rPr>
                <w:rFonts w:asciiTheme="minorEastAsia" w:eastAsiaTheme="minorEastAsia" w:hAnsiTheme="minorEastAsia" w:cs="宋体"/>
                <w:sz w:val="24"/>
                <w:szCs w:val="24"/>
              </w:rPr>
              <w:t>2023年半年度业绩说明会</w:t>
            </w:r>
            <w:r w:rsidRPr="00445131">
              <w:rPr>
                <w:rFonts w:asciiTheme="minorEastAsia" w:eastAsiaTheme="minorEastAsia" w:hAnsiTheme="minorEastAsia" w:cs="宋体" w:hint="eastAsia"/>
                <w:sz w:val="24"/>
                <w:szCs w:val="24"/>
              </w:rPr>
              <w:t>的投资者</w:t>
            </w:r>
          </w:p>
        </w:tc>
      </w:tr>
      <w:tr w:rsidR="00711300" w:rsidRPr="00445131" w14:paraId="2D0BE6EF" w14:textId="77777777" w:rsidTr="00445131">
        <w:trPr>
          <w:trHeight w:val="558"/>
          <w:jc w:val="center"/>
        </w:trPr>
        <w:tc>
          <w:tcPr>
            <w:tcW w:w="1555" w:type="dxa"/>
            <w:vAlign w:val="center"/>
          </w:tcPr>
          <w:p w14:paraId="01C3E637" w14:textId="77777777" w:rsidR="00711300" w:rsidRPr="00445131" w:rsidRDefault="00000000">
            <w:pPr>
              <w:pStyle w:val="TableParagraph"/>
              <w:ind w:left="107"/>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t>时间</w:t>
            </w:r>
          </w:p>
        </w:tc>
        <w:tc>
          <w:tcPr>
            <w:tcW w:w="6970" w:type="dxa"/>
            <w:vAlign w:val="center"/>
          </w:tcPr>
          <w:p w14:paraId="53638C58" w14:textId="77777777" w:rsidR="00711300" w:rsidRPr="00445131" w:rsidRDefault="00000000">
            <w:pPr>
              <w:spacing w:before="100" w:beforeAutospacing="1" w:line="360" w:lineRule="auto"/>
              <w:rPr>
                <w:rFonts w:asciiTheme="minorEastAsia" w:eastAsiaTheme="minorEastAsia" w:hAnsiTheme="minorEastAsia"/>
                <w:sz w:val="24"/>
                <w:szCs w:val="24"/>
              </w:rPr>
            </w:pPr>
            <w:r w:rsidRPr="00445131">
              <w:rPr>
                <w:rFonts w:asciiTheme="minorEastAsia" w:eastAsiaTheme="minorEastAsia" w:hAnsiTheme="minorEastAsia" w:cstheme="minorEastAsia" w:hint="eastAsia"/>
                <w:sz w:val="24"/>
                <w:szCs w:val="24"/>
              </w:rPr>
              <w:t>2023年09月05日 15:00-16:00</w:t>
            </w:r>
          </w:p>
        </w:tc>
      </w:tr>
      <w:tr w:rsidR="00711300" w:rsidRPr="00445131" w14:paraId="1079201F" w14:textId="77777777" w:rsidTr="00445131">
        <w:trPr>
          <w:trHeight w:val="561"/>
          <w:jc w:val="center"/>
        </w:trPr>
        <w:tc>
          <w:tcPr>
            <w:tcW w:w="1555" w:type="dxa"/>
            <w:vAlign w:val="center"/>
          </w:tcPr>
          <w:p w14:paraId="3CA73CEF" w14:textId="77777777" w:rsidR="00711300" w:rsidRPr="00445131" w:rsidRDefault="00000000">
            <w:pPr>
              <w:pStyle w:val="TableParagraph"/>
              <w:ind w:left="107"/>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t>地点</w:t>
            </w:r>
          </w:p>
        </w:tc>
        <w:tc>
          <w:tcPr>
            <w:tcW w:w="6970" w:type="dxa"/>
            <w:vAlign w:val="center"/>
          </w:tcPr>
          <w:p w14:paraId="76D97C0E" w14:textId="221F0A2F" w:rsidR="00711300" w:rsidRPr="00445131" w:rsidRDefault="00000000">
            <w:pPr>
              <w:pStyle w:val="TableParagraph"/>
              <w:spacing w:before="100" w:beforeAutospacing="1" w:line="360" w:lineRule="auto"/>
              <w:rPr>
                <w:rFonts w:asciiTheme="minorEastAsia" w:eastAsiaTheme="minorEastAsia" w:hAnsiTheme="minorEastAsia" w:cs="宋体"/>
                <w:sz w:val="24"/>
                <w:szCs w:val="24"/>
              </w:rPr>
            </w:pPr>
            <w:r w:rsidRPr="00445131">
              <w:rPr>
                <w:rFonts w:asciiTheme="minorEastAsia" w:eastAsiaTheme="minorEastAsia" w:hAnsiTheme="minorEastAsia" w:cs="宋体"/>
                <w:sz w:val="24"/>
                <w:szCs w:val="24"/>
              </w:rPr>
              <w:t>价值在线（https://www.ir-online.cn/）</w:t>
            </w:r>
          </w:p>
        </w:tc>
      </w:tr>
      <w:tr w:rsidR="00711300" w:rsidRPr="00445131" w14:paraId="7AA5FBD5" w14:textId="77777777" w:rsidTr="00445131">
        <w:trPr>
          <w:trHeight w:val="558"/>
          <w:jc w:val="center"/>
        </w:trPr>
        <w:tc>
          <w:tcPr>
            <w:tcW w:w="1555" w:type="dxa"/>
            <w:vAlign w:val="center"/>
          </w:tcPr>
          <w:p w14:paraId="11D202A2" w14:textId="77777777" w:rsidR="00711300" w:rsidRPr="00445131" w:rsidRDefault="00000000">
            <w:pPr>
              <w:pStyle w:val="TableParagraph"/>
              <w:spacing w:before="1"/>
              <w:ind w:left="107"/>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t>上市公司接待人员姓名</w:t>
            </w:r>
          </w:p>
        </w:tc>
        <w:tc>
          <w:tcPr>
            <w:tcW w:w="6970" w:type="dxa"/>
            <w:vAlign w:val="center"/>
          </w:tcPr>
          <w:p w14:paraId="40BBAB43" w14:textId="77777777" w:rsidR="00711300" w:rsidRPr="00445131" w:rsidRDefault="00000000">
            <w:pPr>
              <w:pStyle w:val="TableParagraph"/>
              <w:spacing w:before="100" w:beforeAutospacing="1" w:line="360" w:lineRule="auto"/>
              <w:rPr>
                <w:rFonts w:asciiTheme="minorEastAsia" w:eastAsiaTheme="minorEastAsia" w:hAnsiTheme="minorEastAsia" w:cs="宋体"/>
                <w:sz w:val="24"/>
                <w:szCs w:val="24"/>
              </w:rPr>
            </w:pPr>
            <w:r w:rsidRPr="00445131">
              <w:rPr>
                <w:rFonts w:asciiTheme="minorEastAsia" w:eastAsiaTheme="minorEastAsia" w:hAnsiTheme="minorEastAsia" w:cs="宋体"/>
                <w:sz w:val="24"/>
                <w:szCs w:val="24"/>
              </w:rPr>
              <w:t>总经理 林茂先生</w:t>
            </w:r>
            <w:r w:rsidRPr="00445131">
              <w:rPr>
                <w:rFonts w:asciiTheme="minorEastAsia" w:eastAsiaTheme="minorEastAsia" w:hAnsiTheme="minorEastAsia" w:cs="宋体"/>
                <w:sz w:val="24"/>
                <w:szCs w:val="24"/>
              </w:rPr>
              <w:br/>
              <w:t>独立董事 林涛先生</w:t>
            </w:r>
            <w:r w:rsidRPr="00445131">
              <w:rPr>
                <w:rFonts w:asciiTheme="minorEastAsia" w:eastAsiaTheme="minorEastAsia" w:hAnsiTheme="minorEastAsia" w:cs="宋体"/>
                <w:sz w:val="24"/>
                <w:szCs w:val="24"/>
              </w:rPr>
              <w:br/>
              <w:t>副总经理兼董事会秘书 江桂芝女士</w:t>
            </w:r>
            <w:r w:rsidRPr="00445131">
              <w:rPr>
                <w:rFonts w:asciiTheme="minorEastAsia" w:eastAsiaTheme="minorEastAsia" w:hAnsiTheme="minorEastAsia" w:cs="宋体"/>
                <w:sz w:val="24"/>
                <w:szCs w:val="24"/>
              </w:rPr>
              <w:br/>
              <w:t>财务总监 魏卓女士</w:t>
            </w:r>
          </w:p>
        </w:tc>
      </w:tr>
      <w:tr w:rsidR="00711300" w:rsidRPr="00445131" w14:paraId="39960879" w14:textId="77777777" w:rsidTr="00445131">
        <w:trPr>
          <w:trHeight w:val="2800"/>
          <w:jc w:val="center"/>
        </w:trPr>
        <w:tc>
          <w:tcPr>
            <w:tcW w:w="1555" w:type="dxa"/>
            <w:vAlign w:val="center"/>
          </w:tcPr>
          <w:p w14:paraId="4CBB1A0E" w14:textId="77777777" w:rsidR="00711300" w:rsidRPr="00445131" w:rsidRDefault="00711300">
            <w:pPr>
              <w:pStyle w:val="TableParagraph"/>
              <w:rPr>
                <w:rFonts w:asciiTheme="minorEastAsia" w:eastAsiaTheme="minorEastAsia" w:hAnsiTheme="minorEastAsia" w:cs="宋体"/>
                <w:b/>
                <w:bCs/>
                <w:sz w:val="24"/>
                <w:szCs w:val="24"/>
              </w:rPr>
            </w:pPr>
          </w:p>
          <w:p w14:paraId="40E378B5" w14:textId="77777777" w:rsidR="00711300" w:rsidRPr="00445131" w:rsidRDefault="00711300">
            <w:pPr>
              <w:pStyle w:val="TableParagraph"/>
              <w:rPr>
                <w:rFonts w:asciiTheme="minorEastAsia" w:eastAsiaTheme="minorEastAsia" w:hAnsiTheme="minorEastAsia" w:cs="宋体"/>
                <w:b/>
                <w:bCs/>
                <w:sz w:val="24"/>
                <w:szCs w:val="24"/>
              </w:rPr>
            </w:pPr>
          </w:p>
          <w:p w14:paraId="719A87A0" w14:textId="77777777" w:rsidR="00711300" w:rsidRPr="00445131" w:rsidRDefault="00711300">
            <w:pPr>
              <w:pStyle w:val="TableParagraph"/>
              <w:spacing w:before="5"/>
              <w:rPr>
                <w:rFonts w:asciiTheme="minorEastAsia" w:eastAsiaTheme="minorEastAsia" w:hAnsiTheme="minorEastAsia" w:cs="宋体"/>
                <w:b/>
                <w:bCs/>
                <w:sz w:val="24"/>
                <w:szCs w:val="24"/>
              </w:rPr>
            </w:pPr>
          </w:p>
          <w:p w14:paraId="5051F717" w14:textId="77777777" w:rsidR="00711300" w:rsidRPr="00445131" w:rsidRDefault="00000000">
            <w:pPr>
              <w:pStyle w:val="TableParagraph"/>
              <w:spacing w:before="1" w:line="499" w:lineRule="auto"/>
              <w:ind w:left="107" w:right="96"/>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t>投资者关系活动主要内容介绍</w:t>
            </w:r>
          </w:p>
        </w:tc>
        <w:tc>
          <w:tcPr>
            <w:tcW w:w="6970" w:type="dxa"/>
          </w:tcPr>
          <w:p w14:paraId="17D5842B"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请问公司在供应链运营业务的国际化战略面临了怎么样的市场机遇？公司上半年国际化进展如何？</w:t>
            </w:r>
          </w:p>
          <w:p w14:paraId="1604D88A" w14:textId="77777777" w:rsidR="00ED1BCC"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近年来，我国推进建设自由贸易区、提出“一带一路”倡议、签署RCEP协议，逐步构建国内国际双循环的新发展格局。在此背景下，中国企业纷纷“走出去”，加大对海外市场的开拓力度，自2015年“一带一路”倡议以来，2015-2022年，我国对“一带一路”沿线国家投资金额年均复合增速为5.13%。借鉴日本发展经验，其本土企业海外扩张离不开五大综合商社（三菱商</w:t>
            </w:r>
            <w:r w:rsidRPr="00347DAA">
              <w:rPr>
                <w:rFonts w:ascii="宋体" w:eastAsia="宋体" w:hAnsi="宋体" w:cs="宋体"/>
                <w:kern w:val="2"/>
                <w:sz w:val="24"/>
                <w:szCs w:val="24"/>
                <w:lang w:val="en-US" w:bidi="ar-SA"/>
              </w:rPr>
              <w:lastRenderedPageBreak/>
              <w:t xml:space="preserve">事、伊藤忠、三井物产、住友商事、日本丸红）的同步全球拓展，为其在物流、资金流、信息流、商务流等方面提供有力支持。中国企业的对外贸易和海外投资过程中，催生了物资的采购、加工及跨境物流、信息服务、电子商务等增值服务需求，国内供应链行业企业（尤其是龙头企业）凭借在行业内多年沉淀的经验及海外客户资源，能为中国企业的海外事业提供高效、安全且自主可控的解决方案。因此，中国企业的“走出去”加速供应链行业企业进行国际化布局，为国内供应链行业带来发展新机遇。 </w:t>
            </w:r>
          </w:p>
          <w:p w14:paraId="753C1C64" w14:textId="3A16C15D" w:rsidR="00347DAA" w:rsidRPr="00347DAA" w:rsidRDefault="00347DAA" w:rsidP="00ED1BCC">
            <w:pPr>
              <w:autoSpaceDE/>
              <w:autoSpaceDN/>
              <w:spacing w:line="360" w:lineRule="auto"/>
              <w:ind w:firstLineChars="200" w:firstLine="480"/>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2023年上半年，公司实现进出口和国际业务总额超198亿美元，同比增速近7%，占供应链运营业务的比重近41%。截至2023年6月末，公司已在RCEP成员国、金砖国家及“一带一路”沿线国家设立了超30个海外公司和办事处，与60余个“一带一路”沿线国家建立贸易合作关系。2023年上半年，公司与“一带一路”沿线国家的贸易规模超过 600亿元，同比增长超40%。</w:t>
            </w:r>
          </w:p>
          <w:p w14:paraId="6B4CE9D7"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00B3C9C1"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公司上半年供应链业务发展怎么样，业务体量是否有所增长？</w:t>
            </w:r>
          </w:p>
          <w:p w14:paraId="0C4FB347"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上半年公司供应链运营业务的核心品类继续保持了专业优势，业务规模持续提升，在震荡的市场环境中进一步提高了市场占有率和竞争力。2023年上半年，公司经营的黑色、有色金属、矿产品、农产品、浆纸、能化产品等主要大宗商品的经营货量超9,700万吨，同比增速超11%，多个核心品类继续保持行业领先地位。其中：钢材经营货量近3,000万吨，同比增长超22%；农产品经营货量超1,500万吨，同比增长近7%；纸浆、纸张合计经营货量超720万吨，同比增长近19%。</w:t>
            </w:r>
          </w:p>
          <w:p w14:paraId="689D6D2E"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7A726080"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hint="eastAsia"/>
                <w:b/>
                <w:kern w:val="2"/>
                <w:sz w:val="24"/>
                <w:szCs w:val="24"/>
                <w:lang w:val="en-US" w:bidi="ar-SA"/>
              </w:rPr>
              <w:t>公司房地产业务上半年销售情况如何？公司如何看待近期房地产政策频出的影响？公司经营目标有变化吗？</w:t>
            </w:r>
          </w:p>
          <w:p w14:paraId="10ED0E7B"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lastRenderedPageBreak/>
              <w:t>答：2023年上半年，子公司建发房产和联发集团合计实现合同销售金额1,244亿元，同比增长51%，在一二线城市的权益销售金额占比近84%。根据克而瑞研究中心发布的数据，子公司建发房产上半年销售金额位列全国第9位，联发集团位列第26位。近期各地陆续在出台一些政策，包括认房不认贷、降低贷款利率和首付比例等，对需求预期的改善有一定帮助。在经营战略上，公司依然是追求“提升产品与服务的核心竞争力，并不断提升公司的运营管理效率”，追求每年保持有质量的增长。</w:t>
            </w:r>
          </w:p>
          <w:p w14:paraId="71514173"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5548BE87"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此前国家有关部门提出积极推动城中村改造，请问公司是否有该类业务，有哪些项目？</w:t>
            </w:r>
          </w:p>
          <w:p w14:paraId="62C234A8"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在城市更新改造领域，子公司建发房产和联发集团大力响应厦门市委、市政府关于“岛内大提升、岛外大发展”重大战略部署，积极参与城市的改造提升工作，已经参与的旧村改造项目包括“厦门后埔-杭湖旧村改造项目”、“厦门钟宅奋族社区旧村改造项目”、“厦门湖边水库东片区旧改项目”、“厦门黄厝社区城中村改造项目”等。建发房产和联发集团凭借高品质产品、高运营效率获得政府和征迁居民的一致认可。</w:t>
            </w:r>
          </w:p>
          <w:p w14:paraId="4F6AF549"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5550CCB5"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公司上半年地产销售情况很好，上半年的拿地情况如何，待售库存还有多少？</w:t>
            </w:r>
          </w:p>
          <w:p w14:paraId="17CA17C5" w14:textId="77777777" w:rsid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2023年上半年，公司加快拿地节奏，聚焦高能级城市和优质地段，深度挖掘流动性好、有价值的优质标的，不断增强土储安全边际，优化库存结构。2023年上半年，公司以多元化方式获取优质土地52宗，全口径拿地金额合计约721.39亿元，其中一二线城市拿地金额占比超87%，重点在上海、厦门、杭州等地获取多个优质项目。截至6月末，子公司建发国际集团土地储备全口径货值为2,788.03亿元，子公司联发集团土地储备全口径货值为760.19亿元，公司在一、二线城市的土地储备（未售口径）全口</w:t>
            </w:r>
            <w:r w:rsidRPr="00347DAA">
              <w:rPr>
                <w:rFonts w:ascii="宋体" w:eastAsia="宋体" w:hAnsi="宋体" w:cs="宋体"/>
                <w:kern w:val="2"/>
                <w:sz w:val="24"/>
                <w:szCs w:val="24"/>
                <w:lang w:val="en-US" w:bidi="ar-SA"/>
              </w:rPr>
              <w:lastRenderedPageBreak/>
              <w:t>径货值占比超70%，较上年</w:t>
            </w:r>
            <w:r w:rsidRPr="00347DAA">
              <w:rPr>
                <w:rFonts w:ascii="宋体" w:eastAsia="宋体" w:hAnsi="宋体" w:cs="宋体" w:hint="eastAsia"/>
                <w:kern w:val="2"/>
                <w:sz w:val="24"/>
                <w:szCs w:val="24"/>
                <w:lang w:val="en-US" w:bidi="ar-SA"/>
              </w:rPr>
              <w:t>末提高</w:t>
            </w:r>
            <w:r w:rsidRPr="00347DAA">
              <w:rPr>
                <w:rFonts w:ascii="宋体" w:eastAsia="宋体" w:hAnsi="宋体" w:cs="宋体"/>
                <w:kern w:val="2"/>
                <w:sz w:val="24"/>
                <w:szCs w:val="24"/>
                <w:lang w:val="en-US" w:bidi="ar-SA"/>
              </w:rPr>
              <w:t>2.39个百分点。</w:t>
            </w:r>
          </w:p>
          <w:p w14:paraId="4F0AB108"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p>
          <w:p w14:paraId="68364F41" w14:textId="77777777" w:rsidR="00434A93" w:rsidRPr="00347DAA" w:rsidRDefault="00434A93" w:rsidP="00434A93">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公司扣非后归母净利润同比下降幅度大于归母净利润下降幅度，达到 44.81%, 请问具体原因是什么？</w:t>
            </w:r>
          </w:p>
          <w:p w14:paraId="068B582B"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公司“归属于上市公司股东的扣除非经常性损益的净利润”同比下降幅度大于“归属于上市公司股东的净利润”下降幅度，主要系报告期非经常性损益同比增加。公司在经营中合理运用期货套保工具对冲大宗商品价格风险，报告期内公司持有的期货合约公允价值变动损益及处置损益大幅增加，本期金额约为4.98亿元，上年同期金额约为2.47亿元。该损益虽作为非经常性损益列示但与公司经营损益密切相关。</w:t>
            </w:r>
          </w:p>
          <w:p w14:paraId="2AC21E26"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p>
          <w:p w14:paraId="740B57F1" w14:textId="77777777" w:rsidR="00434A93" w:rsidRPr="00347DAA" w:rsidRDefault="00434A93" w:rsidP="00434A93">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你好，看到建发房产半年报的房产利润合计16亿，但净利润仅有20.亿，同时对比港股上市的建发房产半年报业绩也不错，是否可以推断联发地产上半年出现了巨幅亏损呢？</w:t>
            </w:r>
          </w:p>
          <w:p w14:paraId="27B111F5" w14:textId="7239A4F8" w:rsidR="00434A93" w:rsidRDefault="00434A93" w:rsidP="00434A93">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2023年上半年，子公司建发房产合并报表实现归母净利润9.25亿元，扣除永续债利息之后贡献建发股份合并报表归母净利润约3亿元，联发集团上半年基本实现盈亏平衡。联发集团业绩下降的原因主要是：由于受宏观调控政策和土地成本影响，本报告期交房结转收入的部分项目毛利率有所下滑；上年同期处置股票取得收益约0.79亿元，本期无此事项。</w:t>
            </w:r>
          </w:p>
          <w:p w14:paraId="06F1C639" w14:textId="77777777" w:rsidR="00434A93" w:rsidRDefault="00434A93" w:rsidP="00434A93">
            <w:pPr>
              <w:autoSpaceDE/>
              <w:autoSpaceDN/>
              <w:spacing w:line="360" w:lineRule="auto"/>
              <w:rPr>
                <w:rFonts w:ascii="宋体" w:eastAsia="宋体" w:hAnsi="宋体" w:cs="宋体"/>
                <w:kern w:val="2"/>
                <w:sz w:val="24"/>
                <w:szCs w:val="24"/>
                <w:lang w:val="en-US" w:bidi="ar-SA"/>
              </w:rPr>
            </w:pPr>
          </w:p>
          <w:p w14:paraId="1FF2DF37" w14:textId="77777777" w:rsidR="00434A93" w:rsidRPr="00347DAA" w:rsidRDefault="00434A93" w:rsidP="00434A93">
            <w:pPr>
              <w:pStyle w:val="af"/>
              <w:numPr>
                <w:ilvl w:val="0"/>
                <w:numId w:val="1"/>
              </w:numPr>
              <w:autoSpaceDE/>
              <w:autoSpaceDN/>
              <w:spacing w:line="360" w:lineRule="auto"/>
              <w:ind w:firstLineChars="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建发的配股均价如何计算呢？</w:t>
            </w:r>
          </w:p>
          <w:p w14:paraId="4369F68E"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 xml:space="preserve">答:本次配股价格系根据刊登发行公告前市场交易的情况，采用市价折扣法确定配股价格，最终配股价格由董事会或其授权人士根据股东大会的授权，在发行前根据市场情况与保荐机构（主承销商）协商确定。但配股价格乘以公司的配股数量不得超过募集资金总额。举例说明，根据公司目前的配股方案，募资比例为每10 股配售 3.5 股，以目前的股本计算，配股数量为1,051,809,860 </w:t>
            </w:r>
            <w:r w:rsidRPr="00347DAA">
              <w:rPr>
                <w:rFonts w:ascii="宋体" w:eastAsia="宋体" w:hAnsi="宋体" w:cs="宋体"/>
                <w:kern w:val="2"/>
                <w:sz w:val="24"/>
                <w:szCs w:val="24"/>
                <w:lang w:val="en-US" w:bidi="ar-SA"/>
              </w:rPr>
              <w:lastRenderedPageBreak/>
              <w:t>股，假设募集资金总额不超过人民币 778,769.00 万元，则配股价格不超过7.40元/股。具体价格根据发行时的市场情况确定。</w:t>
            </w:r>
          </w:p>
          <w:p w14:paraId="53247A8E"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p>
          <w:p w14:paraId="397E72AD" w14:textId="7698AC4B" w:rsidR="00434A93" w:rsidRPr="00347DAA" w:rsidRDefault="00434A93" w:rsidP="00434A93">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9月4日的有关再融资公告跟之前的有哪些修改？为什么要修改？公司对政府出台的有关破净的公司再融资限制政策怎么理解，有哪些对应措施？有无主动</w:t>
            </w:r>
            <w:r w:rsidR="00ED1BCC">
              <w:rPr>
                <w:rFonts w:ascii="宋体" w:eastAsia="宋体" w:hAnsi="宋体" w:cs="宋体" w:hint="eastAsia"/>
                <w:b/>
                <w:kern w:val="2"/>
                <w:sz w:val="24"/>
                <w:szCs w:val="24"/>
                <w:lang w:val="en-US" w:bidi="ar-SA"/>
              </w:rPr>
              <w:t>应对</w:t>
            </w:r>
            <w:r w:rsidRPr="00347DAA">
              <w:rPr>
                <w:rFonts w:ascii="宋体" w:eastAsia="宋体" w:hAnsi="宋体" w:cs="宋体"/>
                <w:b/>
                <w:kern w:val="2"/>
                <w:sz w:val="24"/>
                <w:szCs w:val="24"/>
                <w:lang w:val="en-US" w:bidi="ar-SA"/>
              </w:rPr>
              <w:t>的措施？</w:t>
            </w:r>
          </w:p>
          <w:p w14:paraId="739BFD0D" w14:textId="02E7C781" w:rsidR="00ED1BCC" w:rsidRDefault="00434A93" w:rsidP="00434A93">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答：（1）9月4日公司公告了配股说明书和问询回复的修订稿。主要修订内容如下：公司持有的小贷公司股权剥离完毕，更新其进展</w:t>
            </w:r>
            <w:r w:rsidR="00ED1BCC">
              <w:rPr>
                <w:rFonts w:ascii="宋体" w:eastAsia="宋体" w:hAnsi="宋体" w:cs="宋体" w:hint="eastAsia"/>
                <w:kern w:val="2"/>
                <w:sz w:val="24"/>
                <w:szCs w:val="24"/>
                <w:lang w:val="en-US" w:bidi="ar-SA"/>
              </w:rPr>
              <w:t>；</w:t>
            </w:r>
            <w:r w:rsidRPr="00347DAA">
              <w:rPr>
                <w:rFonts w:ascii="宋体" w:eastAsia="宋体" w:hAnsi="宋体" w:cs="宋体"/>
                <w:kern w:val="2"/>
                <w:sz w:val="24"/>
                <w:szCs w:val="24"/>
                <w:lang w:val="en-US" w:bidi="ar-SA"/>
              </w:rPr>
              <w:t xml:space="preserve">根据上交所的修订意见，对部分问题的回复内容进行了补充完善。修订过程中配股方案要素并未变化。 </w:t>
            </w:r>
          </w:p>
          <w:p w14:paraId="5900CDF3" w14:textId="77777777" w:rsidR="00ED1BCC" w:rsidRDefault="00434A93" w:rsidP="00ED1BCC">
            <w:pPr>
              <w:autoSpaceDE/>
              <w:autoSpaceDN/>
              <w:spacing w:line="360" w:lineRule="auto"/>
              <w:ind w:firstLineChars="200" w:firstLine="480"/>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2）证监会于8月27日发布的再融资监管安排提到“突出扶优限劣，对于存在破发、破净、经营业绩持续亏损、财务性投资比例偏高等情形的上市公司再融资，适当限制其融资间隔、融资规模”。公司理解政策核心在于“扶优限劣”，而建发股份作为供应链和房地产双主业运营的上市公司，经营业绩良好，持续多年分</w:t>
            </w:r>
            <w:r w:rsidRPr="00347DAA">
              <w:rPr>
                <w:rFonts w:ascii="宋体" w:eastAsia="宋体" w:hAnsi="宋体" w:cs="宋体" w:hint="eastAsia"/>
                <w:kern w:val="2"/>
                <w:sz w:val="24"/>
                <w:szCs w:val="24"/>
                <w:lang w:val="en-US" w:bidi="ar-SA"/>
              </w:rPr>
              <w:t>红，但已近十年未进行再融资，且本次配股融资规模具有相应的必要性及合理性，公司认为并不属于“限劣”的范围。目前公司配股项目持续推进中，公司亦会与监管持续对接和沟通。</w:t>
            </w:r>
            <w:r w:rsidRPr="00347DAA">
              <w:rPr>
                <w:rFonts w:ascii="宋体" w:eastAsia="宋体" w:hAnsi="宋体" w:cs="宋体"/>
                <w:kern w:val="2"/>
                <w:sz w:val="24"/>
                <w:szCs w:val="24"/>
                <w:lang w:val="en-US" w:bidi="ar-SA"/>
              </w:rPr>
              <w:t xml:space="preserve"> </w:t>
            </w:r>
          </w:p>
          <w:p w14:paraId="43022F90" w14:textId="4247D69B" w:rsidR="00434A93" w:rsidRPr="00347DAA" w:rsidRDefault="00434A93" w:rsidP="00ED1BCC">
            <w:pPr>
              <w:autoSpaceDE/>
              <w:autoSpaceDN/>
              <w:spacing w:line="360" w:lineRule="auto"/>
              <w:ind w:firstLineChars="200" w:firstLine="480"/>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3）在应对措施方面，公司认为做好经营管理、实现较好的业绩是市值管理的基础。公司目前经营情况正常，近年来在供应链和房地产板块持续发力，行业地位也得到相应的巩固和提升，发展前景良好。公司管理层将继续做好各项经营管理工作，以良好的业绩回报广大投资者。同时，公司也将加强与投资者沟通和交流，实时传达公司价值，提振投资者信心。</w:t>
            </w:r>
          </w:p>
          <w:p w14:paraId="6E0DED2E" w14:textId="77777777" w:rsidR="00347DAA" w:rsidRDefault="00347DAA" w:rsidP="00347DAA">
            <w:pPr>
              <w:autoSpaceDE/>
              <w:autoSpaceDN/>
              <w:spacing w:line="360" w:lineRule="auto"/>
              <w:rPr>
                <w:rFonts w:ascii="宋体" w:eastAsia="宋体" w:hAnsi="宋体" w:cs="宋体"/>
                <w:kern w:val="2"/>
                <w:sz w:val="24"/>
                <w:szCs w:val="24"/>
                <w:lang w:val="en-US" w:bidi="ar-SA"/>
              </w:rPr>
            </w:pPr>
          </w:p>
          <w:p w14:paraId="64C79F7B" w14:textId="77777777" w:rsidR="00434A93" w:rsidRPr="00347DAA" w:rsidRDefault="00434A93" w:rsidP="00434A93">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公司有没有提高市值，超过净资产价格以便于实施配股计划的措施？</w:t>
            </w:r>
          </w:p>
          <w:p w14:paraId="593E1BEE"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答：公司股价受到宏观经济、市场环境、投资偏好以及市场预期等多方面因素影响。整体来看，公司目前经营情况正常，近年来</w:t>
            </w:r>
            <w:r w:rsidRPr="00347DAA">
              <w:rPr>
                <w:rFonts w:ascii="宋体" w:eastAsia="宋体" w:hAnsi="宋体" w:cs="宋体"/>
                <w:kern w:val="2"/>
                <w:sz w:val="24"/>
                <w:szCs w:val="24"/>
                <w:lang w:val="en-US" w:bidi="ar-SA"/>
              </w:rPr>
              <w:lastRenderedPageBreak/>
              <w:t>在供应链和房地产板块均在持续发力，行业优势地位显著，发展前景良好，且公司一直高度重视投资者回报。我们相信长期来看公司股价势必回归价值。</w:t>
            </w:r>
          </w:p>
          <w:p w14:paraId="3B3E6C25" w14:textId="77777777" w:rsidR="00434A93" w:rsidRDefault="00434A93" w:rsidP="00347DAA">
            <w:pPr>
              <w:autoSpaceDE/>
              <w:autoSpaceDN/>
              <w:spacing w:line="360" w:lineRule="auto"/>
              <w:rPr>
                <w:rFonts w:ascii="宋体" w:eastAsia="宋体" w:hAnsi="宋体" w:cs="宋体"/>
                <w:kern w:val="2"/>
                <w:sz w:val="24"/>
                <w:szCs w:val="24"/>
                <w:lang w:val="en-US" w:bidi="ar-SA"/>
              </w:rPr>
            </w:pPr>
          </w:p>
          <w:p w14:paraId="40FE678F" w14:textId="77777777" w:rsidR="00434A93" w:rsidRPr="00347DAA" w:rsidRDefault="00434A93" w:rsidP="00434A93">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建发股份公告配股用途是非房地产，目前建发股价远远低于净资产，按照最新规定，是不是必须取消当初的配股计划？如果取消，公司现金是不是将面临严重短缺？</w:t>
            </w:r>
          </w:p>
          <w:p w14:paraId="7AD7A96B" w14:textId="77777777" w:rsidR="00434A93" w:rsidRPr="00347DAA" w:rsidRDefault="00434A93" w:rsidP="00434A93">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证监会于8月27日发布的再融资监管安排提到“突出扶优限劣，对于存在破发、破净、经营业绩持续亏损、财务性投资比例偏高等情形的上市公司再融资，适当限制其融资间隔、融资规模”。建发股份作为房地产和供应链双主业运营的上市公司，经营业绩良好，持续多年分红，但已近十年未进行再融资，且本次配股融资规模具有相应的必要性及合理性。目前，公司配股项目处于问询阶段，正常推进中，已于2023年9月4日公告了问询回复的修订稿。后续公司会与监管审核端保持对接和沟通，亦会做好相应的信息披露工作，请大家关注公司公告。此外，公司</w:t>
            </w:r>
            <w:r w:rsidRPr="00347DAA">
              <w:rPr>
                <w:rFonts w:ascii="宋体" w:eastAsia="宋体" w:hAnsi="宋体" w:cs="宋体" w:hint="eastAsia"/>
                <w:kern w:val="2"/>
                <w:sz w:val="24"/>
                <w:szCs w:val="24"/>
                <w:lang w:val="en-US" w:bidi="ar-SA"/>
              </w:rPr>
              <w:t>一贯提前统筹资金的融资及使用安排，后续也会结合配股的进展情况做好相应的资金规划。</w:t>
            </w:r>
          </w:p>
          <w:p w14:paraId="56D24492" w14:textId="77777777" w:rsidR="00434A93" w:rsidRPr="00434A93" w:rsidRDefault="00434A93" w:rsidP="00347DAA">
            <w:pPr>
              <w:autoSpaceDE/>
              <w:autoSpaceDN/>
              <w:spacing w:line="360" w:lineRule="auto"/>
              <w:rPr>
                <w:rFonts w:ascii="宋体" w:eastAsia="宋体" w:hAnsi="宋体" w:cs="宋体"/>
                <w:kern w:val="2"/>
                <w:sz w:val="24"/>
                <w:szCs w:val="24"/>
                <w:lang w:val="en-US" w:bidi="ar-SA"/>
              </w:rPr>
            </w:pPr>
          </w:p>
          <w:p w14:paraId="13B3BABA" w14:textId="77777777" w:rsidR="00ED1BCC"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1、公司收购美凯龙，和建发供应链运营方面的资源整合有些什么方面的规划，特别是和建发家居生活馆方面。</w:t>
            </w:r>
          </w:p>
          <w:p w14:paraId="3EFE9624" w14:textId="10DD452E" w:rsidR="00347DAA" w:rsidRPr="00347DAA" w:rsidRDefault="00347DAA" w:rsidP="00ED1BCC">
            <w:pPr>
              <w:pStyle w:val="af"/>
              <w:autoSpaceDE/>
              <w:autoSpaceDN/>
              <w:spacing w:line="360" w:lineRule="auto"/>
              <w:ind w:firstLine="482"/>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 xml:space="preserve"> 2、注意到中报国新投资增持公司43176560股，同时增持厦门国贸37240673股，是否央企有整合的意图？</w:t>
            </w:r>
          </w:p>
          <w:p w14:paraId="6A9C74E1" w14:textId="77777777" w:rsidR="00ED1BCC"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w:t>
            </w:r>
            <w:r w:rsidR="00ED1BCC">
              <w:rPr>
                <w:rFonts w:ascii="宋体" w:eastAsia="宋体" w:hAnsi="宋体" w:cs="宋体"/>
                <w:kern w:val="2"/>
                <w:sz w:val="24"/>
                <w:szCs w:val="24"/>
                <w:lang w:val="en-US" w:bidi="ar-SA"/>
              </w:rPr>
              <w:t>1</w:t>
            </w:r>
            <w:r w:rsidR="00ED1BCC">
              <w:rPr>
                <w:rFonts w:ascii="宋体" w:eastAsia="宋体" w:hAnsi="宋体" w:cs="宋体" w:hint="eastAsia"/>
                <w:kern w:val="2"/>
                <w:sz w:val="24"/>
                <w:szCs w:val="24"/>
                <w:lang w:val="en-US" w:bidi="ar-SA"/>
              </w:rPr>
              <w:t>、</w:t>
            </w:r>
            <w:r w:rsidRPr="00347DAA">
              <w:rPr>
                <w:rFonts w:ascii="宋体" w:eastAsia="宋体" w:hAnsi="宋体" w:cs="宋体"/>
                <w:kern w:val="2"/>
                <w:sz w:val="24"/>
                <w:szCs w:val="24"/>
                <w:lang w:val="en-US" w:bidi="ar-SA"/>
              </w:rPr>
              <w:t>公司供应链业务正在探索与美凯龙进行多维度的合作。公司旗下消费品集团与美凯龙将加强战略协同，充分发挥建发在全球供应链领域资源整合的能力，以及美凯龙作为家居建材平台的资源整合能力，在合作中提升双方运营效率，创造更大的商业价值。此外，建发汽车集团与红星美凯龙、卡乃驰已签署战略合作协议，就二手车汽车连锁卖场、二手车供应链服务、二手车交易</w:t>
            </w:r>
            <w:r w:rsidRPr="00347DAA">
              <w:rPr>
                <w:rFonts w:ascii="宋体" w:eastAsia="宋体" w:hAnsi="宋体" w:cs="宋体"/>
                <w:kern w:val="2"/>
                <w:sz w:val="24"/>
                <w:szCs w:val="24"/>
                <w:lang w:val="en-US" w:bidi="ar-SA"/>
              </w:rPr>
              <w:lastRenderedPageBreak/>
              <w:t xml:space="preserve">平台等方面展开合作，实现优势互补、协同发展。 </w:t>
            </w:r>
          </w:p>
          <w:p w14:paraId="47D2B80C" w14:textId="1A977E34" w:rsidR="00347DAA" w:rsidRPr="00347DAA" w:rsidRDefault="00ED1BCC" w:rsidP="00ED1BCC">
            <w:pPr>
              <w:autoSpaceDE/>
              <w:autoSpaceDN/>
              <w:spacing w:line="360" w:lineRule="auto"/>
              <w:ind w:firstLineChars="200" w:firstLine="480"/>
              <w:rPr>
                <w:rFonts w:ascii="宋体" w:eastAsia="宋体" w:hAnsi="宋体" w:cs="宋体"/>
                <w:kern w:val="2"/>
                <w:sz w:val="24"/>
                <w:szCs w:val="24"/>
                <w:lang w:val="en-US" w:bidi="ar-SA"/>
              </w:rPr>
            </w:pPr>
            <w:r>
              <w:rPr>
                <w:rFonts w:ascii="宋体" w:eastAsia="宋体" w:hAnsi="宋体" w:cs="宋体"/>
                <w:kern w:val="2"/>
                <w:sz w:val="24"/>
                <w:szCs w:val="24"/>
                <w:lang w:val="en-US" w:bidi="ar-SA"/>
              </w:rPr>
              <w:t>2</w:t>
            </w:r>
            <w:r>
              <w:rPr>
                <w:rFonts w:ascii="宋体" w:eastAsia="宋体" w:hAnsi="宋体" w:cs="宋体" w:hint="eastAsia"/>
                <w:kern w:val="2"/>
                <w:sz w:val="24"/>
                <w:szCs w:val="24"/>
                <w:lang w:val="en-US" w:bidi="ar-SA"/>
              </w:rPr>
              <w:t>、</w:t>
            </w:r>
            <w:r w:rsidR="00347DAA" w:rsidRPr="00347DAA">
              <w:rPr>
                <w:rFonts w:ascii="宋体" w:eastAsia="宋体" w:hAnsi="宋体" w:cs="宋体"/>
                <w:kern w:val="2"/>
                <w:sz w:val="24"/>
                <w:szCs w:val="24"/>
                <w:lang w:val="en-US" w:bidi="ar-SA"/>
              </w:rPr>
              <w:t>截至目前，公司尚未接到有关事项的通知。</w:t>
            </w:r>
          </w:p>
          <w:p w14:paraId="79EB7D72"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5A387D7E"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请问公司半年报美凯龙并表了吗？没有的话什么时候并表？</w:t>
            </w:r>
          </w:p>
          <w:p w14:paraId="44332703"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截至2023年6月30日，由于美凯龙的董事会未完成换届选举，因此建发股份尚未对美凯龙进行并表。2023年8月15日，美凯龙召开2023年第三次临时股东大会和第五届董事会第一次临时会议，完成董事会换届选举，本公司取得美凯龙的控制权。截至8月31日，美凯龙及其控股子公司已纳入本公司合并报表范围。</w:t>
            </w:r>
          </w:p>
          <w:p w14:paraId="796C6891"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4EF471A5"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请问</w:t>
            </w:r>
            <w:r w:rsidRPr="00347DAA">
              <w:rPr>
                <w:rFonts w:ascii="宋体" w:eastAsia="宋体" w:hAnsi="宋体" w:cs="宋体"/>
                <w:b/>
                <w:bCs/>
                <w:kern w:val="2"/>
                <w:sz w:val="24"/>
                <w:szCs w:val="24"/>
                <w:lang w:val="en-US" w:bidi="ar-SA"/>
              </w:rPr>
              <w:t>公司并表美凯龙，是否会产生并购收益？</w:t>
            </w:r>
          </w:p>
          <w:p w14:paraId="12B8A13C"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由于本次收购公司支付的合并成本预计将低于所取得的美凯龙可辨认净资产公允价值的份额，根据《企业会计准则第20号—企业合并》的相关要求，需确认相应的并购收益，实际不会产生现金流入，具体金额以公司2023年第三季度财务报表为准。</w:t>
            </w:r>
          </w:p>
          <w:p w14:paraId="500E298D" w14:textId="77777777" w:rsidR="00347DAA" w:rsidRPr="00347DAA" w:rsidRDefault="00347DAA" w:rsidP="00347DAA">
            <w:pPr>
              <w:autoSpaceDE/>
              <w:autoSpaceDN/>
              <w:spacing w:line="360" w:lineRule="auto"/>
              <w:rPr>
                <w:rFonts w:ascii="宋体" w:eastAsia="宋体" w:hAnsi="宋体" w:cs="宋体"/>
                <w:kern w:val="2"/>
                <w:sz w:val="24"/>
                <w:szCs w:val="24"/>
                <w:lang w:val="en-US" w:bidi="ar-SA"/>
              </w:rPr>
            </w:pPr>
          </w:p>
          <w:p w14:paraId="4A5CED40" w14:textId="77777777" w:rsidR="00347DAA" w:rsidRPr="00347DAA" w:rsidRDefault="00347DAA" w:rsidP="00347DAA">
            <w:pPr>
              <w:pStyle w:val="af"/>
              <w:numPr>
                <w:ilvl w:val="0"/>
                <w:numId w:val="1"/>
              </w:numPr>
              <w:autoSpaceDE/>
              <w:autoSpaceDN/>
              <w:spacing w:line="360" w:lineRule="auto"/>
              <w:ind w:left="0" w:firstLineChars="0" w:firstLine="0"/>
              <w:outlineLvl w:val="0"/>
              <w:rPr>
                <w:rFonts w:ascii="宋体" w:eastAsia="宋体" w:hAnsi="宋体" w:cs="宋体"/>
                <w:b/>
                <w:kern w:val="2"/>
                <w:sz w:val="24"/>
                <w:szCs w:val="24"/>
                <w:lang w:val="en-US" w:bidi="ar-SA"/>
              </w:rPr>
            </w:pPr>
            <w:r w:rsidRPr="00347DAA">
              <w:rPr>
                <w:rFonts w:ascii="宋体" w:eastAsia="宋体" w:hAnsi="宋体" w:cs="宋体"/>
                <w:b/>
                <w:kern w:val="2"/>
                <w:sz w:val="24"/>
                <w:szCs w:val="24"/>
                <w:lang w:val="en-US" w:bidi="ar-SA"/>
              </w:rPr>
              <w:t>公司将美凯龙纳入合并范围，跟红星控股的风险隔离措施有哪些？</w:t>
            </w:r>
          </w:p>
          <w:p w14:paraId="6A0680B9" w14:textId="433F2104" w:rsidR="00347DAA" w:rsidRPr="00347DAA" w:rsidRDefault="00347DAA" w:rsidP="00347DAA">
            <w:pPr>
              <w:autoSpaceDE/>
              <w:autoSpaceDN/>
              <w:spacing w:line="360" w:lineRule="auto"/>
              <w:rPr>
                <w:rFonts w:ascii="宋体" w:eastAsia="宋体" w:hAnsi="宋体" w:cs="宋体"/>
                <w:kern w:val="2"/>
                <w:sz w:val="24"/>
                <w:szCs w:val="24"/>
                <w:lang w:val="en-US" w:bidi="ar-SA"/>
              </w:rPr>
            </w:pPr>
            <w:r w:rsidRPr="00347DAA">
              <w:rPr>
                <w:rFonts w:ascii="宋体" w:eastAsia="宋体" w:hAnsi="宋体" w:cs="宋体"/>
                <w:kern w:val="2"/>
                <w:sz w:val="24"/>
                <w:szCs w:val="24"/>
                <w:lang w:val="en-US" w:bidi="ar-SA"/>
              </w:rPr>
              <w:t>答：美凯龙系A+H上市公司，在资产、人员、财务、机构、业务等方面均已独立于其原控股股东红星控股及其关联方。为进一步做到风险隔离，公司采取的主要措施包括：（1）确保上市公司的三会制度有效运转，明确股东行为的边界，保证红星控股在法律和公司章程范围内行使股东权利</w:t>
            </w:r>
            <w:r w:rsidR="00ED1BCC">
              <w:rPr>
                <w:rFonts w:ascii="宋体" w:eastAsia="宋体" w:hAnsi="宋体" w:cs="宋体" w:hint="eastAsia"/>
                <w:kern w:val="2"/>
                <w:sz w:val="24"/>
                <w:szCs w:val="24"/>
                <w:lang w:val="en-US" w:bidi="ar-SA"/>
              </w:rPr>
              <w:t>；</w:t>
            </w:r>
            <w:r w:rsidRPr="00347DAA">
              <w:rPr>
                <w:rFonts w:ascii="宋体" w:eastAsia="宋体" w:hAnsi="宋体" w:cs="宋体"/>
                <w:kern w:val="2"/>
                <w:sz w:val="24"/>
                <w:szCs w:val="24"/>
                <w:lang w:val="en-US" w:bidi="ar-SA"/>
              </w:rPr>
              <w:t>（2）美凯龙已建立有资金管理、对外担保相关内控制度，后续将继续确保制度有效执行，与红星控股切实做到风险隔离</w:t>
            </w:r>
            <w:r w:rsidR="00ED1BCC">
              <w:rPr>
                <w:rFonts w:ascii="宋体" w:eastAsia="宋体" w:hAnsi="宋体" w:cs="宋体" w:hint="eastAsia"/>
                <w:kern w:val="2"/>
                <w:sz w:val="24"/>
                <w:szCs w:val="24"/>
                <w:lang w:val="en-US" w:bidi="ar-SA"/>
              </w:rPr>
              <w:t>；</w:t>
            </w:r>
            <w:r w:rsidRPr="00347DAA">
              <w:rPr>
                <w:rFonts w:ascii="宋体" w:eastAsia="宋体" w:hAnsi="宋体" w:cs="宋体"/>
                <w:kern w:val="2"/>
                <w:sz w:val="24"/>
                <w:szCs w:val="24"/>
                <w:lang w:val="en-US" w:bidi="ar-SA"/>
              </w:rPr>
              <w:t>（3）已向美凯龙提名财务负责人，全面参与美凯龙的财务条线的管理，及时掌握财务状况和资金情况。</w:t>
            </w:r>
          </w:p>
          <w:p w14:paraId="738111D5" w14:textId="4CD36B89" w:rsidR="00711300" w:rsidRPr="00347DAA" w:rsidRDefault="00711300" w:rsidP="00347DAA">
            <w:pPr>
              <w:autoSpaceDE/>
              <w:autoSpaceDN/>
              <w:spacing w:line="360" w:lineRule="auto"/>
              <w:rPr>
                <w:rFonts w:ascii="宋体" w:eastAsia="宋体" w:hAnsi="宋体" w:cs="宋体"/>
                <w:kern w:val="2"/>
                <w:sz w:val="24"/>
                <w:szCs w:val="24"/>
                <w:lang w:val="en-US" w:bidi="ar-SA"/>
              </w:rPr>
            </w:pPr>
          </w:p>
        </w:tc>
      </w:tr>
      <w:tr w:rsidR="00711300" w:rsidRPr="00445131" w14:paraId="3307C2EB" w14:textId="77777777" w:rsidTr="00445131">
        <w:trPr>
          <w:trHeight w:val="561"/>
          <w:jc w:val="center"/>
        </w:trPr>
        <w:tc>
          <w:tcPr>
            <w:tcW w:w="1555" w:type="dxa"/>
            <w:vAlign w:val="center"/>
          </w:tcPr>
          <w:p w14:paraId="4BCFD99B" w14:textId="77777777" w:rsidR="00711300" w:rsidRPr="00445131" w:rsidRDefault="00000000">
            <w:pPr>
              <w:pStyle w:val="TableParagraph"/>
              <w:spacing w:before="1"/>
              <w:ind w:left="107"/>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lastRenderedPageBreak/>
              <w:t>附件清单（如有）</w:t>
            </w:r>
          </w:p>
        </w:tc>
        <w:tc>
          <w:tcPr>
            <w:tcW w:w="6970" w:type="dxa"/>
            <w:vAlign w:val="center"/>
          </w:tcPr>
          <w:p w14:paraId="7FDBEC5E" w14:textId="0E71A4F8" w:rsidR="00711300" w:rsidRPr="00445131" w:rsidRDefault="00A631C0">
            <w:pPr>
              <w:pStyle w:val="TableParagraph"/>
              <w:spacing w:before="100" w:beforeAutospacing="1" w:line="360" w:lineRule="auto"/>
              <w:rPr>
                <w:rFonts w:asciiTheme="minorEastAsia" w:eastAsiaTheme="minorEastAsia" w:hAnsiTheme="minorEastAsia" w:cs="宋体"/>
                <w:sz w:val="24"/>
                <w:szCs w:val="24"/>
              </w:rPr>
            </w:pPr>
            <w:r w:rsidRPr="00445131">
              <w:rPr>
                <w:rFonts w:asciiTheme="minorEastAsia" w:eastAsiaTheme="minorEastAsia" w:hAnsiTheme="minorEastAsia" w:cs="宋体" w:hint="eastAsia"/>
                <w:sz w:val="24"/>
                <w:szCs w:val="24"/>
              </w:rPr>
              <w:t>无</w:t>
            </w:r>
          </w:p>
        </w:tc>
      </w:tr>
      <w:tr w:rsidR="00711300" w:rsidRPr="00445131" w14:paraId="50B6877A" w14:textId="77777777" w:rsidTr="00445131">
        <w:trPr>
          <w:trHeight w:val="558"/>
          <w:jc w:val="center"/>
        </w:trPr>
        <w:tc>
          <w:tcPr>
            <w:tcW w:w="1555" w:type="dxa"/>
            <w:vAlign w:val="center"/>
          </w:tcPr>
          <w:p w14:paraId="4BCD7315" w14:textId="77777777" w:rsidR="00711300" w:rsidRPr="00445131" w:rsidRDefault="00000000">
            <w:pPr>
              <w:pStyle w:val="TableParagraph"/>
              <w:spacing w:before="1"/>
              <w:ind w:left="107"/>
              <w:rPr>
                <w:rFonts w:asciiTheme="minorEastAsia" w:eastAsiaTheme="minorEastAsia" w:hAnsiTheme="minorEastAsia" w:cs="宋体"/>
                <w:b/>
                <w:bCs/>
                <w:sz w:val="24"/>
                <w:szCs w:val="24"/>
              </w:rPr>
            </w:pPr>
            <w:r w:rsidRPr="00445131">
              <w:rPr>
                <w:rFonts w:asciiTheme="minorEastAsia" w:eastAsiaTheme="minorEastAsia" w:hAnsiTheme="minorEastAsia" w:cs="宋体" w:hint="eastAsia"/>
                <w:b/>
                <w:bCs/>
                <w:sz w:val="24"/>
                <w:szCs w:val="24"/>
              </w:rPr>
              <w:lastRenderedPageBreak/>
              <w:t>日期</w:t>
            </w:r>
          </w:p>
        </w:tc>
        <w:tc>
          <w:tcPr>
            <w:tcW w:w="6970" w:type="dxa"/>
            <w:vAlign w:val="center"/>
          </w:tcPr>
          <w:p w14:paraId="23C4D1EF" w14:textId="77777777" w:rsidR="00711300" w:rsidRPr="00445131" w:rsidRDefault="00000000">
            <w:pPr>
              <w:pStyle w:val="TableParagraph"/>
              <w:spacing w:before="100" w:beforeAutospacing="1"/>
              <w:rPr>
                <w:rFonts w:asciiTheme="minorEastAsia" w:eastAsiaTheme="minorEastAsia" w:hAnsiTheme="minorEastAsia" w:cs="宋体"/>
                <w:sz w:val="24"/>
                <w:szCs w:val="24"/>
              </w:rPr>
            </w:pPr>
            <w:r w:rsidRPr="00445131">
              <w:rPr>
                <w:rFonts w:asciiTheme="minorEastAsia" w:eastAsiaTheme="minorEastAsia" w:hAnsiTheme="minorEastAsia" w:cs="宋体"/>
                <w:sz w:val="24"/>
                <w:szCs w:val="24"/>
              </w:rPr>
              <w:t>2023年09月05日</w:t>
            </w:r>
          </w:p>
        </w:tc>
      </w:tr>
    </w:tbl>
    <w:p w14:paraId="0578425E" w14:textId="77777777" w:rsidR="00711300" w:rsidRPr="00445131" w:rsidRDefault="00711300">
      <w:pPr>
        <w:rPr>
          <w:rFonts w:asciiTheme="minorEastAsia" w:eastAsiaTheme="minorEastAsia" w:hAnsiTheme="minorEastAsia" w:cs="宋体"/>
          <w:sz w:val="24"/>
          <w:szCs w:val="24"/>
        </w:rPr>
      </w:pPr>
    </w:p>
    <w:sectPr w:rsidR="00711300" w:rsidRPr="00445131">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A220" w14:textId="77777777" w:rsidR="003242D8" w:rsidRDefault="003242D8" w:rsidP="00445131">
      <w:r>
        <w:separator/>
      </w:r>
    </w:p>
  </w:endnote>
  <w:endnote w:type="continuationSeparator" w:id="0">
    <w:p w14:paraId="7D8B3062" w14:textId="77777777" w:rsidR="003242D8" w:rsidRDefault="003242D8" w:rsidP="0044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1FC7" w14:textId="77777777" w:rsidR="003242D8" w:rsidRDefault="003242D8" w:rsidP="00445131">
      <w:r>
        <w:separator/>
      </w:r>
    </w:p>
  </w:footnote>
  <w:footnote w:type="continuationSeparator" w:id="0">
    <w:p w14:paraId="26DE8920" w14:textId="77777777" w:rsidR="003242D8" w:rsidRDefault="003242D8" w:rsidP="0044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4B3"/>
    <w:multiLevelType w:val="hybridMultilevel"/>
    <w:tmpl w:val="4AF4EEC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5496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37CD7"/>
    <w:rsid w:val="00172C24"/>
    <w:rsid w:val="001E59D1"/>
    <w:rsid w:val="001E5EA4"/>
    <w:rsid w:val="002042A7"/>
    <w:rsid w:val="00205911"/>
    <w:rsid w:val="002146AD"/>
    <w:rsid w:val="00275CB6"/>
    <w:rsid w:val="002800B5"/>
    <w:rsid w:val="00295B29"/>
    <w:rsid w:val="002D4073"/>
    <w:rsid w:val="002E7098"/>
    <w:rsid w:val="00301D32"/>
    <w:rsid w:val="00320327"/>
    <w:rsid w:val="003242D8"/>
    <w:rsid w:val="00347DAA"/>
    <w:rsid w:val="00366FAD"/>
    <w:rsid w:val="0037105B"/>
    <w:rsid w:val="003975BA"/>
    <w:rsid w:val="003A74E6"/>
    <w:rsid w:val="003B73DD"/>
    <w:rsid w:val="003D011C"/>
    <w:rsid w:val="004108C7"/>
    <w:rsid w:val="00412DC2"/>
    <w:rsid w:val="00434A93"/>
    <w:rsid w:val="00440041"/>
    <w:rsid w:val="0044513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1300"/>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631C0"/>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21557"/>
    <w:rsid w:val="00D33FBC"/>
    <w:rsid w:val="00D7535C"/>
    <w:rsid w:val="00D76302"/>
    <w:rsid w:val="00DA5CE2"/>
    <w:rsid w:val="00DE10E8"/>
    <w:rsid w:val="00E16FDA"/>
    <w:rsid w:val="00E35F58"/>
    <w:rsid w:val="00E45BD9"/>
    <w:rsid w:val="00E66FFC"/>
    <w:rsid w:val="00E759D6"/>
    <w:rsid w:val="00E84A8C"/>
    <w:rsid w:val="00E976DE"/>
    <w:rsid w:val="00EC0F83"/>
    <w:rsid w:val="00ED1BCC"/>
    <w:rsid w:val="00EE3187"/>
    <w:rsid w:val="00EF499B"/>
    <w:rsid w:val="00F14977"/>
    <w:rsid w:val="00FB366D"/>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55620"/>
  <w15:docId w15:val="{CA6607B4-862A-422E-B9A5-B6F36A26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List Paragraph"/>
    <w:basedOn w:val="a"/>
    <w:uiPriority w:val="99"/>
    <w:unhideWhenUsed/>
    <w:rsid w:val="00347D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许 榕</cp:lastModifiedBy>
  <cp:revision>12</cp:revision>
  <dcterms:created xsi:type="dcterms:W3CDTF">2022-04-12T06:10:00Z</dcterms:created>
  <dcterms:modified xsi:type="dcterms:W3CDTF">2023-09-05T10:01:00Z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