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right"/>
        <w:rPr>
          <w:rFonts w:eastAsia="宋体"/>
        </w:rPr>
      </w:pPr>
      <w:r>
        <w:rPr>
          <w:rFonts w:hint="eastAsia"/>
        </w:rPr>
        <w:t>证券代码：688627</w:t>
      </w:r>
      <w:r>
        <w:t xml:space="preserve"> </w:t>
      </w:r>
      <w:r>
        <w:rPr>
          <w:rFonts w:hint="eastAsia"/>
        </w:rPr>
        <w:t xml:space="preserve">                                    证券简称：精智达            </w:t>
      </w:r>
      <w:r>
        <w:t xml:space="preserve">        </w:t>
      </w:r>
      <w:r>
        <w:rPr>
          <w:rFonts w:hint="eastAsia"/>
        </w:rPr>
        <w:t xml:space="preserve">    </w:t>
      </w:r>
    </w:p>
    <w:p>
      <w:pPr>
        <w:spacing w:line="420" w:lineRule="exact"/>
        <w:jc w:val="center"/>
        <w:rPr>
          <w:rFonts w:ascii="黑体" w:hAnsi="黑体" w:eastAsia="黑体"/>
          <w:b/>
          <w:bCs/>
          <w:sz w:val="32"/>
          <w:szCs w:val="32"/>
        </w:rPr>
      </w:pPr>
    </w:p>
    <w:p>
      <w:pPr>
        <w:spacing w:line="420" w:lineRule="exact"/>
        <w:jc w:val="center"/>
        <w:rPr>
          <w:rFonts w:ascii="黑体" w:hAnsi="黑体" w:eastAsia="黑体"/>
          <w:b/>
          <w:bCs/>
          <w:sz w:val="32"/>
          <w:szCs w:val="32"/>
        </w:rPr>
      </w:pPr>
      <w:r>
        <w:rPr>
          <w:rFonts w:hint="eastAsia" w:ascii="黑体" w:hAnsi="黑体" w:eastAsia="黑体"/>
          <w:b/>
          <w:bCs/>
          <w:sz w:val="32"/>
          <w:szCs w:val="32"/>
        </w:rPr>
        <w:t>深圳精智达技术股份有限公司</w:t>
      </w:r>
    </w:p>
    <w:p>
      <w:pPr>
        <w:spacing w:line="420" w:lineRule="exact"/>
        <w:jc w:val="center"/>
        <w:rPr>
          <w:rFonts w:ascii="黑体" w:hAnsi="黑体" w:eastAsia="黑体"/>
          <w:b/>
          <w:bCs/>
          <w:sz w:val="32"/>
          <w:szCs w:val="32"/>
        </w:rPr>
      </w:pPr>
      <w:r>
        <w:rPr>
          <w:rFonts w:hint="eastAsia" w:ascii="黑体" w:hAnsi="黑体" w:eastAsia="黑体"/>
          <w:b/>
          <w:bCs/>
          <w:sz w:val="32"/>
          <w:szCs w:val="32"/>
        </w:rPr>
        <w:t>投资者关系活动记录表</w:t>
      </w:r>
    </w:p>
    <w:p>
      <w:pPr>
        <w:spacing w:line="420" w:lineRule="exact"/>
        <w:rPr>
          <w:b/>
          <w:bCs/>
        </w:rPr>
      </w:pPr>
      <w:r>
        <w:rPr>
          <w:b/>
          <w:bCs/>
        </w:rPr>
        <w:t xml:space="preserve"> </w:t>
      </w:r>
    </w:p>
    <w:tbl>
      <w:tblPr>
        <w:tblStyle w:val="7"/>
        <w:tblW w:w="8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95"/>
        <w:gridCol w:w="65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95" w:type="dxa"/>
            <w:tcBorders>
              <w:top w:val="single" w:color="auto" w:sz="12" w:space="0"/>
              <w:left w:val="single" w:color="auto" w:sz="12" w:space="0"/>
              <w:bottom w:val="single" w:color="auto" w:sz="6" w:space="0"/>
              <w:right w:val="single" w:color="auto" w:sz="6" w:space="0"/>
            </w:tcBorders>
            <w:vAlign w:val="center"/>
          </w:tcPr>
          <w:p>
            <w:pPr>
              <w:spacing w:line="420" w:lineRule="exact"/>
              <w:jc w:val="center"/>
              <w:rPr>
                <w:b/>
                <w:bCs/>
              </w:rPr>
            </w:pPr>
            <w:r>
              <w:rPr>
                <w:b/>
                <w:bCs/>
              </w:rPr>
              <w:t>投资者关系活动类别</w:t>
            </w:r>
          </w:p>
        </w:tc>
        <w:tc>
          <w:tcPr>
            <w:tcW w:w="6521" w:type="dxa"/>
            <w:tcBorders>
              <w:top w:val="single" w:color="auto" w:sz="12" w:space="0"/>
              <w:left w:val="single" w:color="auto" w:sz="6" w:space="0"/>
              <w:bottom w:val="single" w:color="auto" w:sz="6" w:space="0"/>
              <w:right w:val="single" w:color="auto" w:sz="12" w:space="0"/>
            </w:tcBorders>
            <w:vAlign w:val="center"/>
          </w:tcPr>
          <w:p>
            <w:pPr>
              <w:spacing w:line="420" w:lineRule="exact"/>
              <w:rPr>
                <w:rFonts w:ascii="宋体" w:hAnsi="宋体" w:eastAsia="宋体"/>
              </w:rPr>
            </w:pPr>
            <w:r>
              <w:rPr>
                <w:rFonts w:hint="eastAsia" w:ascii="宋体" w:hAnsi="宋体" w:eastAsia="宋体"/>
              </w:rPr>
              <w:sym w:font="Wingdings 2" w:char="0052"/>
            </w:r>
            <w:r>
              <w:rPr>
                <w:rFonts w:hint="eastAsia" w:ascii="宋体" w:hAnsi="宋体" w:eastAsia="宋体"/>
              </w:rPr>
              <w:t xml:space="preserve"> 特定对象调研        □ 分析师会议</w:t>
            </w:r>
          </w:p>
          <w:p>
            <w:pPr>
              <w:spacing w:line="420" w:lineRule="exact"/>
              <w:rPr>
                <w:rFonts w:ascii="宋体" w:hAnsi="宋体" w:eastAsia="宋体"/>
              </w:rPr>
            </w:pPr>
            <w:r>
              <w:rPr>
                <w:rFonts w:hint="eastAsia" w:ascii="宋体" w:hAnsi="宋体" w:eastAsia="宋体"/>
              </w:rPr>
              <w:t xml:space="preserve">□ 媒体采访            </w:t>
            </w:r>
            <w:r>
              <w:rPr>
                <w:rFonts w:hint="eastAsia" w:ascii="宋体" w:hAnsi="宋体" w:eastAsia="宋体"/>
              </w:rPr>
              <w:sym w:font="Wingdings 2" w:char="00A3"/>
            </w:r>
            <w:r>
              <w:rPr>
                <w:rFonts w:hint="eastAsia" w:ascii="宋体" w:hAnsi="宋体" w:eastAsia="宋体"/>
              </w:rPr>
              <w:t xml:space="preserve"> 业绩说明会</w:t>
            </w:r>
          </w:p>
          <w:p>
            <w:pPr>
              <w:spacing w:line="420" w:lineRule="exact"/>
              <w:rPr>
                <w:rFonts w:ascii="宋体" w:hAnsi="宋体" w:eastAsia="宋体"/>
              </w:rPr>
            </w:pPr>
            <w:r>
              <w:rPr>
                <w:rFonts w:hint="eastAsia" w:ascii="宋体" w:hAnsi="宋体" w:eastAsia="宋体"/>
              </w:rPr>
              <w:t xml:space="preserve">□ 新闻发布会          </w:t>
            </w:r>
            <w:r>
              <w:rPr>
                <w:rFonts w:hint="eastAsia" w:ascii="宋体" w:hAnsi="宋体" w:eastAsia="宋体"/>
              </w:rPr>
              <w:sym w:font="Wingdings 2" w:char="00A3"/>
            </w:r>
            <w:r>
              <w:rPr>
                <w:rFonts w:hint="eastAsia" w:ascii="宋体" w:hAnsi="宋体" w:eastAsia="宋体"/>
              </w:rPr>
              <w:t xml:space="preserve"> 路演活动</w:t>
            </w:r>
          </w:p>
          <w:p>
            <w:pPr>
              <w:tabs>
                <w:tab w:val="center" w:pos="3152"/>
              </w:tabs>
              <w:spacing w:line="420" w:lineRule="exact"/>
              <w:rPr>
                <w:rFonts w:ascii="宋体" w:hAnsi="宋体" w:eastAsia="宋体"/>
              </w:rPr>
            </w:pPr>
            <w:r>
              <w:rPr>
                <w:rFonts w:hint="eastAsia" w:ascii="宋体" w:hAnsi="宋体" w:eastAsia="宋体"/>
              </w:rPr>
              <w:sym w:font="Wingdings 2" w:char="00A3"/>
            </w:r>
            <w:r>
              <w:rPr>
                <w:rFonts w:hint="eastAsia" w:ascii="宋体" w:hAnsi="宋体" w:eastAsia="宋体"/>
              </w:rPr>
              <w:t xml:space="preserve"> 现场调研            </w:t>
            </w:r>
            <w:r>
              <w:rPr>
                <w:rFonts w:hint="eastAsia" w:ascii="宋体" w:hAnsi="宋体" w:eastAsia="宋体"/>
              </w:rPr>
              <w:sym w:font="Wingdings 2" w:char="00A3"/>
            </w:r>
            <w:r>
              <w:rPr>
                <w:rFonts w:hint="eastAsia" w:ascii="宋体" w:hAnsi="宋体" w:eastAsia="宋体"/>
              </w:rPr>
              <w:t xml:space="preserve"> 电话会议</w:t>
            </w:r>
          </w:p>
          <w:p>
            <w:pPr>
              <w:spacing w:line="420" w:lineRule="exact"/>
            </w:pPr>
            <w:r>
              <w:rPr>
                <w:rFonts w:hint="eastAsia" w:ascii="宋体" w:hAnsi="宋体" w:eastAsia="宋体"/>
              </w:rPr>
              <w:t>□ 其他</w:t>
            </w:r>
            <w:r>
              <w:t>（请文字说明其他活动内容）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b/>
                <w:bCs/>
              </w:rPr>
            </w:pPr>
            <w:r>
              <w:rPr>
                <w:b/>
                <w:bCs/>
              </w:rPr>
              <w:t>参与单位</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jc w:val="left"/>
            </w:pPr>
            <w:r>
              <w:rPr>
                <w:rFonts w:hint="eastAsia"/>
              </w:rPr>
              <w:t>国金证券、恒越基金、信达澳亚基金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时间</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rPr>
                <w:rFonts w:ascii="宋体" w:hAnsi="宋体" w:eastAsia="宋体"/>
              </w:rPr>
            </w:pPr>
            <w:r>
              <w:rPr>
                <w:rFonts w:hint="eastAsia" w:ascii="宋体" w:hAnsi="宋体" w:eastAsia="宋体"/>
              </w:rPr>
              <w:t>2023年9月2日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地点</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rPr>
                <w:rFonts w:ascii="宋体" w:hAnsi="宋体" w:eastAsia="宋体"/>
              </w:rPr>
            </w:pPr>
            <w:r>
              <w:rPr>
                <w:rFonts w:hint="eastAsia" w:ascii="宋体" w:hAnsi="宋体" w:eastAsia="宋体"/>
              </w:rPr>
              <w:t>电话会议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接待人员姓名</w:t>
            </w:r>
          </w:p>
        </w:tc>
        <w:tc>
          <w:tcPr>
            <w:tcW w:w="6521" w:type="dxa"/>
            <w:tcBorders>
              <w:top w:val="single" w:color="auto" w:sz="6" w:space="0"/>
              <w:left w:val="single" w:color="auto" w:sz="6" w:space="0"/>
              <w:bottom w:val="single" w:color="auto" w:sz="6" w:space="0"/>
              <w:right w:val="single" w:color="auto" w:sz="12" w:space="0"/>
            </w:tcBorders>
            <w:vAlign w:val="center"/>
          </w:tcPr>
          <w:p>
            <w:pPr>
              <w:widowControl/>
              <w:jc w:val="left"/>
              <w:rPr>
                <w:rFonts w:ascii="宋体" w:hAnsi="宋体" w:eastAsia="宋体" w:cs="宋体"/>
                <w:color w:val="000000"/>
                <w:kern w:val="0"/>
                <w:lang w:bidi="ar"/>
              </w:rPr>
            </w:pPr>
            <w:r>
              <w:rPr>
                <w:rFonts w:hint="eastAsia" w:ascii="宋体" w:hAnsi="宋体" w:eastAsia="宋体" w:cs="宋体"/>
                <w:color w:val="000000"/>
                <w:kern w:val="0"/>
                <w:lang w:bidi="ar"/>
              </w:rPr>
              <w:t>董事长、总经理：张滨</w:t>
            </w:r>
          </w:p>
          <w:p>
            <w:pPr>
              <w:widowControl/>
              <w:jc w:val="left"/>
              <w:rPr>
                <w:rFonts w:ascii="宋体" w:hAnsi="宋体" w:eastAsia="宋体" w:cs="宋体"/>
                <w:color w:val="000000"/>
                <w:kern w:val="0"/>
                <w:lang w:bidi="ar"/>
              </w:rPr>
            </w:pPr>
            <w:r>
              <w:rPr>
                <w:rFonts w:hint="eastAsia" w:ascii="宋体" w:hAnsi="宋体" w:eastAsia="宋体" w:cs="宋体"/>
                <w:color w:val="000000"/>
                <w:kern w:val="0"/>
                <w:lang w:bidi="ar"/>
              </w:rPr>
              <w:t>副总经理：李光耀</w:t>
            </w:r>
          </w:p>
          <w:p>
            <w:pPr>
              <w:widowControl/>
              <w:jc w:val="left"/>
              <w:rPr>
                <w:rFonts w:ascii="宋体" w:hAnsi="宋体" w:eastAsia="宋体" w:cs="宋体"/>
                <w:color w:val="000000"/>
                <w:kern w:val="0"/>
                <w:lang w:bidi="ar"/>
              </w:rPr>
            </w:pPr>
            <w:r>
              <w:rPr>
                <w:rFonts w:hint="eastAsia" w:ascii="宋体" w:hAnsi="宋体" w:eastAsia="宋体" w:cs="宋体"/>
                <w:color w:val="000000"/>
                <w:kern w:val="0"/>
                <w:lang w:bidi="ar"/>
              </w:rPr>
              <w:t>董事会秘书：彭娟</w:t>
            </w:r>
          </w:p>
          <w:p>
            <w:pPr>
              <w:widowControl/>
              <w:jc w:val="left"/>
              <w:rPr>
                <w:rFonts w:ascii="宋体" w:hAnsi="宋体" w:eastAsia="宋体" w:cs="宋体"/>
                <w:color w:val="000000"/>
                <w:kern w:val="0"/>
                <w:lang w:bidi="ar"/>
              </w:rPr>
            </w:pPr>
            <w:r>
              <w:rPr>
                <w:rFonts w:hint="eastAsia" w:ascii="宋体" w:hAnsi="宋体" w:eastAsia="宋体" w:cs="宋体"/>
                <w:color w:val="000000"/>
                <w:kern w:val="0"/>
                <w:lang w:bidi="ar"/>
              </w:rPr>
              <w:t>董事、财务副总监：崔小兵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5"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投资者关系活动主要内容介绍</w:t>
            </w:r>
          </w:p>
        </w:tc>
        <w:tc>
          <w:tcPr>
            <w:tcW w:w="6521" w:type="dxa"/>
            <w:tcBorders>
              <w:top w:val="single" w:color="auto" w:sz="6" w:space="0"/>
              <w:left w:val="single" w:color="auto" w:sz="6" w:space="0"/>
              <w:bottom w:val="single" w:color="auto" w:sz="6" w:space="0"/>
              <w:right w:val="single" w:color="auto" w:sz="12" w:space="0"/>
            </w:tcBorders>
            <w:vAlign w:val="center"/>
          </w:tcPr>
          <w:p>
            <w:pPr>
              <w:widowControl/>
              <w:numPr>
                <w:ilvl w:val="0"/>
                <w:numId w:val="1"/>
              </w:numPr>
              <w:jc w:val="left"/>
              <w:rPr>
                <w:rFonts w:ascii="宋体" w:hAnsi="宋体" w:eastAsia="宋体" w:cs="宋体"/>
                <w:color w:val="000000"/>
                <w:kern w:val="0"/>
                <w:lang w:bidi="ar"/>
              </w:rPr>
            </w:pPr>
            <w:r>
              <w:rPr>
                <w:rFonts w:hint="eastAsia" w:ascii="宋体" w:hAnsi="宋体" w:eastAsia="宋体" w:cs="宋体"/>
                <w:color w:val="000000"/>
                <w:kern w:val="0"/>
                <w:lang w:bidi="ar"/>
              </w:rPr>
              <w:t>半年报情况介绍</w:t>
            </w:r>
          </w:p>
          <w:p>
            <w:pPr>
              <w:spacing w:line="360" w:lineRule="auto"/>
            </w:pPr>
            <w:r>
              <w:rPr>
                <w:rFonts w:hint="eastAsia"/>
              </w:rPr>
              <w:t>公司上半年财务核心指标同比稳健增长，达成公司预期经营目标。报告期内，公司营业收入</w:t>
            </w:r>
            <w:r>
              <w:t>24,741.33万元，同比增长率为15.98%；其中主营业务收入24,675.27万元，占比99.73%，同比增长率为 15.76%。</w:t>
            </w:r>
          </w:p>
          <w:p>
            <w:pPr>
              <w:widowControl/>
              <w:numPr>
                <w:ilvl w:val="0"/>
                <w:numId w:val="2"/>
              </w:numPr>
              <w:jc w:val="left"/>
              <w:rPr>
                <w:rFonts w:ascii="宋体" w:hAnsi="宋体" w:eastAsia="宋体" w:cs="宋体"/>
                <w:color w:val="000000"/>
                <w:kern w:val="0"/>
                <w:lang w:bidi="ar"/>
              </w:rPr>
            </w:pPr>
            <w:r>
              <w:rPr>
                <w:rFonts w:hint="eastAsia" w:ascii="宋体" w:hAnsi="宋体" w:eastAsia="宋体" w:cs="宋体"/>
                <w:color w:val="000000"/>
                <w:kern w:val="0"/>
                <w:lang w:bidi="ar"/>
              </w:rPr>
              <w:t>问答环节</w:t>
            </w:r>
          </w:p>
          <w:p>
            <w:pPr>
              <w:numPr>
                <w:ilvl w:val="0"/>
                <w:numId w:val="3"/>
              </w:numPr>
              <w:spacing w:line="360" w:lineRule="auto"/>
            </w:pPr>
            <w:r>
              <w:rPr>
                <w:rFonts w:hint="eastAsia"/>
                <w:lang w:val="en-US" w:eastAsia="zh-CN"/>
              </w:rPr>
              <w:t>请介绍一下公司未来的</w:t>
            </w:r>
            <w:r>
              <w:rPr>
                <w:rFonts w:hint="eastAsia"/>
              </w:rPr>
              <w:t>战略规划</w:t>
            </w:r>
            <w:r>
              <w:rPr>
                <w:rStyle w:val="10"/>
                <w:rFonts w:hint="eastAsia"/>
                <w:lang w:eastAsia="zh-CN"/>
              </w:rPr>
              <w:t>？</w:t>
            </w:r>
          </w:p>
          <w:p>
            <w:pPr>
              <w:numPr>
                <w:ilvl w:val="0"/>
                <w:numId w:val="0"/>
              </w:numPr>
              <w:spacing w:line="360" w:lineRule="auto"/>
              <w:ind w:left="425" w:firstLine="0"/>
            </w:pPr>
            <w:r>
              <w:rPr>
                <w:rFonts w:hint="eastAsia"/>
              </w:rPr>
              <w:t>公司坚持实施新型显示器件检测设备业务和半导体存储器件测试设备业务</w:t>
            </w:r>
            <w:r>
              <w:t>双轮驱动的发展战略，</w:t>
            </w:r>
            <w:r>
              <w:rPr>
                <w:rFonts w:hint="eastAsia"/>
              </w:rPr>
              <w:t>致力</w:t>
            </w:r>
            <w:r>
              <w:t>于检测设备的自主可控和国产化替代</w:t>
            </w:r>
            <w:r>
              <w:rPr>
                <w:rFonts w:hint="eastAsia"/>
              </w:rPr>
              <w:t>。</w:t>
            </w:r>
          </w:p>
          <w:p>
            <w:pPr>
              <w:numPr>
                <w:ilvl w:val="0"/>
                <w:numId w:val="3"/>
              </w:numPr>
              <w:spacing w:line="360" w:lineRule="auto"/>
            </w:pPr>
            <w:r>
              <w:rPr>
                <w:rFonts w:hint="eastAsia"/>
                <w:lang w:val="en-US" w:eastAsia="zh-CN"/>
              </w:rPr>
              <w:t>请公司介绍下</w:t>
            </w:r>
            <w:r>
              <w:rPr>
                <w:rFonts w:hint="eastAsia"/>
              </w:rPr>
              <w:t>面板</w:t>
            </w:r>
            <w:r>
              <w:rPr>
                <w:rFonts w:hint="eastAsia"/>
                <w:lang w:val="en-US" w:eastAsia="zh-CN"/>
              </w:rPr>
              <w:t>业务</w:t>
            </w:r>
            <w:r>
              <w:rPr>
                <w:rFonts w:hint="eastAsia"/>
              </w:rPr>
              <w:t>上半年有所下滑的</w:t>
            </w:r>
            <w:r>
              <w:rPr>
                <w:rFonts w:hint="eastAsia"/>
                <w:lang w:val="en-US" w:eastAsia="zh-CN"/>
              </w:rPr>
              <w:t>主要</w:t>
            </w:r>
            <w:r>
              <w:rPr>
                <w:rFonts w:hint="eastAsia"/>
              </w:rPr>
              <w:t>原因</w:t>
            </w:r>
            <w:r>
              <w:rPr>
                <w:rFonts w:hint="eastAsia"/>
                <w:lang w:eastAsia="zh-CN"/>
              </w:rPr>
              <w:t>？</w:t>
            </w:r>
          </w:p>
          <w:p>
            <w:pPr>
              <w:numPr>
                <w:ilvl w:val="0"/>
                <w:numId w:val="0"/>
              </w:numPr>
              <w:spacing w:line="360" w:lineRule="auto"/>
              <w:ind w:left="425" w:firstLine="0"/>
            </w:pPr>
            <w:r>
              <w:rPr>
                <w:rFonts w:hint="eastAsia"/>
              </w:rPr>
              <w:t>报告期内</w:t>
            </w:r>
            <w:r>
              <w:t>新型显示器件检测设备业务实现收入19,349.60 万元，同比下降 3.74%，主要系公司产品具有定制化的特征，不同客户及产品验收周期存在差异，导致报告期内的收入实现存在一定波动性</w:t>
            </w:r>
            <w:r>
              <w:rPr>
                <w:rFonts w:hint="eastAsia"/>
              </w:rPr>
              <w:t>。</w:t>
            </w:r>
          </w:p>
          <w:p>
            <w:pPr>
              <w:numPr>
                <w:ilvl w:val="0"/>
                <w:numId w:val="3"/>
              </w:numPr>
              <w:spacing w:line="360" w:lineRule="auto"/>
            </w:pPr>
            <w:r>
              <w:rPr>
                <w:rFonts w:hint="eastAsia"/>
                <w:lang w:val="en-US" w:eastAsia="zh-CN"/>
              </w:rPr>
              <w:t>请公司介绍一下上半年</w:t>
            </w:r>
            <w:r>
              <w:rPr>
                <w:rFonts w:hint="eastAsia"/>
              </w:rPr>
              <w:t>面板主要客户</w:t>
            </w:r>
            <w:r>
              <w:rPr>
                <w:rFonts w:hint="eastAsia"/>
                <w:lang w:val="en-US" w:eastAsia="zh-CN"/>
              </w:rPr>
              <w:t>的</w:t>
            </w:r>
            <w:r>
              <w:rPr>
                <w:rFonts w:hint="eastAsia"/>
              </w:rPr>
              <w:t>拓展情况</w:t>
            </w:r>
            <w:r>
              <w:rPr>
                <w:rFonts w:hint="eastAsia"/>
                <w:lang w:eastAsia="zh-CN"/>
              </w:rPr>
              <w:t>？</w:t>
            </w:r>
          </w:p>
          <w:p>
            <w:pPr>
              <w:widowControl/>
              <w:numPr>
                <w:ilvl w:val="0"/>
                <w:numId w:val="0"/>
              </w:numPr>
              <w:spacing w:line="360" w:lineRule="auto"/>
              <w:ind w:left="425" w:firstLine="0"/>
              <w:jc w:val="left"/>
            </w:pPr>
            <w:r>
              <w:rPr>
                <w:rFonts w:ascii="Times New Roman" w:hAnsi="Times New Roman" w:cs="Times New Roman" w:eastAsiaTheme="minorEastAsia"/>
                <w:i w:val="0"/>
                <w:iCs w:val="0"/>
                <w:caps w:val="0"/>
                <w:spacing w:val="0"/>
                <w:kern w:val="2"/>
                <w:sz w:val="24"/>
                <w:szCs w:val="24"/>
                <w:bdr w:val="none" w:sz="4" w:space="0"/>
                <w:shd w:val="clear"/>
                <w:lang w:val="en-US" w:eastAsia="zh-CN" w:bidi="ar"/>
              </w:rPr>
              <w:t>公司</w:t>
            </w:r>
            <w:r>
              <w:rPr>
                <w:rFonts w:hint="default" w:ascii="Times New Roman" w:hAnsi="Times New Roman" w:cs="Times New Roman" w:eastAsiaTheme="minorEastAsia"/>
                <w:i w:val="0"/>
                <w:iCs w:val="0"/>
                <w:caps w:val="0"/>
                <w:spacing w:val="0"/>
                <w:kern w:val="2"/>
                <w:sz w:val="24"/>
                <w:szCs w:val="24"/>
                <w:bdr w:val="none" w:sz="4" w:space="0"/>
                <w:shd w:val="clear"/>
                <w:lang w:val="en-US" w:eastAsia="zh-CN" w:bidi="ar"/>
              </w:rPr>
              <w:t>与下游主要新型显示器件厂商建立了稳定的合作关系，核心产品已在包括维信诺股份、TCL 科技、京东方、深天马等国内主流新型显示器件厂商制造产线批量应用</w:t>
            </w:r>
            <w:r>
              <w:rPr>
                <w:rFonts w:hint="eastAsia" w:cs="Times New Roman"/>
                <w:i w:val="0"/>
                <w:iCs w:val="0"/>
                <w:caps w:val="0"/>
                <w:spacing w:val="0"/>
                <w:kern w:val="2"/>
                <w:sz w:val="24"/>
                <w:szCs w:val="24"/>
                <w:bdr w:val="none" w:sz="4" w:space="0"/>
                <w:shd w:val="clear"/>
                <w:lang w:val="en-US" w:eastAsia="zh-CN" w:bidi="ar"/>
              </w:rPr>
              <w:t>。</w:t>
            </w:r>
          </w:p>
          <w:p>
            <w:pPr>
              <w:numPr>
                <w:ilvl w:val="0"/>
                <w:numId w:val="3"/>
              </w:numPr>
              <w:spacing w:line="360" w:lineRule="auto"/>
            </w:pPr>
            <w:r>
              <w:rPr>
                <w:rFonts w:hint="eastAsia"/>
                <w:lang w:val="en-US" w:eastAsia="zh-CN"/>
              </w:rPr>
              <w:t>请公司介绍一下目前在</w:t>
            </w:r>
            <w:r>
              <w:t>微型显示领域</w:t>
            </w:r>
            <w:r>
              <w:rPr>
                <w:rFonts w:hint="eastAsia"/>
                <w:lang w:val="en-US" w:eastAsia="zh-CN"/>
              </w:rPr>
              <w:t>的</w:t>
            </w:r>
            <w:r>
              <w:rPr>
                <w:rFonts w:hint="eastAsia"/>
              </w:rPr>
              <w:t>进展</w:t>
            </w:r>
            <w:r>
              <w:rPr>
                <w:rFonts w:hint="eastAsia"/>
                <w:lang w:eastAsia="zh-CN"/>
              </w:rPr>
              <w:t>？</w:t>
            </w:r>
          </w:p>
          <w:p>
            <w:pPr>
              <w:numPr>
                <w:ilvl w:val="0"/>
                <w:numId w:val="0"/>
              </w:numPr>
              <w:spacing w:line="360" w:lineRule="auto"/>
              <w:ind w:left="425" w:firstLine="0"/>
            </w:pPr>
            <w:r>
              <w:rPr>
                <w:rFonts w:hint="eastAsia"/>
              </w:rPr>
              <w:t>2</w:t>
            </w:r>
            <w:r>
              <w:t>023</w:t>
            </w:r>
            <w:r>
              <w:rPr>
                <w:rFonts w:hint="eastAsia"/>
              </w:rPr>
              <w:t>半年度内</w:t>
            </w:r>
            <w:r>
              <w:t>，公司持续取得 Micro-LED相关检测设备订单。微型显示领域的有关技术开发、设备验证等工作有序开展。</w:t>
            </w:r>
          </w:p>
          <w:p>
            <w:pPr>
              <w:numPr>
                <w:ilvl w:val="0"/>
                <w:numId w:val="3"/>
              </w:numPr>
              <w:spacing w:line="360" w:lineRule="auto"/>
            </w:pPr>
            <w:r>
              <w:rPr>
                <w:rFonts w:hint="eastAsia"/>
                <w:lang w:val="en-US" w:eastAsia="zh-CN"/>
              </w:rPr>
              <w:t>请公司介绍一下上半年</w:t>
            </w:r>
            <w:r>
              <w:rPr>
                <w:rFonts w:hint="eastAsia"/>
              </w:rPr>
              <w:t>半导体业务</w:t>
            </w:r>
            <w:r>
              <w:rPr>
                <w:rFonts w:hint="eastAsia"/>
                <w:lang w:val="en-US" w:eastAsia="zh-CN"/>
              </w:rPr>
              <w:t>拓展</w:t>
            </w:r>
            <w:r>
              <w:rPr>
                <w:rFonts w:hint="eastAsia"/>
              </w:rPr>
              <w:t>情况</w:t>
            </w:r>
            <w:r>
              <w:rPr>
                <w:rFonts w:hint="eastAsia"/>
                <w:lang w:eastAsia="zh-CN"/>
              </w:rPr>
              <w:t>？</w:t>
            </w:r>
          </w:p>
          <w:p>
            <w:pPr>
              <w:numPr>
                <w:ilvl w:val="0"/>
                <w:numId w:val="0"/>
              </w:numPr>
              <w:spacing w:line="360" w:lineRule="auto"/>
              <w:ind w:left="425" w:firstLine="0"/>
            </w:pPr>
            <w:r>
              <w:t>半导体存储器件测试设备业务实现收入5,325.67万元，同比增长率为338.38%，主要系公司探针卡业务在报告期内实现批量交付并成功通过客户验收，销售规模同比扩大。</w:t>
            </w:r>
          </w:p>
          <w:p>
            <w:pPr>
              <w:numPr>
                <w:ilvl w:val="0"/>
                <w:numId w:val="3"/>
              </w:numPr>
              <w:spacing w:line="360" w:lineRule="auto"/>
              <w:rPr>
                <w:rFonts w:ascii="宋体" w:hAnsi="宋体" w:eastAsia="宋体"/>
              </w:rPr>
            </w:pPr>
            <w:r>
              <w:rPr>
                <w:rFonts w:hint="eastAsia"/>
                <w:lang w:val="en-US" w:eastAsia="zh-CN"/>
              </w:rPr>
              <w:t>请介绍一下公司</w:t>
            </w:r>
            <w:r>
              <w:rPr>
                <w:rFonts w:hint="eastAsia"/>
              </w:rPr>
              <w:t>半导体研发团队组建情况及项目进展</w:t>
            </w:r>
            <w:r>
              <w:rPr>
                <w:rFonts w:hint="eastAsia"/>
                <w:lang w:eastAsia="zh-CN"/>
              </w:rPr>
              <w:t>？</w:t>
            </w:r>
          </w:p>
          <w:p>
            <w:pPr>
              <w:numPr>
                <w:ilvl w:val="0"/>
                <w:numId w:val="0"/>
              </w:numPr>
              <w:spacing w:line="360" w:lineRule="auto"/>
              <w:ind w:left="425" w:firstLine="0"/>
              <w:rPr>
                <w:rFonts w:ascii="宋体" w:hAnsi="宋体" w:eastAsia="宋体"/>
              </w:rPr>
            </w:pPr>
            <w:r>
              <w:rPr>
                <w:rFonts w:hint="eastAsia"/>
              </w:rPr>
              <w:t>公司通过自主研发与合作</w:t>
            </w:r>
            <w:r>
              <w:t>研发并举，有序推进半导体相关技术储备。公司根据行业客户对于良率与效率提升的具体需求进行工程技术开发与成果转化，通过自主研发生产、与国外领先企业合作开发</w:t>
            </w:r>
            <w:r>
              <w:rPr>
                <w:rFonts w:hint="eastAsia"/>
              </w:rPr>
              <w:t>/</w:t>
            </w:r>
            <w:r>
              <w:t>本地化生产、与高校成立联合研究中心等模式，进一步响应国内客户的定制化需求。</w:t>
            </w:r>
            <w:r>
              <w:rPr>
                <w:rFonts w:hint="eastAsia"/>
              </w:rPr>
              <w:t>目前公司</w:t>
            </w:r>
            <w:r>
              <w:t>DRAM晶圆老化测试设备，已完成技术开发和测试等工作，进入验证阶段</w:t>
            </w:r>
            <w:r>
              <w:rPr>
                <w:rFonts w:hint="eastAsia"/>
              </w:rPr>
              <w:t>；</w:t>
            </w:r>
            <w:r>
              <w:t>DRAM测试机仍处于持续研发测试阶段</w:t>
            </w:r>
            <w:r>
              <w:rPr>
                <w:rFonts w:hint="eastAsia"/>
              </w:rPr>
              <w:t>。</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关于本次活动是否涉及应当披露重大信息的说明</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eastAsia="宋体"/>
              </w:rPr>
            </w:pPr>
            <w:r>
              <w:rPr>
                <w:rFonts w:hint="eastAsia" w:ascii="宋体" w:hAnsi="宋体" w:eastAsia="宋体"/>
              </w:rPr>
              <w:t>本次活动不涉及应当披露重大信息。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2395" w:type="dxa"/>
            <w:tcBorders>
              <w:top w:val="single" w:color="auto" w:sz="6" w:space="0"/>
              <w:left w:val="single" w:color="auto" w:sz="12" w:space="0"/>
              <w:bottom w:val="single" w:color="auto" w:sz="6"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附件清单（如有）</w:t>
            </w:r>
          </w:p>
        </w:tc>
        <w:tc>
          <w:tcPr>
            <w:tcW w:w="6521" w:type="dxa"/>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eastAsia="宋体"/>
              </w:rPr>
            </w:pPr>
            <w:r>
              <w:rPr>
                <w:rFonts w:hint="eastAsia" w:ascii="宋体" w:hAnsi="宋体" w:eastAsia="宋体"/>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2395" w:type="dxa"/>
            <w:tcBorders>
              <w:top w:val="single" w:color="auto" w:sz="6" w:space="0"/>
              <w:left w:val="single" w:color="auto" w:sz="12" w:space="0"/>
              <w:bottom w:val="single" w:color="auto" w:sz="12" w:space="0"/>
              <w:right w:val="single" w:color="auto" w:sz="6" w:space="0"/>
            </w:tcBorders>
            <w:vAlign w:val="center"/>
          </w:tcPr>
          <w:p>
            <w:pPr>
              <w:spacing w:line="420" w:lineRule="exact"/>
              <w:jc w:val="center"/>
              <w:rPr>
                <w:rFonts w:ascii="宋体" w:hAnsi="宋体" w:eastAsia="宋体"/>
                <w:b/>
                <w:bCs/>
              </w:rPr>
            </w:pPr>
            <w:r>
              <w:rPr>
                <w:rFonts w:hint="eastAsia" w:ascii="宋体" w:hAnsi="宋体" w:eastAsia="宋体"/>
                <w:b/>
                <w:bCs/>
              </w:rPr>
              <w:t>日期</w:t>
            </w:r>
          </w:p>
        </w:tc>
        <w:tc>
          <w:tcPr>
            <w:tcW w:w="6521" w:type="dxa"/>
            <w:tcBorders>
              <w:top w:val="single" w:color="auto" w:sz="6" w:space="0"/>
              <w:left w:val="single" w:color="auto" w:sz="6" w:space="0"/>
              <w:bottom w:val="single" w:color="auto" w:sz="12" w:space="0"/>
              <w:right w:val="single" w:color="auto" w:sz="12" w:space="0"/>
            </w:tcBorders>
            <w:vAlign w:val="center"/>
          </w:tcPr>
          <w:p>
            <w:pPr>
              <w:spacing w:line="420" w:lineRule="exact"/>
              <w:jc w:val="left"/>
              <w:rPr>
                <w:rFonts w:ascii="宋体" w:hAnsi="宋体" w:eastAsia="宋体"/>
              </w:rPr>
            </w:pPr>
            <w:r>
              <w:rPr>
                <w:rFonts w:hint="eastAsia" w:ascii="宋体" w:hAnsi="宋体" w:eastAsia="宋体"/>
              </w:rPr>
              <w:t>2023年9月2日</w:t>
            </w:r>
          </w:p>
        </w:tc>
      </w:tr>
    </w:tbl>
    <w:p>
      <w:pPr>
        <w:spacing w:line="460" w:lineRule="exact"/>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ans-serif">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064AA"/>
    <w:multiLevelType w:val="singleLevel"/>
    <w:tmpl w:val="A3B064AA"/>
    <w:lvl w:ilvl="0" w:tentative="0">
      <w:start w:val="1"/>
      <w:numFmt w:val="chineseCounting"/>
      <w:suff w:val="nothing"/>
      <w:lvlText w:val="%1、"/>
      <w:lvlJc w:val="left"/>
      <w:rPr>
        <w:rFonts w:hint="eastAsia"/>
      </w:rPr>
    </w:lvl>
  </w:abstractNum>
  <w:abstractNum w:abstractNumId="1">
    <w:nsid w:val="EACCCDA2"/>
    <w:multiLevelType w:val="singleLevel"/>
    <w:tmpl w:val="EACCCDA2"/>
    <w:lvl w:ilvl="0" w:tentative="0">
      <w:start w:val="1"/>
      <w:numFmt w:val="decimal"/>
      <w:lvlText w:val="%1."/>
      <w:lvlJc w:val="left"/>
      <w:pPr>
        <w:ind w:left="425" w:hanging="425"/>
      </w:pPr>
      <w:rPr>
        <w:rFonts w:hint="default"/>
      </w:rPr>
    </w:lvl>
  </w:abstractNum>
  <w:abstractNum w:abstractNumId="2">
    <w:nsid w:val="198DDA5A"/>
    <w:multiLevelType w:val="singleLevel"/>
    <w:tmpl w:val="198DDA5A"/>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MGNiNmZiNjU0MWRhMzA3MGM4NThlMjUxOTM1ZTYifQ=="/>
  </w:docVars>
  <w:rsids>
    <w:rsidRoot w:val="009A3F50"/>
    <w:rsid w:val="000809C6"/>
    <w:rsid w:val="00116D03"/>
    <w:rsid w:val="003A55FD"/>
    <w:rsid w:val="004D0354"/>
    <w:rsid w:val="004E3CEB"/>
    <w:rsid w:val="004F4433"/>
    <w:rsid w:val="007563BB"/>
    <w:rsid w:val="009A3F50"/>
    <w:rsid w:val="00AD6F00"/>
    <w:rsid w:val="00B22F5F"/>
    <w:rsid w:val="00B61A3F"/>
    <w:rsid w:val="00C04C42"/>
    <w:rsid w:val="00CA0A4C"/>
    <w:rsid w:val="00E04124"/>
    <w:rsid w:val="00FC68A5"/>
    <w:rsid w:val="03015719"/>
    <w:rsid w:val="07F76FDC"/>
    <w:rsid w:val="0D053EEB"/>
    <w:rsid w:val="0E8F62FB"/>
    <w:rsid w:val="13525B1D"/>
    <w:rsid w:val="13940AFE"/>
    <w:rsid w:val="151B6448"/>
    <w:rsid w:val="19AB71E7"/>
    <w:rsid w:val="1AC704E3"/>
    <w:rsid w:val="1CF7548B"/>
    <w:rsid w:val="1D3C5874"/>
    <w:rsid w:val="202C40EB"/>
    <w:rsid w:val="2422439F"/>
    <w:rsid w:val="24E3748B"/>
    <w:rsid w:val="25766125"/>
    <w:rsid w:val="26834513"/>
    <w:rsid w:val="28071479"/>
    <w:rsid w:val="2B836D64"/>
    <w:rsid w:val="2E5167EE"/>
    <w:rsid w:val="2E6E7857"/>
    <w:rsid w:val="319A0963"/>
    <w:rsid w:val="321626E0"/>
    <w:rsid w:val="35D46B3A"/>
    <w:rsid w:val="35F07D9F"/>
    <w:rsid w:val="45FE72BB"/>
    <w:rsid w:val="47D92AF8"/>
    <w:rsid w:val="48912668"/>
    <w:rsid w:val="4AE118F5"/>
    <w:rsid w:val="4DAB41CC"/>
    <w:rsid w:val="4DF23BA9"/>
    <w:rsid w:val="4EEE25C2"/>
    <w:rsid w:val="4F1D6A04"/>
    <w:rsid w:val="5546203F"/>
    <w:rsid w:val="5D02548B"/>
    <w:rsid w:val="5EAF096B"/>
    <w:rsid w:val="6249141B"/>
    <w:rsid w:val="62992202"/>
    <w:rsid w:val="6BEE37AA"/>
    <w:rsid w:val="6E1B015A"/>
    <w:rsid w:val="6E6C2863"/>
    <w:rsid w:val="727F4C6A"/>
    <w:rsid w:val="73B07597"/>
    <w:rsid w:val="783C3AEF"/>
    <w:rsid w:val="7D0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imes New Roman" w:hAnsi="Times New Roman" w:cs="Times New Roman" w:eastAsiaTheme="minorEastAsia"/>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alloon Text"/>
    <w:basedOn w:val="1"/>
    <w:link w:val="15"/>
    <w:uiPriority w:val="0"/>
    <w:rPr>
      <w:sz w:val="18"/>
      <w:szCs w:val="1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iPriority w:val="0"/>
    <w:rPr>
      <w:b/>
      <w:bCs/>
    </w:rPr>
  </w:style>
  <w:style w:type="character" w:styleId="9">
    <w:name w:val="Hyperlink"/>
    <w:basedOn w:val="8"/>
    <w:unhideWhenUsed/>
    <w:uiPriority w:val="99"/>
    <w:rPr>
      <w:color w:val="0000FF"/>
      <w:u w:val="single"/>
    </w:rPr>
  </w:style>
  <w:style w:type="character" w:styleId="10">
    <w:name w:val="annotation reference"/>
    <w:basedOn w:val="8"/>
    <w:uiPriority w:val="0"/>
    <w:rPr>
      <w:sz w:val="21"/>
      <w:szCs w:val="21"/>
    </w:rPr>
  </w:style>
  <w:style w:type="paragraph" w:styleId="11">
    <w:name w:val="List Paragraph"/>
    <w:basedOn w:val="1"/>
    <w:qFormat/>
    <w:uiPriority w:val="34"/>
    <w:pPr>
      <w:ind w:firstLine="420" w:firstLineChars="200"/>
    </w:pPr>
  </w:style>
  <w:style w:type="paragraph" w:customStyle="1" w:styleId="12">
    <w:name w:val="005正文"/>
    <w:basedOn w:val="1"/>
    <w:qFormat/>
    <w:uiPriority w:val="0"/>
    <w:pPr>
      <w:spacing w:before="50" w:beforeLines="50" w:line="360" w:lineRule="auto"/>
      <w:ind w:firstLine="200" w:firstLineChars="200"/>
    </w:pPr>
  </w:style>
  <w:style w:type="character" w:customStyle="1" w:styleId="13">
    <w:name w:val="页眉 字符"/>
    <w:basedOn w:val="8"/>
    <w:link w:val="5"/>
    <w:uiPriority w:val="0"/>
    <w:rPr>
      <w:rFonts w:eastAsiaTheme="minorEastAsia"/>
      <w:kern w:val="2"/>
      <w:sz w:val="18"/>
      <w:szCs w:val="18"/>
    </w:rPr>
  </w:style>
  <w:style w:type="character" w:customStyle="1" w:styleId="14">
    <w:name w:val="页脚 字符"/>
    <w:basedOn w:val="8"/>
    <w:link w:val="4"/>
    <w:uiPriority w:val="0"/>
    <w:rPr>
      <w:rFonts w:eastAsiaTheme="minorEastAsia"/>
      <w:kern w:val="2"/>
      <w:sz w:val="18"/>
      <w:szCs w:val="18"/>
    </w:rPr>
  </w:style>
  <w:style w:type="character" w:customStyle="1" w:styleId="15">
    <w:name w:val="批注框文本 字符"/>
    <w:basedOn w:val="8"/>
    <w:link w:val="3"/>
    <w:uiPriority w:val="0"/>
    <w:rPr>
      <w:rFonts w:eastAsiaTheme="minorEastAsia"/>
      <w:kern w:val="2"/>
      <w:sz w:val="18"/>
      <w:szCs w:val="18"/>
    </w:rPr>
  </w:style>
  <w:style w:type="character" w:customStyle="1" w:styleId="16">
    <w:name w:val="批注文字 字符"/>
    <w:basedOn w:val="8"/>
    <w:link w:val="2"/>
    <w:uiPriority w:val="0"/>
    <w:rPr>
      <w:rFonts w:eastAsiaTheme="minorEastAsia"/>
      <w:kern w:val="2"/>
      <w:sz w:val="24"/>
      <w:szCs w:val="24"/>
    </w:rPr>
  </w:style>
  <w:style w:type="character" w:customStyle="1" w:styleId="17">
    <w:name w:val="批注主题 字符"/>
    <w:basedOn w:val="16"/>
    <w:link w:val="6"/>
    <w:uiPriority w:val="0"/>
    <w:rPr>
      <w:rFonts w:eastAsiaTheme="minorEastAsia"/>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858</Words>
  <Characters>942</Characters>
  <Lines>8</Lines>
  <Paragraphs>2</Paragraphs>
  <TotalTime>1</TotalTime>
  <ScaleCrop>false</ScaleCrop>
  <LinksUpToDate>false</LinksUpToDate>
  <CharactersWithSpaces>1089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2023-09-05T09:10:00Z</dcterms:created>
  <dc:creator>Thinkpad</dc:creator>
  <cp:lastModifiedBy>Lyn</cp:lastModifiedBy>
  <dcterms:modified xsi:type="dcterms:W3CDTF">2023-09-05T09:41:06Z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6BC76B4619EB4B3585073614DFCC9C32_12</vt:lpwstr>
  </property>
</Properties>
</file>