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676A76" w:rsidRDefault="00603CDE" w:rsidP="00A85597">
      <w:pPr>
        <w:snapToGrid w:val="0"/>
        <w:spacing w:line="360" w:lineRule="auto"/>
        <w:ind w:leftChars="-67" w:left="-141"/>
        <w:rPr>
          <w:rFonts w:ascii="Times New Roman" w:eastAsia="宋体" w:hAnsi="Times New Roman" w:cs="Times New Roman"/>
          <w:bCs/>
          <w:iCs/>
          <w:color w:val="000000"/>
          <w:sz w:val="24"/>
          <w:szCs w:val="24"/>
        </w:rPr>
      </w:pPr>
      <w:r w:rsidRPr="00676A76">
        <w:rPr>
          <w:rFonts w:ascii="Times New Roman" w:eastAsia="宋体" w:hAnsi="Times New Roman" w:cs="Times New Roman"/>
          <w:bCs/>
          <w:iCs/>
          <w:color w:val="000000"/>
          <w:sz w:val="24"/>
          <w:szCs w:val="24"/>
        </w:rPr>
        <w:t>证券代码：</w:t>
      </w:r>
      <w:r w:rsidRPr="00676A76">
        <w:rPr>
          <w:rFonts w:ascii="Times New Roman" w:eastAsia="宋体" w:hAnsi="Times New Roman" w:cs="Times New Roman"/>
          <w:bCs/>
          <w:iCs/>
          <w:color w:val="000000"/>
          <w:sz w:val="24"/>
          <w:szCs w:val="24"/>
        </w:rPr>
        <w:t xml:space="preserve">688376                                    </w:t>
      </w:r>
      <w:r w:rsidRPr="00676A76">
        <w:rPr>
          <w:rFonts w:ascii="Times New Roman" w:eastAsia="宋体" w:hAnsi="Times New Roman" w:cs="Times New Roman"/>
          <w:bCs/>
          <w:iCs/>
          <w:color w:val="000000"/>
          <w:sz w:val="24"/>
          <w:szCs w:val="24"/>
        </w:rPr>
        <w:t>证券简称：美埃科技</w:t>
      </w:r>
    </w:p>
    <w:p w14:paraId="02D9CD94" w14:textId="77777777" w:rsidR="000D6108" w:rsidRPr="00676A76" w:rsidRDefault="000D6108" w:rsidP="000D0A12">
      <w:pPr>
        <w:snapToGrid w:val="0"/>
        <w:spacing w:line="360" w:lineRule="auto"/>
        <w:rPr>
          <w:rFonts w:ascii="Times New Roman" w:eastAsia="宋体" w:hAnsi="Times New Roman" w:cs="Times New Roman"/>
          <w:b/>
          <w:bCs/>
          <w:iCs/>
          <w:sz w:val="36"/>
          <w:szCs w:val="36"/>
        </w:rPr>
      </w:pPr>
    </w:p>
    <w:p w14:paraId="79C18C81" w14:textId="67AA144D" w:rsidR="00882A7B" w:rsidRPr="00676A76" w:rsidRDefault="00603CDE" w:rsidP="000D0A12">
      <w:pPr>
        <w:snapToGrid w:val="0"/>
        <w:spacing w:line="360" w:lineRule="auto"/>
        <w:jc w:val="center"/>
        <w:rPr>
          <w:rFonts w:ascii="Times New Roman" w:eastAsia="宋体" w:hAnsi="Times New Roman" w:cs="Times New Roman"/>
          <w:b/>
          <w:bCs/>
          <w:iCs/>
          <w:sz w:val="36"/>
          <w:szCs w:val="36"/>
        </w:rPr>
      </w:pPr>
      <w:r w:rsidRPr="00676A76">
        <w:rPr>
          <w:rFonts w:ascii="Times New Roman" w:eastAsia="宋体" w:hAnsi="Times New Roman" w:cs="Times New Roman"/>
          <w:b/>
          <w:bCs/>
          <w:iCs/>
          <w:sz w:val="36"/>
          <w:szCs w:val="36"/>
        </w:rPr>
        <w:t>美埃</w:t>
      </w:r>
      <w:r w:rsidRPr="00676A76">
        <w:rPr>
          <w:rFonts w:ascii="Times New Roman" w:eastAsia="宋体" w:hAnsi="Times New Roman" w:cs="Times New Roman"/>
          <w:b/>
          <w:bCs/>
          <w:iCs/>
          <w:sz w:val="36"/>
          <w:szCs w:val="36"/>
        </w:rPr>
        <w:t>(</w:t>
      </w:r>
      <w:r w:rsidRPr="00676A76">
        <w:rPr>
          <w:rFonts w:ascii="Times New Roman" w:eastAsia="宋体" w:hAnsi="Times New Roman" w:cs="Times New Roman"/>
          <w:b/>
          <w:bCs/>
          <w:iCs/>
          <w:sz w:val="36"/>
          <w:szCs w:val="36"/>
        </w:rPr>
        <w:t>中国</w:t>
      </w:r>
      <w:r w:rsidRPr="00676A76">
        <w:rPr>
          <w:rFonts w:ascii="Times New Roman" w:eastAsia="宋体" w:hAnsi="Times New Roman" w:cs="Times New Roman"/>
          <w:b/>
          <w:bCs/>
          <w:iCs/>
          <w:sz w:val="36"/>
          <w:szCs w:val="36"/>
        </w:rPr>
        <w:t>)</w:t>
      </w:r>
      <w:r w:rsidRPr="00676A76">
        <w:rPr>
          <w:rFonts w:ascii="Times New Roman" w:eastAsia="宋体" w:hAnsi="Times New Roman" w:cs="Times New Roman"/>
          <w:b/>
          <w:bCs/>
          <w:iCs/>
          <w:sz w:val="36"/>
          <w:szCs w:val="36"/>
        </w:rPr>
        <w:t>环境科技股份有限公司</w:t>
      </w:r>
    </w:p>
    <w:p w14:paraId="11383291" w14:textId="77777777" w:rsidR="00882A7B" w:rsidRPr="00676A76" w:rsidRDefault="00603CDE" w:rsidP="000D0A12">
      <w:pPr>
        <w:snapToGrid w:val="0"/>
        <w:spacing w:line="360" w:lineRule="auto"/>
        <w:jc w:val="center"/>
        <w:rPr>
          <w:rFonts w:ascii="Times New Roman" w:eastAsia="宋体" w:hAnsi="Times New Roman" w:cs="Times New Roman"/>
          <w:b/>
          <w:bCs/>
          <w:iCs/>
          <w:sz w:val="36"/>
          <w:szCs w:val="36"/>
        </w:rPr>
      </w:pPr>
      <w:r w:rsidRPr="00676A76">
        <w:rPr>
          <w:rFonts w:ascii="Times New Roman" w:eastAsia="宋体" w:hAnsi="Times New Roman" w:cs="Times New Roman"/>
          <w:b/>
          <w:bCs/>
          <w:iCs/>
          <w:sz w:val="36"/>
          <w:szCs w:val="36"/>
        </w:rPr>
        <w:t>投资者关系活动记录表</w:t>
      </w:r>
    </w:p>
    <w:p w14:paraId="33F8A856" w14:textId="7B4281F0" w:rsidR="00882A7B" w:rsidRPr="00676A76" w:rsidRDefault="00603CDE" w:rsidP="000D0A12">
      <w:pPr>
        <w:spacing w:line="560" w:lineRule="exact"/>
        <w:jc w:val="right"/>
        <w:rPr>
          <w:rFonts w:ascii="Times New Roman" w:eastAsia="宋体" w:hAnsi="Times New Roman" w:cs="Times New Roman"/>
          <w:bCs/>
          <w:iCs/>
          <w:color w:val="000000"/>
          <w:sz w:val="24"/>
          <w:szCs w:val="24"/>
        </w:rPr>
      </w:pPr>
      <w:r w:rsidRPr="00676A76">
        <w:rPr>
          <w:rFonts w:ascii="Times New Roman" w:eastAsia="宋体" w:hAnsi="Times New Roman" w:cs="Times New Roman"/>
          <w:bCs/>
          <w:iCs/>
          <w:color w:val="000000"/>
          <w:sz w:val="28"/>
          <w:szCs w:val="28"/>
        </w:rPr>
        <w:t xml:space="preserve">                                    </w:t>
      </w:r>
      <w:r w:rsidRPr="00676A76">
        <w:rPr>
          <w:rFonts w:ascii="Times New Roman" w:eastAsia="宋体" w:hAnsi="Times New Roman" w:cs="Times New Roman"/>
          <w:bCs/>
          <w:iCs/>
          <w:color w:val="000000"/>
          <w:sz w:val="24"/>
          <w:szCs w:val="24"/>
        </w:rPr>
        <w:t xml:space="preserve">        </w:t>
      </w:r>
      <w:r w:rsidRPr="00676A76">
        <w:rPr>
          <w:rFonts w:ascii="Times New Roman" w:eastAsia="宋体" w:hAnsi="Times New Roman" w:cs="Times New Roman"/>
          <w:bCs/>
          <w:iCs/>
          <w:color w:val="000000"/>
          <w:sz w:val="24"/>
          <w:szCs w:val="24"/>
        </w:rPr>
        <w:t>编号：</w:t>
      </w:r>
      <w:r w:rsidR="00C0501D" w:rsidRPr="00676A76">
        <w:rPr>
          <w:rFonts w:ascii="Times New Roman" w:eastAsia="宋体" w:hAnsi="Times New Roman" w:cs="Times New Roman"/>
          <w:bCs/>
          <w:iCs/>
          <w:color w:val="000000"/>
          <w:sz w:val="24"/>
          <w:szCs w:val="24"/>
        </w:rPr>
        <w:t>2023-00</w:t>
      </w:r>
      <w:r w:rsidR="00B5501D" w:rsidRPr="00676A76">
        <w:rPr>
          <w:rFonts w:ascii="Times New Roman" w:eastAsia="宋体" w:hAnsi="Times New Roman" w:cs="Times New Roman"/>
          <w:bCs/>
          <w:iCs/>
          <w:color w:val="000000"/>
          <w:sz w:val="24"/>
          <w:szCs w:val="24"/>
        </w:rPr>
        <w:t>4</w:t>
      </w:r>
    </w:p>
    <w:tbl>
      <w:tblPr>
        <w:tblW w:w="921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4225"/>
        <w:gridCol w:w="3571"/>
      </w:tblGrid>
      <w:tr w:rsidR="00882A7B" w:rsidRPr="00676A76" w14:paraId="6B95EF3D" w14:textId="77777777" w:rsidTr="00C77DA0">
        <w:trPr>
          <w:trHeight w:val="338"/>
        </w:trPr>
        <w:tc>
          <w:tcPr>
            <w:tcW w:w="1418" w:type="dxa"/>
            <w:vMerge w:val="restart"/>
            <w:shd w:val="clear" w:color="auto" w:fill="auto"/>
            <w:vAlign w:val="center"/>
          </w:tcPr>
          <w:p w14:paraId="655EC5E7"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投资者关系活动类别</w:t>
            </w:r>
          </w:p>
        </w:tc>
        <w:tc>
          <w:tcPr>
            <w:tcW w:w="4225" w:type="dxa"/>
            <w:vMerge w:val="restart"/>
            <w:shd w:val="clear" w:color="auto" w:fill="auto"/>
            <w:vAlign w:val="center"/>
          </w:tcPr>
          <w:p w14:paraId="7FDB26E0"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特定对象调研</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媒体采访</w:t>
            </w:r>
            <w:r w:rsidRPr="00676A76">
              <w:rPr>
                <w:rFonts w:ascii="Times New Roman" w:eastAsia="宋体" w:hAnsi="Times New Roman" w:cs="Times New Roman"/>
                <w:color w:val="000000"/>
                <w:kern w:val="0"/>
                <w:sz w:val="22"/>
              </w:rPr>
              <w:t xml:space="preserve"> </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新闻发布会</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现场参观</w:t>
            </w:r>
          </w:p>
        </w:tc>
        <w:tc>
          <w:tcPr>
            <w:tcW w:w="3571" w:type="dxa"/>
            <w:vMerge w:val="restart"/>
            <w:shd w:val="clear" w:color="auto" w:fill="auto"/>
            <w:vAlign w:val="center"/>
          </w:tcPr>
          <w:p w14:paraId="156F582A" w14:textId="2FF25D44"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分析师会议</w:t>
            </w:r>
            <w:r w:rsidRPr="00676A76">
              <w:rPr>
                <w:rFonts w:ascii="Times New Roman" w:eastAsia="宋体" w:hAnsi="Times New Roman" w:cs="Times New Roman"/>
                <w:color w:val="000000"/>
                <w:kern w:val="0"/>
                <w:sz w:val="22"/>
              </w:rPr>
              <w:br/>
            </w:r>
            <w:r w:rsidR="001457D1"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业绩说明会</w:t>
            </w:r>
            <w:r w:rsidRPr="00676A76">
              <w:rPr>
                <w:rFonts w:ascii="Times New Roman" w:eastAsia="宋体" w:hAnsi="Times New Roman" w:cs="Times New Roman"/>
                <w:color w:val="000000"/>
                <w:kern w:val="0"/>
                <w:sz w:val="22"/>
              </w:rPr>
              <w:br/>
            </w:r>
            <w:r w:rsidR="001144D6"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路演活动</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其他（电话会议）</w:t>
            </w:r>
          </w:p>
        </w:tc>
      </w:tr>
      <w:tr w:rsidR="00882A7B" w:rsidRPr="00676A76" w14:paraId="6743F4EF" w14:textId="77777777" w:rsidTr="00C77DA0">
        <w:trPr>
          <w:trHeight w:val="338"/>
        </w:trPr>
        <w:tc>
          <w:tcPr>
            <w:tcW w:w="1418" w:type="dxa"/>
            <w:vMerge/>
            <w:vAlign w:val="center"/>
          </w:tcPr>
          <w:p w14:paraId="7207E8E6" w14:textId="77777777" w:rsidR="00882A7B" w:rsidRPr="00676A76" w:rsidRDefault="00882A7B" w:rsidP="000D0A12">
            <w:pPr>
              <w:widowControl/>
              <w:rPr>
                <w:rFonts w:ascii="Times New Roman" w:eastAsia="宋体" w:hAnsi="Times New Roman" w:cs="Times New Roman"/>
                <w:color w:val="000000"/>
                <w:kern w:val="0"/>
                <w:sz w:val="22"/>
              </w:rPr>
            </w:pPr>
          </w:p>
        </w:tc>
        <w:tc>
          <w:tcPr>
            <w:tcW w:w="4225" w:type="dxa"/>
            <w:vMerge/>
            <w:vAlign w:val="center"/>
          </w:tcPr>
          <w:p w14:paraId="347EB591" w14:textId="77777777" w:rsidR="00882A7B" w:rsidRPr="00676A76" w:rsidRDefault="00882A7B" w:rsidP="000D0A12">
            <w:pPr>
              <w:widowControl/>
              <w:rPr>
                <w:rFonts w:ascii="Times New Roman" w:eastAsia="宋体" w:hAnsi="Times New Roman" w:cs="Times New Roman"/>
                <w:color w:val="000000"/>
                <w:kern w:val="0"/>
                <w:sz w:val="22"/>
              </w:rPr>
            </w:pPr>
          </w:p>
        </w:tc>
        <w:tc>
          <w:tcPr>
            <w:tcW w:w="3571" w:type="dxa"/>
            <w:vMerge/>
            <w:vAlign w:val="center"/>
          </w:tcPr>
          <w:p w14:paraId="7C0858CF"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6BC4307F" w14:textId="77777777" w:rsidTr="00C77DA0">
        <w:trPr>
          <w:trHeight w:val="338"/>
        </w:trPr>
        <w:tc>
          <w:tcPr>
            <w:tcW w:w="1418" w:type="dxa"/>
            <w:vMerge/>
            <w:vAlign w:val="center"/>
          </w:tcPr>
          <w:p w14:paraId="351858DB" w14:textId="77777777" w:rsidR="00882A7B" w:rsidRPr="00676A76" w:rsidRDefault="00882A7B" w:rsidP="000D0A12">
            <w:pPr>
              <w:widowControl/>
              <w:rPr>
                <w:rFonts w:ascii="Times New Roman" w:eastAsia="宋体" w:hAnsi="Times New Roman" w:cs="Times New Roman"/>
                <w:color w:val="000000"/>
                <w:kern w:val="0"/>
                <w:sz w:val="22"/>
              </w:rPr>
            </w:pPr>
          </w:p>
        </w:tc>
        <w:tc>
          <w:tcPr>
            <w:tcW w:w="4225" w:type="dxa"/>
            <w:vMerge/>
            <w:vAlign w:val="center"/>
          </w:tcPr>
          <w:p w14:paraId="02158FD8" w14:textId="77777777" w:rsidR="00882A7B" w:rsidRPr="00676A76" w:rsidRDefault="00882A7B" w:rsidP="000D0A12">
            <w:pPr>
              <w:widowControl/>
              <w:rPr>
                <w:rFonts w:ascii="Times New Roman" w:eastAsia="宋体" w:hAnsi="Times New Roman" w:cs="Times New Roman"/>
                <w:color w:val="000000"/>
                <w:kern w:val="0"/>
                <w:sz w:val="22"/>
              </w:rPr>
            </w:pPr>
          </w:p>
        </w:tc>
        <w:tc>
          <w:tcPr>
            <w:tcW w:w="3571" w:type="dxa"/>
            <w:vMerge/>
            <w:vAlign w:val="center"/>
          </w:tcPr>
          <w:p w14:paraId="103C137C"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7599F712" w14:textId="77777777" w:rsidTr="00C77DA0">
        <w:trPr>
          <w:trHeight w:val="368"/>
        </w:trPr>
        <w:tc>
          <w:tcPr>
            <w:tcW w:w="1418" w:type="dxa"/>
            <w:vMerge/>
            <w:vAlign w:val="center"/>
          </w:tcPr>
          <w:p w14:paraId="60856EAC" w14:textId="77777777" w:rsidR="00882A7B" w:rsidRPr="00676A76" w:rsidRDefault="00882A7B" w:rsidP="000D0A12">
            <w:pPr>
              <w:widowControl/>
              <w:rPr>
                <w:rFonts w:ascii="Times New Roman" w:eastAsia="宋体" w:hAnsi="Times New Roman" w:cs="Times New Roman"/>
                <w:color w:val="000000"/>
                <w:kern w:val="0"/>
                <w:sz w:val="22"/>
              </w:rPr>
            </w:pPr>
          </w:p>
        </w:tc>
        <w:tc>
          <w:tcPr>
            <w:tcW w:w="4225" w:type="dxa"/>
            <w:vMerge/>
            <w:vAlign w:val="center"/>
          </w:tcPr>
          <w:p w14:paraId="79F3A41B" w14:textId="77777777" w:rsidR="00882A7B" w:rsidRPr="00676A76" w:rsidRDefault="00882A7B" w:rsidP="000D0A12">
            <w:pPr>
              <w:widowControl/>
              <w:rPr>
                <w:rFonts w:ascii="Times New Roman" w:eastAsia="宋体" w:hAnsi="Times New Roman" w:cs="Times New Roman"/>
                <w:color w:val="000000"/>
                <w:kern w:val="0"/>
                <w:sz w:val="22"/>
              </w:rPr>
            </w:pPr>
          </w:p>
        </w:tc>
        <w:tc>
          <w:tcPr>
            <w:tcW w:w="3571" w:type="dxa"/>
            <w:vMerge/>
            <w:vAlign w:val="center"/>
          </w:tcPr>
          <w:p w14:paraId="12EBA808"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75CB8AC6" w14:textId="77777777" w:rsidTr="00C77DA0">
        <w:trPr>
          <w:trHeight w:val="314"/>
        </w:trPr>
        <w:tc>
          <w:tcPr>
            <w:tcW w:w="1418" w:type="dxa"/>
            <w:shd w:val="clear" w:color="auto" w:fill="auto"/>
            <w:noWrap/>
            <w:vAlign w:val="center"/>
          </w:tcPr>
          <w:p w14:paraId="2EA86846" w14:textId="77777777" w:rsidR="00882A7B" w:rsidRPr="00676A76" w:rsidRDefault="00603CDE" w:rsidP="000D0A12">
            <w:pPr>
              <w:widowControl/>
              <w:rPr>
                <w:rFonts w:ascii="Times New Roman" w:eastAsia="宋体" w:hAnsi="Times New Roman" w:cs="Times New Roman"/>
                <w:kern w:val="0"/>
                <w:sz w:val="22"/>
              </w:rPr>
            </w:pPr>
            <w:r w:rsidRPr="00676A76">
              <w:rPr>
                <w:rFonts w:ascii="Times New Roman" w:eastAsia="宋体" w:hAnsi="Times New Roman" w:cs="Times New Roman"/>
                <w:kern w:val="0"/>
                <w:sz w:val="22"/>
              </w:rPr>
              <w:t>时间</w:t>
            </w:r>
          </w:p>
        </w:tc>
        <w:tc>
          <w:tcPr>
            <w:tcW w:w="7796" w:type="dxa"/>
            <w:gridSpan w:val="2"/>
            <w:shd w:val="clear" w:color="auto" w:fill="auto"/>
            <w:noWrap/>
          </w:tcPr>
          <w:p w14:paraId="0DB50D4A" w14:textId="5068975E" w:rsidR="00882A7B" w:rsidRPr="00676A76" w:rsidRDefault="00603CDE" w:rsidP="00C421D6">
            <w:pPr>
              <w:widowControl/>
              <w:rPr>
                <w:rFonts w:ascii="Times New Roman" w:eastAsia="宋体" w:hAnsi="Times New Roman" w:cs="Times New Roman"/>
                <w:kern w:val="0"/>
                <w:sz w:val="22"/>
              </w:rPr>
            </w:pPr>
            <w:r w:rsidRPr="00676A76">
              <w:rPr>
                <w:rFonts w:ascii="Times New Roman" w:eastAsia="宋体" w:hAnsi="Times New Roman" w:cs="Times New Roman"/>
                <w:kern w:val="0"/>
                <w:sz w:val="22"/>
              </w:rPr>
              <w:t>2023</w:t>
            </w:r>
            <w:r w:rsidRPr="00676A76">
              <w:rPr>
                <w:rFonts w:ascii="Times New Roman" w:eastAsia="宋体" w:hAnsi="Times New Roman" w:cs="Times New Roman"/>
                <w:kern w:val="0"/>
                <w:sz w:val="22"/>
              </w:rPr>
              <w:t>年</w:t>
            </w:r>
            <w:r w:rsidR="00BC4677" w:rsidRPr="00676A76">
              <w:rPr>
                <w:rFonts w:ascii="Times New Roman" w:eastAsia="宋体" w:hAnsi="Times New Roman" w:cs="Times New Roman"/>
                <w:kern w:val="0"/>
                <w:sz w:val="22"/>
              </w:rPr>
              <w:t>8</w:t>
            </w:r>
            <w:r w:rsidR="00B8651E" w:rsidRPr="00676A76">
              <w:rPr>
                <w:rFonts w:ascii="Times New Roman" w:eastAsia="宋体" w:hAnsi="Times New Roman" w:cs="Times New Roman"/>
                <w:kern w:val="0"/>
                <w:sz w:val="22"/>
              </w:rPr>
              <w:t>月</w:t>
            </w:r>
            <w:r w:rsidR="00BC4677" w:rsidRPr="00676A76">
              <w:rPr>
                <w:rFonts w:ascii="Times New Roman" w:eastAsia="宋体" w:hAnsi="Times New Roman" w:cs="Times New Roman"/>
                <w:kern w:val="0"/>
                <w:sz w:val="22"/>
              </w:rPr>
              <w:t>、</w:t>
            </w:r>
            <w:r w:rsidR="000B0C6F" w:rsidRPr="00676A76">
              <w:rPr>
                <w:rFonts w:ascii="Times New Roman" w:eastAsia="宋体" w:hAnsi="Times New Roman" w:cs="Times New Roman"/>
                <w:kern w:val="0"/>
                <w:sz w:val="22"/>
              </w:rPr>
              <w:t>9</w:t>
            </w:r>
            <w:r w:rsidRPr="00676A76">
              <w:rPr>
                <w:rFonts w:ascii="Times New Roman" w:eastAsia="宋体" w:hAnsi="Times New Roman" w:cs="Times New Roman"/>
                <w:kern w:val="0"/>
                <w:sz w:val="22"/>
              </w:rPr>
              <w:t>月</w:t>
            </w:r>
            <w:r w:rsidR="00464D16">
              <w:rPr>
                <w:rFonts w:ascii="Times New Roman" w:eastAsia="宋体" w:hAnsi="Times New Roman" w:cs="Times New Roman" w:hint="eastAsia"/>
                <w:kern w:val="0"/>
                <w:sz w:val="22"/>
              </w:rPr>
              <w:t>6</w:t>
            </w:r>
            <w:r w:rsidR="00464D16">
              <w:rPr>
                <w:rFonts w:ascii="Times New Roman" w:eastAsia="宋体" w:hAnsi="Times New Roman" w:cs="Times New Roman" w:hint="eastAsia"/>
                <w:kern w:val="0"/>
                <w:sz w:val="22"/>
              </w:rPr>
              <w:t>日</w:t>
            </w:r>
          </w:p>
        </w:tc>
      </w:tr>
      <w:tr w:rsidR="00882A7B" w:rsidRPr="00676A76" w14:paraId="7D209057" w14:textId="77777777" w:rsidTr="00C77DA0">
        <w:trPr>
          <w:trHeight w:val="1398"/>
        </w:trPr>
        <w:tc>
          <w:tcPr>
            <w:tcW w:w="1418" w:type="dxa"/>
            <w:shd w:val="clear" w:color="auto" w:fill="auto"/>
            <w:vAlign w:val="center"/>
          </w:tcPr>
          <w:p w14:paraId="1C97C54B"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参与单位名称及人员姓名</w:t>
            </w:r>
          </w:p>
        </w:tc>
        <w:tc>
          <w:tcPr>
            <w:tcW w:w="7796" w:type="dxa"/>
            <w:gridSpan w:val="2"/>
            <w:shd w:val="clear" w:color="auto" w:fill="auto"/>
            <w:noWrap/>
          </w:tcPr>
          <w:tbl>
            <w:tblPr>
              <w:tblStyle w:val="af0"/>
              <w:tblW w:w="74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0B0C6F" w:rsidRPr="00676A76" w14:paraId="1A76143D" w14:textId="77777777" w:rsidTr="004A15EA">
              <w:tc>
                <w:tcPr>
                  <w:tcW w:w="7473" w:type="dxa"/>
                </w:tcPr>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2786"/>
                    <w:gridCol w:w="2179"/>
                  </w:tblGrid>
                  <w:tr w:rsidR="004A15EA" w:rsidRPr="00676A76" w14:paraId="014104B7" w14:textId="77777777" w:rsidTr="004A15EA">
                    <w:tc>
                      <w:tcPr>
                        <w:tcW w:w="2282" w:type="dxa"/>
                      </w:tcPr>
                      <w:p w14:paraId="1173B87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国泰君安：王聪</w:t>
                        </w:r>
                      </w:p>
                    </w:tc>
                    <w:tc>
                      <w:tcPr>
                        <w:tcW w:w="2786" w:type="dxa"/>
                      </w:tcPr>
                      <w:p w14:paraId="1F78E81B"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东北证券：莫然</w:t>
                        </w:r>
                      </w:p>
                    </w:tc>
                    <w:tc>
                      <w:tcPr>
                        <w:tcW w:w="2179" w:type="dxa"/>
                      </w:tcPr>
                      <w:p w14:paraId="7C6D1EB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玄元基金：谢智莲</w:t>
                        </w:r>
                      </w:p>
                    </w:tc>
                  </w:tr>
                  <w:tr w:rsidR="004A15EA" w:rsidRPr="00676A76" w14:paraId="264F39B8" w14:textId="77777777" w:rsidTr="004A15EA">
                    <w:tc>
                      <w:tcPr>
                        <w:tcW w:w="2282" w:type="dxa"/>
                      </w:tcPr>
                      <w:p w14:paraId="365EA20B"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上海证券：杨蕴帆</w:t>
                        </w:r>
                      </w:p>
                    </w:tc>
                    <w:tc>
                      <w:tcPr>
                        <w:tcW w:w="2786" w:type="dxa"/>
                      </w:tcPr>
                      <w:p w14:paraId="677B575D"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嘉实基金：卜宁</w:t>
                        </w:r>
                      </w:p>
                    </w:tc>
                    <w:tc>
                      <w:tcPr>
                        <w:tcW w:w="2179" w:type="dxa"/>
                      </w:tcPr>
                      <w:p w14:paraId="01D36826"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中泰证券：李婧悦</w:t>
                        </w:r>
                      </w:p>
                    </w:tc>
                  </w:tr>
                  <w:tr w:rsidR="004A15EA" w:rsidRPr="00676A76" w14:paraId="59ECE22A" w14:textId="77777777" w:rsidTr="004A15EA">
                    <w:tc>
                      <w:tcPr>
                        <w:tcW w:w="2282" w:type="dxa"/>
                      </w:tcPr>
                      <w:p w14:paraId="48661F5D"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共青城资产：王可丹</w:t>
                        </w:r>
                      </w:p>
                    </w:tc>
                    <w:tc>
                      <w:tcPr>
                        <w:tcW w:w="2786" w:type="dxa"/>
                      </w:tcPr>
                      <w:p w14:paraId="10CE0343"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圆信基金：田玉铎</w:t>
                        </w:r>
                      </w:p>
                    </w:tc>
                    <w:tc>
                      <w:tcPr>
                        <w:tcW w:w="2179" w:type="dxa"/>
                      </w:tcPr>
                      <w:p w14:paraId="4A5FD7F6"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易米基金：杨臻</w:t>
                        </w:r>
                      </w:p>
                    </w:tc>
                  </w:tr>
                  <w:tr w:rsidR="004A15EA" w:rsidRPr="00676A76" w14:paraId="3038304E" w14:textId="77777777" w:rsidTr="004A15EA">
                    <w:tc>
                      <w:tcPr>
                        <w:tcW w:w="2282" w:type="dxa"/>
                      </w:tcPr>
                      <w:p w14:paraId="6FAD516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巨柏资产：王睦恺</w:t>
                        </w:r>
                      </w:p>
                    </w:tc>
                    <w:tc>
                      <w:tcPr>
                        <w:tcW w:w="2786" w:type="dxa"/>
                      </w:tcPr>
                      <w:p w14:paraId="6717D43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泓德基金：黄海</w:t>
                        </w:r>
                      </w:p>
                    </w:tc>
                    <w:tc>
                      <w:tcPr>
                        <w:tcW w:w="2179" w:type="dxa"/>
                      </w:tcPr>
                      <w:p w14:paraId="183479FA" w14:textId="77777777" w:rsidR="004A15EA" w:rsidRPr="00676A76" w:rsidRDefault="004A15EA" w:rsidP="004A15EA">
                        <w:pPr>
                          <w:tabs>
                            <w:tab w:val="left" w:pos="825"/>
                          </w:tabs>
                          <w:rPr>
                            <w:rFonts w:ascii="Times New Roman" w:eastAsia="宋体" w:hAnsi="Times New Roman" w:cs="Times New Roman"/>
                            <w:sz w:val="20"/>
                            <w:szCs w:val="20"/>
                          </w:rPr>
                        </w:pPr>
                        <w:r w:rsidRPr="00676A76">
                          <w:rPr>
                            <w:rFonts w:ascii="Times New Roman" w:eastAsia="宋体" w:hAnsi="Times New Roman" w:cs="Times New Roman"/>
                            <w:sz w:val="20"/>
                            <w:szCs w:val="20"/>
                          </w:rPr>
                          <w:t>慎知资产：李浩田</w:t>
                        </w:r>
                      </w:p>
                    </w:tc>
                  </w:tr>
                  <w:tr w:rsidR="004A15EA" w:rsidRPr="00676A76" w14:paraId="22DC6882" w14:textId="77777777" w:rsidTr="004A15EA">
                    <w:tc>
                      <w:tcPr>
                        <w:tcW w:w="2282" w:type="dxa"/>
                      </w:tcPr>
                      <w:p w14:paraId="76A1FAE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橡果资产：魏鑫</w:t>
                        </w:r>
                      </w:p>
                    </w:tc>
                    <w:tc>
                      <w:tcPr>
                        <w:tcW w:w="2786" w:type="dxa"/>
                      </w:tcPr>
                      <w:p w14:paraId="3F2420B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平安银行：刘颖飞</w:t>
                        </w:r>
                      </w:p>
                    </w:tc>
                    <w:tc>
                      <w:tcPr>
                        <w:tcW w:w="2179" w:type="dxa"/>
                      </w:tcPr>
                      <w:p w14:paraId="6808561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鑫然投资：庄椀筌</w:t>
                        </w:r>
                      </w:p>
                    </w:tc>
                  </w:tr>
                  <w:tr w:rsidR="004A15EA" w:rsidRPr="00676A76" w14:paraId="4B8A5767" w14:textId="77777777" w:rsidTr="004A15EA">
                    <w:tc>
                      <w:tcPr>
                        <w:tcW w:w="2282" w:type="dxa"/>
                      </w:tcPr>
                      <w:p w14:paraId="7CA2121F"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方正证券：王锐</w:t>
                        </w:r>
                      </w:p>
                    </w:tc>
                    <w:tc>
                      <w:tcPr>
                        <w:tcW w:w="2786" w:type="dxa"/>
                      </w:tcPr>
                      <w:p w14:paraId="709E39B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QIANYICAPITAL</w:t>
                        </w:r>
                        <w:r w:rsidRPr="00676A76">
                          <w:rPr>
                            <w:rFonts w:ascii="Times New Roman" w:eastAsia="宋体" w:hAnsi="Times New Roman" w:cs="Times New Roman"/>
                            <w:sz w:val="20"/>
                            <w:szCs w:val="20"/>
                          </w:rPr>
                          <w:t>：许高飞</w:t>
                        </w:r>
                      </w:p>
                    </w:tc>
                    <w:tc>
                      <w:tcPr>
                        <w:tcW w:w="2179" w:type="dxa"/>
                      </w:tcPr>
                      <w:p w14:paraId="0119883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长江证券：任楠</w:t>
                        </w:r>
                      </w:p>
                    </w:tc>
                  </w:tr>
                  <w:tr w:rsidR="004A15EA" w:rsidRPr="00676A76" w14:paraId="7B7A50AB" w14:textId="77777777" w:rsidTr="004A15EA">
                    <w:tc>
                      <w:tcPr>
                        <w:tcW w:w="2282" w:type="dxa"/>
                      </w:tcPr>
                      <w:p w14:paraId="1547EC94"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华创证券：丁祎、范益民</w:t>
                        </w:r>
                      </w:p>
                    </w:tc>
                    <w:tc>
                      <w:tcPr>
                        <w:tcW w:w="2786" w:type="dxa"/>
                      </w:tcPr>
                      <w:p w14:paraId="034BA6C3"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尚诚资产：杜新正、黄向前</w:t>
                        </w:r>
                      </w:p>
                    </w:tc>
                    <w:tc>
                      <w:tcPr>
                        <w:tcW w:w="2179" w:type="dxa"/>
                      </w:tcPr>
                      <w:p w14:paraId="084934C6" w14:textId="7176BA66"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果行育德：宋海亮</w:t>
                        </w:r>
                      </w:p>
                    </w:tc>
                  </w:tr>
                  <w:tr w:rsidR="004A15EA" w:rsidRPr="00676A76" w14:paraId="6DC62736" w14:textId="77777777" w:rsidTr="004A15EA">
                    <w:tc>
                      <w:tcPr>
                        <w:tcW w:w="2282" w:type="dxa"/>
                      </w:tcPr>
                      <w:p w14:paraId="1E759E8F"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广发证券：陈龙</w:t>
                        </w:r>
                      </w:p>
                    </w:tc>
                    <w:tc>
                      <w:tcPr>
                        <w:tcW w:w="2786" w:type="dxa"/>
                      </w:tcPr>
                      <w:p w14:paraId="2150949D" w14:textId="32B696F3"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华安证券：陈重伊、傅欣璐</w:t>
                        </w:r>
                      </w:p>
                    </w:tc>
                    <w:tc>
                      <w:tcPr>
                        <w:tcW w:w="2179" w:type="dxa"/>
                      </w:tcPr>
                      <w:p w14:paraId="2B621B82" w14:textId="60DA5A33"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山西证券：谷茜</w:t>
                        </w:r>
                      </w:p>
                    </w:tc>
                  </w:tr>
                  <w:tr w:rsidR="004A15EA" w:rsidRPr="00676A76" w14:paraId="309DED13" w14:textId="77777777" w:rsidTr="004A15EA">
                    <w:tc>
                      <w:tcPr>
                        <w:tcW w:w="2282" w:type="dxa"/>
                      </w:tcPr>
                      <w:p w14:paraId="65DB2C6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东兴证券：祁岩</w:t>
                        </w:r>
                      </w:p>
                    </w:tc>
                    <w:tc>
                      <w:tcPr>
                        <w:tcW w:w="2786" w:type="dxa"/>
                      </w:tcPr>
                      <w:p w14:paraId="2443CAA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秋阳予梁：郑捷</w:t>
                        </w:r>
                      </w:p>
                    </w:tc>
                    <w:tc>
                      <w:tcPr>
                        <w:tcW w:w="2179" w:type="dxa"/>
                      </w:tcPr>
                      <w:p w14:paraId="57C1607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英谊资产：张睿智</w:t>
                        </w:r>
                      </w:p>
                    </w:tc>
                  </w:tr>
                  <w:tr w:rsidR="004A15EA" w:rsidRPr="00676A76" w14:paraId="3E3C7EA0" w14:textId="77777777" w:rsidTr="004A15EA">
                    <w:tc>
                      <w:tcPr>
                        <w:tcW w:w="2282" w:type="dxa"/>
                      </w:tcPr>
                      <w:p w14:paraId="359CCED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国融基金：陈晓晨</w:t>
                        </w:r>
                      </w:p>
                    </w:tc>
                    <w:tc>
                      <w:tcPr>
                        <w:tcW w:w="2786" w:type="dxa"/>
                      </w:tcPr>
                      <w:p w14:paraId="5BB6E464"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长城证券：王龙、胡纪元</w:t>
                        </w:r>
                      </w:p>
                    </w:tc>
                    <w:tc>
                      <w:tcPr>
                        <w:tcW w:w="2179" w:type="dxa"/>
                      </w:tcPr>
                      <w:p w14:paraId="1264C093" w14:textId="3DEBC0C9"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财通证券：王雨然</w:t>
                        </w:r>
                      </w:p>
                    </w:tc>
                  </w:tr>
                  <w:tr w:rsidR="004A15EA" w:rsidRPr="00676A76" w14:paraId="752F37FC" w14:textId="77777777" w:rsidTr="004A15EA">
                    <w:tc>
                      <w:tcPr>
                        <w:tcW w:w="2282" w:type="dxa"/>
                      </w:tcPr>
                      <w:p w14:paraId="31D294F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中邮证券：中邮证券</w:t>
                        </w:r>
                      </w:p>
                    </w:tc>
                    <w:tc>
                      <w:tcPr>
                        <w:tcW w:w="2786" w:type="dxa"/>
                      </w:tcPr>
                      <w:p w14:paraId="76A8D310" w14:textId="5D5D59E3"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招商证券：朱艺晴、谌薇</w:t>
                        </w:r>
                      </w:p>
                    </w:tc>
                    <w:tc>
                      <w:tcPr>
                        <w:tcW w:w="2179" w:type="dxa"/>
                      </w:tcPr>
                      <w:p w14:paraId="45B61422" w14:textId="049872D1"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华夏基金：马伟恩</w:t>
                        </w:r>
                      </w:p>
                    </w:tc>
                  </w:tr>
                  <w:tr w:rsidR="004A15EA" w:rsidRPr="00676A76" w14:paraId="3CEE487D" w14:textId="77777777" w:rsidTr="004A15EA">
                    <w:tc>
                      <w:tcPr>
                        <w:tcW w:w="2282" w:type="dxa"/>
                      </w:tcPr>
                      <w:p w14:paraId="2F83C45F"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鹤禧私募：夏添</w:t>
                        </w:r>
                      </w:p>
                    </w:tc>
                    <w:tc>
                      <w:tcPr>
                        <w:tcW w:w="2786" w:type="dxa"/>
                      </w:tcPr>
                      <w:p w14:paraId="6D1133DF" w14:textId="5B2F36C2"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大家资产：徐博</w:t>
                        </w:r>
                      </w:p>
                    </w:tc>
                    <w:tc>
                      <w:tcPr>
                        <w:tcW w:w="2179" w:type="dxa"/>
                      </w:tcPr>
                      <w:p w14:paraId="47FFD72A" w14:textId="3D549DD6"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安信证券：胡园园等</w:t>
                        </w:r>
                      </w:p>
                    </w:tc>
                  </w:tr>
                  <w:tr w:rsidR="004A15EA" w:rsidRPr="00676A76" w14:paraId="089EEB70" w14:textId="77777777" w:rsidTr="004A15EA">
                    <w:tc>
                      <w:tcPr>
                        <w:tcW w:w="2282" w:type="dxa"/>
                      </w:tcPr>
                      <w:p w14:paraId="1C5FC246"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中信证券：周霆瑄</w:t>
                        </w:r>
                      </w:p>
                    </w:tc>
                    <w:tc>
                      <w:tcPr>
                        <w:tcW w:w="2786" w:type="dxa"/>
                      </w:tcPr>
                      <w:p w14:paraId="20ACA94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华福证券：赵欣文、汪磊</w:t>
                        </w:r>
                      </w:p>
                    </w:tc>
                    <w:tc>
                      <w:tcPr>
                        <w:tcW w:w="2179" w:type="dxa"/>
                      </w:tcPr>
                      <w:p w14:paraId="1AE61ACD"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易方达：蔡荣成</w:t>
                        </w:r>
                      </w:p>
                    </w:tc>
                  </w:tr>
                  <w:tr w:rsidR="004A15EA" w:rsidRPr="00676A76" w14:paraId="3E4BB581" w14:textId="77777777" w:rsidTr="004A15EA">
                    <w:tc>
                      <w:tcPr>
                        <w:tcW w:w="2282" w:type="dxa"/>
                      </w:tcPr>
                      <w:p w14:paraId="53BAEDAB"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中原证券：邹臣</w:t>
                        </w:r>
                      </w:p>
                    </w:tc>
                    <w:tc>
                      <w:tcPr>
                        <w:tcW w:w="2786" w:type="dxa"/>
                      </w:tcPr>
                      <w:p w14:paraId="453CABF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信泰人寿：吴建明</w:t>
                        </w:r>
                      </w:p>
                    </w:tc>
                    <w:tc>
                      <w:tcPr>
                        <w:tcW w:w="2179" w:type="dxa"/>
                      </w:tcPr>
                      <w:p w14:paraId="439ECDD8"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红杉资本：闫慧辰</w:t>
                        </w:r>
                      </w:p>
                    </w:tc>
                  </w:tr>
                  <w:tr w:rsidR="004A15EA" w:rsidRPr="00676A76" w14:paraId="1D08D5BB" w14:textId="77777777" w:rsidTr="004A15EA">
                    <w:tc>
                      <w:tcPr>
                        <w:tcW w:w="2282" w:type="dxa"/>
                      </w:tcPr>
                      <w:p w14:paraId="797EEE2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西部证券：牛先智</w:t>
                        </w:r>
                      </w:p>
                    </w:tc>
                    <w:tc>
                      <w:tcPr>
                        <w:tcW w:w="2786" w:type="dxa"/>
                      </w:tcPr>
                      <w:p w14:paraId="158240C8" w14:textId="67795C25"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东北证券：武芃睿、孟爽</w:t>
                        </w:r>
                      </w:p>
                    </w:tc>
                    <w:tc>
                      <w:tcPr>
                        <w:tcW w:w="2179" w:type="dxa"/>
                      </w:tcPr>
                      <w:p w14:paraId="40FBF593" w14:textId="280A809F"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谦心投资：柴志华正</w:t>
                        </w:r>
                      </w:p>
                    </w:tc>
                  </w:tr>
                  <w:tr w:rsidR="004A15EA" w:rsidRPr="00676A76" w14:paraId="4B75366F" w14:textId="77777777" w:rsidTr="004A15EA">
                    <w:tc>
                      <w:tcPr>
                        <w:tcW w:w="2282" w:type="dxa"/>
                      </w:tcPr>
                      <w:p w14:paraId="76FC2BC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明河投资：姜宇帆</w:t>
                        </w:r>
                      </w:p>
                    </w:tc>
                    <w:tc>
                      <w:tcPr>
                        <w:tcW w:w="2786" w:type="dxa"/>
                      </w:tcPr>
                      <w:p w14:paraId="4328E1D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嘉世基金：李其东</w:t>
                        </w:r>
                      </w:p>
                    </w:tc>
                    <w:tc>
                      <w:tcPr>
                        <w:tcW w:w="2179" w:type="dxa"/>
                      </w:tcPr>
                      <w:p w14:paraId="126BC51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云杉投资：李晟</w:t>
                        </w:r>
                      </w:p>
                    </w:tc>
                  </w:tr>
                  <w:tr w:rsidR="004A15EA" w:rsidRPr="00676A76" w14:paraId="0545FAFF" w14:textId="77777777" w:rsidTr="004A15EA">
                    <w:tc>
                      <w:tcPr>
                        <w:tcW w:w="2282" w:type="dxa"/>
                      </w:tcPr>
                      <w:p w14:paraId="6AB61EC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裕晋投资：邵仕威</w:t>
                        </w:r>
                      </w:p>
                    </w:tc>
                    <w:tc>
                      <w:tcPr>
                        <w:tcW w:w="2786" w:type="dxa"/>
                      </w:tcPr>
                      <w:p w14:paraId="67C8C6E9" w14:textId="35F50A29"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信达基金：王建华、吴加</w:t>
                        </w:r>
                      </w:p>
                    </w:tc>
                    <w:tc>
                      <w:tcPr>
                        <w:tcW w:w="2179" w:type="dxa"/>
                      </w:tcPr>
                      <w:p w14:paraId="1C83BF13" w14:textId="0402A948"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祥盈基金：杨晓宁</w:t>
                        </w:r>
                        <w:r w:rsidRPr="00676A76">
                          <w:rPr>
                            <w:rFonts w:ascii="Times New Roman" w:eastAsia="宋体" w:hAnsi="Times New Roman" w:cs="Times New Roman"/>
                            <w:color w:val="000000"/>
                            <w:sz w:val="20"/>
                            <w:szCs w:val="20"/>
                          </w:rPr>
                          <w:t>等</w:t>
                        </w:r>
                      </w:p>
                    </w:tc>
                  </w:tr>
                  <w:tr w:rsidR="004A15EA" w:rsidRPr="00676A76" w14:paraId="49BF2A15" w14:textId="77777777" w:rsidTr="004A15EA">
                    <w:tc>
                      <w:tcPr>
                        <w:tcW w:w="2282" w:type="dxa"/>
                      </w:tcPr>
                      <w:p w14:paraId="68BAB9DD"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国盛证券：陈冠宇</w:t>
                        </w:r>
                      </w:p>
                    </w:tc>
                    <w:tc>
                      <w:tcPr>
                        <w:tcW w:w="2786" w:type="dxa"/>
                      </w:tcPr>
                      <w:p w14:paraId="5E793A16" w14:textId="43829CED"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国海证券：王宗凯</w:t>
                        </w:r>
                      </w:p>
                    </w:tc>
                    <w:tc>
                      <w:tcPr>
                        <w:tcW w:w="2179" w:type="dxa"/>
                      </w:tcPr>
                      <w:p w14:paraId="6BB63FE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亚太保险：赵润颐</w:t>
                        </w:r>
                      </w:p>
                    </w:tc>
                  </w:tr>
                  <w:tr w:rsidR="004A15EA" w:rsidRPr="00676A76" w14:paraId="7F90EB7E" w14:textId="77777777" w:rsidTr="004A15EA">
                    <w:tc>
                      <w:tcPr>
                        <w:tcW w:w="2282" w:type="dxa"/>
                      </w:tcPr>
                      <w:p w14:paraId="45BE5074"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海牛资产：秋莲</w:t>
                        </w:r>
                      </w:p>
                    </w:tc>
                    <w:tc>
                      <w:tcPr>
                        <w:tcW w:w="2786" w:type="dxa"/>
                      </w:tcPr>
                      <w:p w14:paraId="31215067"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泰德投资：李妮莎</w:t>
                        </w:r>
                      </w:p>
                    </w:tc>
                    <w:tc>
                      <w:tcPr>
                        <w:tcW w:w="2179" w:type="dxa"/>
                      </w:tcPr>
                      <w:p w14:paraId="66164639"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南土资产：赵炙阳</w:t>
                        </w:r>
                      </w:p>
                    </w:tc>
                  </w:tr>
                  <w:tr w:rsidR="004A15EA" w:rsidRPr="00676A76" w14:paraId="4F47F6A2" w14:textId="77777777" w:rsidTr="004A15EA">
                    <w:tc>
                      <w:tcPr>
                        <w:tcW w:w="2282" w:type="dxa"/>
                      </w:tcPr>
                      <w:p w14:paraId="75A74B76"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中金股份：张怡康</w:t>
                        </w:r>
                      </w:p>
                    </w:tc>
                    <w:tc>
                      <w:tcPr>
                        <w:tcW w:w="2786" w:type="dxa"/>
                      </w:tcPr>
                      <w:p w14:paraId="2E06F676" w14:textId="7524D584"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中信建投：吴广浩、</w:t>
                        </w:r>
                        <w:r w:rsidRPr="00676A76">
                          <w:rPr>
                            <w:rFonts w:ascii="Times New Roman" w:eastAsia="宋体" w:hAnsi="Times New Roman" w:cs="Times New Roman"/>
                            <w:color w:val="000000"/>
                            <w:sz w:val="20"/>
                            <w:szCs w:val="20"/>
                          </w:rPr>
                          <w:t>毛晨</w:t>
                        </w:r>
                      </w:p>
                    </w:tc>
                    <w:tc>
                      <w:tcPr>
                        <w:tcW w:w="2179" w:type="dxa"/>
                      </w:tcPr>
                      <w:p w14:paraId="5C29EBCD" w14:textId="1395D010"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国泰基金：张阳等</w:t>
                        </w:r>
                      </w:p>
                    </w:tc>
                  </w:tr>
                  <w:tr w:rsidR="004A15EA" w:rsidRPr="00676A76" w14:paraId="74C33C35" w14:textId="77777777" w:rsidTr="004A15EA">
                    <w:tc>
                      <w:tcPr>
                        <w:tcW w:w="2282" w:type="dxa"/>
                      </w:tcPr>
                      <w:p w14:paraId="16CD728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博时基金：刘宁</w:t>
                        </w:r>
                      </w:p>
                    </w:tc>
                    <w:tc>
                      <w:tcPr>
                        <w:tcW w:w="2786" w:type="dxa"/>
                      </w:tcPr>
                      <w:p w14:paraId="62B072EC" w14:textId="45E1D403"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东吴证券：任逸轩、袁理等</w:t>
                        </w:r>
                      </w:p>
                    </w:tc>
                    <w:tc>
                      <w:tcPr>
                        <w:tcW w:w="2179" w:type="dxa"/>
                      </w:tcPr>
                      <w:p w14:paraId="2635B09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中航基金：陈周飞</w:t>
                        </w:r>
                      </w:p>
                    </w:tc>
                  </w:tr>
                  <w:tr w:rsidR="004A15EA" w:rsidRPr="00676A76" w14:paraId="42BF38C6" w14:textId="77777777" w:rsidTr="004A15EA">
                    <w:tc>
                      <w:tcPr>
                        <w:tcW w:w="2282" w:type="dxa"/>
                      </w:tcPr>
                      <w:p w14:paraId="00E9AA6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汇丰晋信：韦钰</w:t>
                        </w:r>
                      </w:p>
                    </w:tc>
                    <w:tc>
                      <w:tcPr>
                        <w:tcW w:w="2786" w:type="dxa"/>
                      </w:tcPr>
                      <w:p w14:paraId="1F3BE41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锡富敦投资：倪若琳</w:t>
                        </w:r>
                      </w:p>
                    </w:tc>
                    <w:tc>
                      <w:tcPr>
                        <w:tcW w:w="2179" w:type="dxa"/>
                      </w:tcPr>
                      <w:p w14:paraId="57AA7E61"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格林基金：梁亚辉</w:t>
                        </w:r>
                      </w:p>
                    </w:tc>
                  </w:tr>
                  <w:tr w:rsidR="004A15EA" w:rsidRPr="00676A76" w14:paraId="42B24BEF" w14:textId="77777777" w:rsidTr="004A15EA">
                    <w:tc>
                      <w:tcPr>
                        <w:tcW w:w="2282" w:type="dxa"/>
                      </w:tcPr>
                      <w:p w14:paraId="3CF1EAE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瀚川投资：胡金戈</w:t>
                        </w:r>
                      </w:p>
                    </w:tc>
                    <w:tc>
                      <w:tcPr>
                        <w:tcW w:w="2786" w:type="dxa"/>
                      </w:tcPr>
                      <w:p w14:paraId="27CCA99C" w14:textId="755BA5D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海通证券：杨寅琛、李轩</w:t>
                        </w:r>
                      </w:p>
                    </w:tc>
                    <w:tc>
                      <w:tcPr>
                        <w:tcW w:w="2179" w:type="dxa"/>
                      </w:tcPr>
                      <w:p w14:paraId="7193806A"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乾图基金：张峰</w:t>
                        </w:r>
                      </w:p>
                    </w:tc>
                  </w:tr>
                  <w:tr w:rsidR="004A15EA" w:rsidRPr="00676A76" w14:paraId="3FBAAF50" w14:textId="77777777" w:rsidTr="004A15EA">
                    <w:tc>
                      <w:tcPr>
                        <w:tcW w:w="2282" w:type="dxa"/>
                      </w:tcPr>
                      <w:p w14:paraId="4D17D92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东海基金：何泽材</w:t>
                        </w:r>
                      </w:p>
                    </w:tc>
                    <w:tc>
                      <w:tcPr>
                        <w:tcW w:w="2786" w:type="dxa"/>
                      </w:tcPr>
                      <w:p w14:paraId="26F38CE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国联基金：焦阳、熊军</w:t>
                        </w:r>
                      </w:p>
                    </w:tc>
                    <w:tc>
                      <w:tcPr>
                        <w:tcW w:w="2179" w:type="dxa"/>
                      </w:tcPr>
                      <w:p w14:paraId="68708567"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青岛朋元</w:t>
                        </w:r>
                        <w:r w:rsidRPr="00676A76">
                          <w:rPr>
                            <w:rFonts w:ascii="Times New Roman" w:eastAsia="宋体" w:hAnsi="Times New Roman" w:cs="Times New Roman"/>
                            <w:sz w:val="20"/>
                            <w:szCs w:val="20"/>
                          </w:rPr>
                          <w:t xml:space="preserve">: </w:t>
                        </w:r>
                        <w:r w:rsidRPr="00676A76">
                          <w:rPr>
                            <w:rFonts w:ascii="Times New Roman" w:eastAsia="宋体" w:hAnsi="Times New Roman" w:cs="Times New Roman"/>
                            <w:sz w:val="20"/>
                            <w:szCs w:val="20"/>
                          </w:rPr>
                          <w:t>秦健丽</w:t>
                        </w:r>
                      </w:p>
                    </w:tc>
                  </w:tr>
                  <w:tr w:rsidR="004A15EA" w:rsidRPr="00676A76" w14:paraId="1B8EF303" w14:textId="77777777" w:rsidTr="004A15EA">
                    <w:tc>
                      <w:tcPr>
                        <w:tcW w:w="2282" w:type="dxa"/>
                      </w:tcPr>
                      <w:p w14:paraId="77E4634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恒昇基金</w:t>
                        </w:r>
                        <w:r w:rsidRPr="00676A76">
                          <w:rPr>
                            <w:rFonts w:ascii="Times New Roman" w:eastAsia="宋体" w:hAnsi="Times New Roman" w:cs="Times New Roman"/>
                            <w:sz w:val="20"/>
                            <w:szCs w:val="20"/>
                          </w:rPr>
                          <w:t xml:space="preserve">: </w:t>
                        </w:r>
                        <w:r w:rsidRPr="00676A76">
                          <w:rPr>
                            <w:rFonts w:ascii="Times New Roman" w:eastAsia="宋体" w:hAnsi="Times New Roman" w:cs="Times New Roman"/>
                            <w:sz w:val="20"/>
                            <w:szCs w:val="20"/>
                          </w:rPr>
                          <w:t>罗煦娟</w:t>
                        </w:r>
                      </w:p>
                    </w:tc>
                    <w:tc>
                      <w:tcPr>
                        <w:tcW w:w="2786" w:type="dxa"/>
                      </w:tcPr>
                      <w:p w14:paraId="0FC29FF9"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诺安基金</w:t>
                        </w:r>
                        <w:r w:rsidRPr="00676A76">
                          <w:rPr>
                            <w:rFonts w:ascii="Times New Roman" w:eastAsia="宋体" w:hAnsi="Times New Roman" w:cs="Times New Roman"/>
                            <w:sz w:val="20"/>
                            <w:szCs w:val="20"/>
                          </w:rPr>
                          <w:t xml:space="preserve">: </w:t>
                        </w:r>
                        <w:r w:rsidRPr="00676A76">
                          <w:rPr>
                            <w:rFonts w:ascii="Times New Roman" w:eastAsia="宋体" w:hAnsi="Times New Roman" w:cs="Times New Roman"/>
                            <w:sz w:val="20"/>
                            <w:szCs w:val="20"/>
                          </w:rPr>
                          <w:t>李顺帆、</w:t>
                        </w:r>
                        <w:r w:rsidRPr="00676A76">
                          <w:rPr>
                            <w:rFonts w:ascii="Times New Roman" w:eastAsia="宋体" w:hAnsi="Times New Roman" w:cs="Times New Roman"/>
                            <w:color w:val="000000"/>
                            <w:sz w:val="20"/>
                            <w:szCs w:val="20"/>
                          </w:rPr>
                          <w:t>李玉良</w:t>
                        </w:r>
                      </w:p>
                    </w:tc>
                    <w:tc>
                      <w:tcPr>
                        <w:tcW w:w="2179" w:type="dxa"/>
                      </w:tcPr>
                      <w:p w14:paraId="387FD804"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鑫元基金</w:t>
                        </w:r>
                        <w:r w:rsidRPr="00676A76">
                          <w:rPr>
                            <w:rFonts w:ascii="Times New Roman" w:eastAsia="宋体" w:hAnsi="Times New Roman" w:cs="Times New Roman"/>
                            <w:sz w:val="20"/>
                            <w:szCs w:val="20"/>
                          </w:rPr>
                          <w:t xml:space="preserve">: </w:t>
                        </w:r>
                        <w:r w:rsidRPr="00676A76">
                          <w:rPr>
                            <w:rFonts w:ascii="Times New Roman" w:eastAsia="宋体" w:hAnsi="Times New Roman" w:cs="Times New Roman"/>
                            <w:sz w:val="20"/>
                            <w:szCs w:val="20"/>
                          </w:rPr>
                          <w:t>葛天伟</w:t>
                        </w:r>
                      </w:p>
                    </w:tc>
                  </w:tr>
                  <w:tr w:rsidR="004A15EA" w:rsidRPr="00676A76" w14:paraId="62443AEF" w14:textId="77777777" w:rsidTr="004A15EA">
                    <w:tc>
                      <w:tcPr>
                        <w:tcW w:w="2282" w:type="dxa"/>
                      </w:tcPr>
                      <w:p w14:paraId="560D8099"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高竹基金：李心宇</w:t>
                        </w:r>
                      </w:p>
                    </w:tc>
                    <w:tc>
                      <w:tcPr>
                        <w:tcW w:w="2786" w:type="dxa"/>
                      </w:tcPr>
                      <w:p w14:paraId="5F0B447F"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极灏基金：王照峰</w:t>
                        </w:r>
                      </w:p>
                    </w:tc>
                    <w:tc>
                      <w:tcPr>
                        <w:tcW w:w="2179" w:type="dxa"/>
                      </w:tcPr>
                      <w:p w14:paraId="4E4FB0F3"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海恩投资：李永宏</w:t>
                        </w:r>
                      </w:p>
                    </w:tc>
                  </w:tr>
                  <w:tr w:rsidR="004A15EA" w:rsidRPr="00676A76" w14:paraId="08E77BC6" w14:textId="77777777" w:rsidTr="004A15EA">
                    <w:tc>
                      <w:tcPr>
                        <w:tcW w:w="2282" w:type="dxa"/>
                      </w:tcPr>
                      <w:p w14:paraId="6E95C8CD"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东方证券：吕林、韩冰</w:t>
                        </w:r>
                      </w:p>
                    </w:tc>
                    <w:tc>
                      <w:tcPr>
                        <w:tcW w:w="2786" w:type="dxa"/>
                      </w:tcPr>
                      <w:p w14:paraId="0345427C" w14:textId="5F04843D"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光大证券：王之含、刘凯</w:t>
                        </w:r>
                      </w:p>
                    </w:tc>
                    <w:tc>
                      <w:tcPr>
                        <w:tcW w:w="2179" w:type="dxa"/>
                      </w:tcPr>
                      <w:p w14:paraId="131432A4"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永赢基金：张海啸</w:t>
                        </w:r>
                      </w:p>
                    </w:tc>
                  </w:tr>
                  <w:tr w:rsidR="004A15EA" w:rsidRPr="00676A76" w14:paraId="24E0B94C" w14:textId="77777777" w:rsidTr="004A15EA">
                    <w:tc>
                      <w:tcPr>
                        <w:tcW w:w="2282" w:type="dxa"/>
                      </w:tcPr>
                      <w:p w14:paraId="33841C45"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益理资产：陈加栋</w:t>
                        </w:r>
                      </w:p>
                    </w:tc>
                    <w:tc>
                      <w:tcPr>
                        <w:tcW w:w="2786" w:type="dxa"/>
                      </w:tcPr>
                      <w:p w14:paraId="6E3D4586"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创金基金：王先伟</w:t>
                        </w:r>
                      </w:p>
                    </w:tc>
                    <w:tc>
                      <w:tcPr>
                        <w:tcW w:w="2179" w:type="dxa"/>
                      </w:tcPr>
                      <w:p w14:paraId="3FA12A4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光大德信：林晓凤</w:t>
                        </w:r>
                      </w:p>
                    </w:tc>
                  </w:tr>
                  <w:tr w:rsidR="004A15EA" w:rsidRPr="00676A76" w14:paraId="7BCD1972" w14:textId="77777777" w:rsidTr="004A15EA">
                    <w:tc>
                      <w:tcPr>
                        <w:tcW w:w="2282" w:type="dxa"/>
                      </w:tcPr>
                      <w:p w14:paraId="5C314C9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途灵资产：赵梓峰</w:t>
                        </w:r>
                      </w:p>
                    </w:tc>
                    <w:tc>
                      <w:tcPr>
                        <w:tcW w:w="2786" w:type="dxa"/>
                      </w:tcPr>
                      <w:p w14:paraId="6A54D8C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生命保险：何佳天</w:t>
                        </w:r>
                      </w:p>
                    </w:tc>
                    <w:tc>
                      <w:tcPr>
                        <w:tcW w:w="2179" w:type="dxa"/>
                      </w:tcPr>
                      <w:p w14:paraId="540C6D62"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上海钰磊：毛金冲</w:t>
                        </w:r>
                      </w:p>
                    </w:tc>
                  </w:tr>
                  <w:tr w:rsidR="004A15EA" w:rsidRPr="00676A76" w14:paraId="1B70C375" w14:textId="77777777" w:rsidTr="004A15EA">
                    <w:tc>
                      <w:tcPr>
                        <w:tcW w:w="2282" w:type="dxa"/>
                      </w:tcPr>
                      <w:p w14:paraId="06562A3F"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lastRenderedPageBreak/>
                          <w:t>高澈投资：蒋明甫</w:t>
                        </w:r>
                      </w:p>
                    </w:tc>
                    <w:tc>
                      <w:tcPr>
                        <w:tcW w:w="2786" w:type="dxa"/>
                      </w:tcPr>
                      <w:p w14:paraId="329F61DE"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银华基金：華王翔、</w:t>
                        </w:r>
                        <w:r w:rsidRPr="00676A76">
                          <w:rPr>
                            <w:rFonts w:ascii="Times New Roman" w:eastAsia="宋体" w:hAnsi="Times New Roman" w:cs="Times New Roman"/>
                            <w:color w:val="000000"/>
                            <w:sz w:val="20"/>
                            <w:szCs w:val="20"/>
                          </w:rPr>
                          <w:t>邵子豪</w:t>
                        </w:r>
                      </w:p>
                    </w:tc>
                    <w:tc>
                      <w:tcPr>
                        <w:tcW w:w="2179" w:type="dxa"/>
                      </w:tcPr>
                      <w:p w14:paraId="277A5738"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民生证券：李思韦</w:t>
                        </w:r>
                      </w:p>
                    </w:tc>
                  </w:tr>
                  <w:tr w:rsidR="004A15EA" w:rsidRPr="00676A76" w14:paraId="12038E10" w14:textId="77777777" w:rsidTr="004A15EA">
                    <w:tc>
                      <w:tcPr>
                        <w:tcW w:w="2282" w:type="dxa"/>
                      </w:tcPr>
                      <w:p w14:paraId="50071740"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新华基金：陈磊</w:t>
                        </w:r>
                      </w:p>
                    </w:tc>
                    <w:tc>
                      <w:tcPr>
                        <w:tcW w:w="2786" w:type="dxa"/>
                      </w:tcPr>
                      <w:p w14:paraId="3B13D17C" w14:textId="77777777"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华西基金：李建伟、王宁山等</w:t>
                        </w:r>
                      </w:p>
                    </w:tc>
                    <w:tc>
                      <w:tcPr>
                        <w:tcW w:w="2179" w:type="dxa"/>
                      </w:tcPr>
                      <w:p w14:paraId="025856B8" w14:textId="79E4F128"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汇升投资：李栋</w:t>
                        </w:r>
                      </w:p>
                    </w:tc>
                  </w:tr>
                  <w:tr w:rsidR="004A15EA" w:rsidRPr="00676A76" w14:paraId="3ECEAE0C" w14:textId="77777777" w:rsidTr="00570BE9">
                    <w:tc>
                      <w:tcPr>
                        <w:tcW w:w="7247" w:type="dxa"/>
                        <w:gridSpan w:val="3"/>
                      </w:tcPr>
                      <w:p w14:paraId="076813DD" w14:textId="38AAC90F" w:rsidR="004A15EA"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color w:val="000000"/>
                            <w:sz w:val="20"/>
                            <w:szCs w:val="20"/>
                          </w:rPr>
                          <w:t>财通证券：王雨然</w:t>
                        </w:r>
                        <w:r w:rsidRPr="00676A76">
                          <w:rPr>
                            <w:rFonts w:ascii="Times New Roman" w:eastAsia="宋体" w:hAnsi="Times New Roman" w:cs="Times New Roman"/>
                            <w:sz w:val="20"/>
                            <w:szCs w:val="20"/>
                          </w:rPr>
                          <w:t xml:space="preserve"> </w:t>
                        </w:r>
                        <w:r w:rsidR="00464D16">
                          <w:rPr>
                            <w:rFonts w:ascii="Times New Roman" w:eastAsia="宋体" w:hAnsi="Times New Roman" w:cs="Times New Roman"/>
                            <w:sz w:val="20"/>
                            <w:szCs w:val="20"/>
                          </w:rPr>
                          <w:t xml:space="preserve">      </w:t>
                        </w:r>
                        <w:r w:rsidRPr="00676A76">
                          <w:rPr>
                            <w:rFonts w:ascii="Times New Roman" w:eastAsia="宋体" w:hAnsi="Times New Roman" w:cs="Times New Roman"/>
                            <w:sz w:val="20"/>
                            <w:szCs w:val="20"/>
                          </w:rPr>
                          <w:t>JK Capital Management Limited</w:t>
                        </w:r>
                        <w:r w:rsidRPr="00676A76">
                          <w:rPr>
                            <w:rFonts w:ascii="Times New Roman" w:eastAsia="宋体" w:hAnsi="Times New Roman" w:cs="Times New Roman"/>
                            <w:sz w:val="20"/>
                            <w:szCs w:val="20"/>
                          </w:rPr>
                          <w:t>：邱雨菲</w:t>
                        </w:r>
                      </w:p>
                    </w:tc>
                  </w:tr>
                  <w:tr w:rsidR="004A15EA" w:rsidRPr="00676A76" w14:paraId="25A7626A" w14:textId="77777777" w:rsidTr="00464D16">
                    <w:trPr>
                      <w:trHeight w:val="326"/>
                    </w:trPr>
                    <w:tc>
                      <w:tcPr>
                        <w:tcW w:w="7247" w:type="dxa"/>
                        <w:gridSpan w:val="3"/>
                      </w:tcPr>
                      <w:p w14:paraId="53B36E9D" w14:textId="3539BC60" w:rsidR="00CD4126" w:rsidRPr="00676A76" w:rsidRDefault="004A15EA" w:rsidP="004A15EA">
                        <w:pPr>
                          <w:rPr>
                            <w:rFonts w:ascii="Times New Roman" w:eastAsia="宋体" w:hAnsi="Times New Roman" w:cs="Times New Roman"/>
                            <w:sz w:val="20"/>
                            <w:szCs w:val="20"/>
                          </w:rPr>
                        </w:pPr>
                        <w:r w:rsidRPr="00676A76">
                          <w:rPr>
                            <w:rFonts w:ascii="Times New Roman" w:eastAsia="宋体" w:hAnsi="Times New Roman" w:cs="Times New Roman"/>
                            <w:sz w:val="20"/>
                            <w:szCs w:val="20"/>
                          </w:rPr>
                          <w:t>Hel Ved Capital Management Limited</w:t>
                        </w:r>
                        <w:r w:rsidRPr="00676A76">
                          <w:rPr>
                            <w:rFonts w:ascii="Times New Roman" w:eastAsia="宋体" w:hAnsi="Times New Roman" w:cs="Times New Roman"/>
                            <w:sz w:val="20"/>
                            <w:szCs w:val="20"/>
                          </w:rPr>
                          <w:t>：郭强</w:t>
                        </w:r>
                      </w:p>
                    </w:tc>
                  </w:tr>
                </w:tbl>
                <w:p w14:paraId="35A1C7AD" w14:textId="17EDB21E" w:rsidR="000B0C6F" w:rsidRPr="00676A76" w:rsidRDefault="000B0C6F" w:rsidP="000D0A12">
                  <w:pPr>
                    <w:rPr>
                      <w:rFonts w:ascii="Times New Roman" w:eastAsia="宋体" w:hAnsi="Times New Roman" w:cs="Times New Roman"/>
                      <w:sz w:val="20"/>
                    </w:rPr>
                  </w:pPr>
                </w:p>
              </w:tc>
            </w:tr>
          </w:tbl>
          <w:p w14:paraId="05788F5D" w14:textId="35F7534A" w:rsidR="002A3FBD" w:rsidRPr="00676A76" w:rsidRDefault="002A3FBD" w:rsidP="000D0A12">
            <w:pPr>
              <w:widowControl/>
              <w:rPr>
                <w:rFonts w:ascii="Times New Roman" w:eastAsia="宋体" w:hAnsi="Times New Roman" w:cs="Times New Roman" w:hint="eastAsia"/>
                <w:color w:val="000000"/>
                <w:sz w:val="22"/>
              </w:rPr>
            </w:pPr>
          </w:p>
        </w:tc>
      </w:tr>
      <w:tr w:rsidR="00882A7B" w:rsidRPr="00676A76" w14:paraId="5E20AFF4" w14:textId="77777777" w:rsidTr="00C77DA0">
        <w:trPr>
          <w:trHeight w:val="347"/>
        </w:trPr>
        <w:tc>
          <w:tcPr>
            <w:tcW w:w="1418" w:type="dxa"/>
            <w:shd w:val="clear" w:color="auto" w:fill="auto"/>
            <w:vAlign w:val="center"/>
          </w:tcPr>
          <w:p w14:paraId="78E7E422"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lastRenderedPageBreak/>
              <w:t>上市公司接待人员姓名</w:t>
            </w:r>
          </w:p>
        </w:tc>
        <w:tc>
          <w:tcPr>
            <w:tcW w:w="7796" w:type="dxa"/>
            <w:gridSpan w:val="2"/>
            <w:shd w:val="clear" w:color="auto" w:fill="auto"/>
            <w:noWrap/>
            <w:vAlign w:val="center"/>
          </w:tcPr>
          <w:p w14:paraId="511127B6" w14:textId="295E3DBD" w:rsidR="00882A7B" w:rsidRPr="00676A76" w:rsidRDefault="008A52C2"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董事、</w:t>
            </w:r>
            <w:r w:rsidR="001833BA" w:rsidRPr="00676A76">
              <w:rPr>
                <w:rFonts w:ascii="Times New Roman" w:eastAsia="宋体" w:hAnsi="Times New Roman" w:cs="Times New Roman"/>
                <w:color w:val="000000"/>
                <w:kern w:val="0"/>
                <w:sz w:val="22"/>
              </w:rPr>
              <w:t>首席</w:t>
            </w:r>
            <w:r w:rsidRPr="00676A76">
              <w:rPr>
                <w:rFonts w:ascii="Times New Roman" w:eastAsia="宋体" w:hAnsi="Times New Roman" w:cs="Times New Roman"/>
                <w:color w:val="000000"/>
                <w:kern w:val="0"/>
                <w:sz w:val="22"/>
              </w:rPr>
              <w:t>财务官兼</w:t>
            </w:r>
            <w:r w:rsidR="00603CDE" w:rsidRPr="00676A76">
              <w:rPr>
                <w:rFonts w:ascii="Times New Roman" w:eastAsia="宋体" w:hAnsi="Times New Roman" w:cs="Times New Roman"/>
                <w:color w:val="000000"/>
                <w:kern w:val="0"/>
                <w:sz w:val="22"/>
              </w:rPr>
              <w:t>董事会秘书：陈矜桦</w:t>
            </w:r>
          </w:p>
          <w:p w14:paraId="7327EFA0" w14:textId="1A2D56F3" w:rsidR="002A3FBD" w:rsidRPr="00676A76" w:rsidRDefault="002A3FBD"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kern w:val="0"/>
                <w:sz w:val="22"/>
              </w:rPr>
              <w:t>证券事务代表：吴闻</w:t>
            </w:r>
          </w:p>
        </w:tc>
      </w:tr>
      <w:tr w:rsidR="00882A7B" w:rsidRPr="00676A76" w14:paraId="06B60469" w14:textId="77777777" w:rsidTr="00C77DA0">
        <w:trPr>
          <w:trHeight w:val="1281"/>
        </w:trPr>
        <w:tc>
          <w:tcPr>
            <w:tcW w:w="1418" w:type="dxa"/>
            <w:vMerge w:val="restart"/>
            <w:shd w:val="clear" w:color="auto" w:fill="auto"/>
            <w:vAlign w:val="center"/>
          </w:tcPr>
          <w:p w14:paraId="5E5E37CC"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投资者关系活动主要内容介绍</w:t>
            </w:r>
          </w:p>
        </w:tc>
        <w:tc>
          <w:tcPr>
            <w:tcW w:w="7796" w:type="dxa"/>
            <w:gridSpan w:val="2"/>
            <w:vMerge w:val="restart"/>
            <w:shd w:val="clear" w:color="auto" w:fill="auto"/>
          </w:tcPr>
          <w:p w14:paraId="5FB72D44" w14:textId="2B3CC229" w:rsidR="00CD4126" w:rsidRPr="00676A76" w:rsidRDefault="00CD4126" w:rsidP="00CD4126">
            <w:pPr>
              <w:pStyle w:val="a7"/>
              <w:widowControl/>
              <w:numPr>
                <w:ilvl w:val="0"/>
                <w:numId w:val="1"/>
              </w:numPr>
              <w:ind w:firstLineChars="0"/>
              <w:rPr>
                <w:rFonts w:ascii="Times New Roman" w:eastAsia="宋体" w:hAnsi="Times New Roman" w:cs="Times New Roman"/>
                <w:kern w:val="0"/>
                <w:sz w:val="22"/>
              </w:rPr>
            </w:pPr>
            <w:r w:rsidRPr="00676A76">
              <w:rPr>
                <w:rFonts w:ascii="Times New Roman" w:eastAsia="宋体" w:hAnsi="Times New Roman" w:cs="Times New Roman"/>
                <w:b/>
                <w:kern w:val="0"/>
                <w:sz w:val="22"/>
              </w:rPr>
              <w:t>公司未来毛利率情况？</w:t>
            </w:r>
          </w:p>
          <w:p w14:paraId="11506E09" w14:textId="0813AE50" w:rsidR="00CD4126" w:rsidRPr="00676A76" w:rsidRDefault="00FD7987" w:rsidP="00CD4126">
            <w:pPr>
              <w:rPr>
                <w:rFonts w:ascii="Times New Roman" w:eastAsia="宋体" w:hAnsi="Times New Roman" w:cs="Times New Roman"/>
                <w:kern w:val="0"/>
                <w:sz w:val="22"/>
              </w:rPr>
            </w:pPr>
            <w:r w:rsidRPr="00676A76">
              <w:rPr>
                <w:rFonts w:ascii="Times New Roman" w:eastAsia="宋体" w:hAnsi="Times New Roman" w:cs="Times New Roman"/>
                <w:kern w:val="0"/>
                <w:sz w:val="22"/>
              </w:rPr>
              <w:t>长期来看公司报表整体的毛利率应该是上涨的趋势，主要原因包括</w:t>
            </w:r>
            <w:r w:rsidR="00CD4126" w:rsidRPr="00676A76">
              <w:rPr>
                <w:rFonts w:ascii="Times New Roman" w:eastAsia="宋体" w:hAnsi="Times New Roman" w:cs="Times New Roman"/>
                <w:kern w:val="0"/>
                <w:sz w:val="22"/>
              </w:rPr>
              <w:t>：</w:t>
            </w:r>
            <w:r w:rsidR="00CD4126" w:rsidRPr="00676A76">
              <w:rPr>
                <w:rFonts w:ascii="Times New Roman" w:eastAsia="宋体" w:hAnsi="Times New Roman" w:cs="Times New Roman"/>
                <w:kern w:val="0"/>
                <w:sz w:val="22"/>
              </w:rPr>
              <w:t>1</w:t>
            </w:r>
            <w:r w:rsidR="00CD4126" w:rsidRPr="00676A76">
              <w:rPr>
                <w:rFonts w:ascii="Times New Roman" w:eastAsia="宋体" w:hAnsi="Times New Roman" w:cs="Times New Roman"/>
                <w:kern w:val="0"/>
                <w:sz w:val="22"/>
              </w:rPr>
              <w:t>）公司收入结构中耗材占比不断增加，耗材的毛利率预计可以达到</w:t>
            </w:r>
            <w:r w:rsidR="00CD4126" w:rsidRPr="00676A76">
              <w:rPr>
                <w:rFonts w:ascii="Times New Roman" w:eastAsia="宋体" w:hAnsi="Times New Roman" w:cs="Times New Roman"/>
                <w:kern w:val="0"/>
                <w:sz w:val="22"/>
              </w:rPr>
              <w:t>30%-40%</w:t>
            </w:r>
            <w:r w:rsidR="00CD4126" w:rsidRPr="00676A76">
              <w:rPr>
                <w:rFonts w:ascii="Times New Roman" w:eastAsia="宋体" w:hAnsi="Times New Roman" w:cs="Times New Roman"/>
                <w:kern w:val="0"/>
                <w:sz w:val="22"/>
              </w:rPr>
              <w:t>，设备端的毛利率大致为</w:t>
            </w:r>
            <w:r w:rsidR="00CD4126" w:rsidRPr="00676A76">
              <w:rPr>
                <w:rFonts w:ascii="Times New Roman" w:eastAsia="宋体" w:hAnsi="Times New Roman" w:cs="Times New Roman"/>
                <w:kern w:val="0"/>
                <w:sz w:val="22"/>
              </w:rPr>
              <w:t>15%-20%</w:t>
            </w:r>
            <w:r w:rsidR="00CD4126" w:rsidRPr="00676A76">
              <w:rPr>
                <w:rFonts w:ascii="Times New Roman" w:eastAsia="宋体" w:hAnsi="Times New Roman" w:cs="Times New Roman"/>
                <w:kern w:val="0"/>
                <w:sz w:val="22"/>
              </w:rPr>
              <w:t>，因此，随着收入结构中耗材占比的提升，整体报表毛利率有望得到提升；</w:t>
            </w:r>
            <w:r w:rsidR="00CD4126" w:rsidRPr="00676A76">
              <w:rPr>
                <w:rFonts w:ascii="Times New Roman" w:eastAsia="宋体" w:hAnsi="Times New Roman" w:cs="Times New Roman"/>
                <w:kern w:val="0"/>
                <w:sz w:val="22"/>
              </w:rPr>
              <w:t>2</w:t>
            </w:r>
            <w:r w:rsidR="00CD4126" w:rsidRPr="00676A76">
              <w:rPr>
                <w:rFonts w:ascii="Times New Roman" w:eastAsia="宋体" w:hAnsi="Times New Roman" w:cs="Times New Roman"/>
                <w:kern w:val="0"/>
                <w:sz w:val="22"/>
              </w:rPr>
              <w:t>）海外收入占比提升，公司预计</w:t>
            </w:r>
            <w:r w:rsidR="00CD4126" w:rsidRPr="00676A76">
              <w:rPr>
                <w:rFonts w:ascii="Times New Roman" w:eastAsia="宋体" w:hAnsi="Times New Roman" w:cs="Times New Roman"/>
                <w:kern w:val="0"/>
                <w:sz w:val="22"/>
              </w:rPr>
              <w:t>2030</w:t>
            </w:r>
            <w:r w:rsidR="00CD4126" w:rsidRPr="00676A76">
              <w:rPr>
                <w:rFonts w:ascii="Times New Roman" w:eastAsia="宋体" w:hAnsi="Times New Roman" w:cs="Times New Roman"/>
                <w:kern w:val="0"/>
                <w:sz w:val="22"/>
              </w:rPr>
              <w:t>年海外收入能够占到总收入的</w:t>
            </w:r>
            <w:r w:rsidR="00CD4126" w:rsidRPr="00676A76">
              <w:rPr>
                <w:rFonts w:ascii="Times New Roman" w:eastAsia="宋体" w:hAnsi="Times New Roman" w:cs="Times New Roman"/>
                <w:kern w:val="0"/>
                <w:sz w:val="22"/>
              </w:rPr>
              <w:t>50%</w:t>
            </w:r>
            <w:r w:rsidR="00CD4126" w:rsidRPr="00676A76">
              <w:rPr>
                <w:rFonts w:ascii="Times New Roman" w:eastAsia="宋体" w:hAnsi="Times New Roman" w:cs="Times New Roman"/>
                <w:kern w:val="0"/>
                <w:sz w:val="22"/>
              </w:rPr>
              <w:t>，海外售价通常会有提价，因此海外的整体毛利率通常比国内高，随着海外收入占比的提升，报表整体毛利率也有望提升。但是毛利率提升是逐步实现的，同时受到收入确认滞后的影响，季度报表间可能会出现毛利率的波动。</w:t>
            </w:r>
          </w:p>
          <w:p w14:paraId="559A0B10" w14:textId="77777777" w:rsidR="00CD4126" w:rsidRPr="00676A76" w:rsidRDefault="00CD4126" w:rsidP="00CD4126">
            <w:pPr>
              <w:pStyle w:val="a7"/>
              <w:ind w:left="181" w:firstLineChars="0" w:firstLine="0"/>
              <w:rPr>
                <w:rFonts w:ascii="Times New Roman" w:eastAsia="宋体" w:hAnsi="Times New Roman" w:cs="Times New Roman"/>
                <w:b/>
                <w:kern w:val="0"/>
                <w:sz w:val="22"/>
              </w:rPr>
            </w:pPr>
          </w:p>
          <w:p w14:paraId="11A73CB5" w14:textId="77777777" w:rsidR="00CD4126" w:rsidRPr="00676A76" w:rsidRDefault="00CD4126" w:rsidP="00CD4126">
            <w:pPr>
              <w:pStyle w:val="a7"/>
              <w:numPr>
                <w:ilvl w:val="0"/>
                <w:numId w:val="1"/>
              </w:numPr>
              <w:ind w:firstLineChars="0"/>
              <w:rPr>
                <w:rFonts w:ascii="Times New Roman" w:eastAsia="宋体" w:hAnsi="Times New Roman" w:cs="Times New Roman"/>
                <w:kern w:val="0"/>
                <w:sz w:val="22"/>
              </w:rPr>
            </w:pPr>
            <w:r w:rsidRPr="00676A76">
              <w:rPr>
                <w:rFonts w:ascii="Times New Roman" w:eastAsia="宋体" w:hAnsi="Times New Roman" w:cs="Times New Roman"/>
                <w:b/>
                <w:kern w:val="0"/>
                <w:sz w:val="22"/>
              </w:rPr>
              <w:t>请问订单发货周期情况？</w:t>
            </w:r>
          </w:p>
          <w:p w14:paraId="57D0A1B3" w14:textId="394F7AF0" w:rsidR="00CD4126" w:rsidRPr="00676A76" w:rsidRDefault="00CD4126" w:rsidP="00CD4126">
            <w:pPr>
              <w:rPr>
                <w:rFonts w:ascii="Times New Roman" w:eastAsia="宋体" w:hAnsi="Times New Roman" w:cs="Times New Roman"/>
                <w:kern w:val="0"/>
                <w:sz w:val="22"/>
              </w:rPr>
            </w:pPr>
            <w:r w:rsidRPr="00676A76">
              <w:rPr>
                <w:rFonts w:ascii="Times New Roman" w:eastAsia="宋体" w:hAnsi="Times New Roman" w:cs="Times New Roman"/>
                <w:kern w:val="0"/>
                <w:sz w:val="22"/>
              </w:rPr>
              <w:t>从客户下订单到公司发货的周期会受到客户项目土建建造周期的影响。作为洁净室土建后期环</w:t>
            </w:r>
            <w:r w:rsidR="00567178" w:rsidRPr="00676A76">
              <w:rPr>
                <w:rFonts w:ascii="Times New Roman" w:eastAsia="宋体" w:hAnsi="Times New Roman" w:cs="Times New Roman"/>
                <w:kern w:val="0"/>
                <w:sz w:val="22"/>
              </w:rPr>
              <w:t>节的供应商，公司洁净设备产品的发货，安装，调试需要配合客户厂务</w:t>
            </w:r>
            <w:r w:rsidRPr="00676A76">
              <w:rPr>
                <w:rFonts w:ascii="Times New Roman" w:eastAsia="宋体" w:hAnsi="Times New Roman" w:cs="Times New Roman"/>
                <w:kern w:val="0"/>
                <w:sz w:val="22"/>
              </w:rPr>
              <w:t>的土建进度，提前将公司洁净设备产品发货到业主客户现场会增加业主客户额外的仓储成本。因此公司的发货一般会和业主客户的厂务确认发货的时间，一般为客户下订单后</w:t>
            </w:r>
            <w:r w:rsidRPr="00676A76">
              <w:rPr>
                <w:rFonts w:ascii="Times New Roman" w:eastAsia="宋体" w:hAnsi="Times New Roman" w:cs="Times New Roman"/>
                <w:kern w:val="0"/>
                <w:sz w:val="22"/>
              </w:rPr>
              <w:t>2-3</w:t>
            </w:r>
            <w:r w:rsidRPr="00676A76">
              <w:rPr>
                <w:rFonts w:ascii="Times New Roman" w:eastAsia="宋体" w:hAnsi="Times New Roman" w:cs="Times New Roman"/>
                <w:kern w:val="0"/>
                <w:sz w:val="22"/>
              </w:rPr>
              <w:t>个月进行发货。公司的收入确认方式分为两类：一类是发货签收即确认收入，即签收收入，第二类是公司发完货后在项目完成验收时才会确认收入，即验收收入，一般来说大项目验收周期较长，平均</w:t>
            </w:r>
            <w:r w:rsidRPr="00676A76">
              <w:rPr>
                <w:rFonts w:ascii="Times New Roman" w:eastAsia="宋体" w:hAnsi="Times New Roman" w:cs="Times New Roman"/>
                <w:kern w:val="0"/>
                <w:sz w:val="22"/>
              </w:rPr>
              <w:t>6-9</w:t>
            </w:r>
            <w:r w:rsidRPr="00676A76">
              <w:rPr>
                <w:rFonts w:ascii="Times New Roman" w:eastAsia="宋体" w:hAnsi="Times New Roman" w:cs="Times New Roman"/>
                <w:kern w:val="0"/>
                <w:sz w:val="22"/>
              </w:rPr>
              <w:t>个月。</w:t>
            </w:r>
          </w:p>
          <w:p w14:paraId="79D847D6" w14:textId="77777777" w:rsidR="00CD4126" w:rsidRPr="00676A76" w:rsidRDefault="00CD4126" w:rsidP="00CD4126">
            <w:pPr>
              <w:rPr>
                <w:rFonts w:ascii="Times New Roman" w:eastAsia="宋体" w:hAnsi="Times New Roman" w:cs="Times New Roman"/>
                <w:kern w:val="0"/>
                <w:sz w:val="22"/>
              </w:rPr>
            </w:pPr>
          </w:p>
          <w:p w14:paraId="7948C796" w14:textId="77777777" w:rsidR="00CD4126" w:rsidRPr="00676A76" w:rsidRDefault="00CD4126" w:rsidP="00CD4126">
            <w:pPr>
              <w:pStyle w:val="a7"/>
              <w:numPr>
                <w:ilvl w:val="0"/>
                <w:numId w:val="1"/>
              </w:numPr>
              <w:ind w:firstLineChars="0"/>
              <w:rPr>
                <w:rFonts w:ascii="Times New Roman" w:eastAsia="宋体" w:hAnsi="Times New Roman" w:cs="Times New Roman"/>
                <w:b/>
                <w:kern w:val="0"/>
                <w:sz w:val="22"/>
              </w:rPr>
            </w:pPr>
            <w:r w:rsidRPr="00676A76">
              <w:rPr>
                <w:rFonts w:ascii="Times New Roman" w:eastAsia="宋体" w:hAnsi="Times New Roman" w:cs="Times New Roman"/>
                <w:b/>
                <w:kern w:val="0"/>
                <w:sz w:val="22"/>
              </w:rPr>
              <w:t>公司产品的核心竞争力是什么？</w:t>
            </w:r>
          </w:p>
          <w:p w14:paraId="781DC697"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公司的核心竞争力分为</w:t>
            </w:r>
            <w:r w:rsidRPr="00676A76">
              <w:rPr>
                <w:rFonts w:ascii="Times New Roman" w:eastAsia="宋体" w:hAnsi="Times New Roman" w:cs="Times New Roman"/>
                <w:color w:val="000000"/>
                <w:kern w:val="0"/>
                <w:sz w:val="22"/>
              </w:rPr>
              <w:t>3</w:t>
            </w:r>
            <w:r w:rsidRPr="00676A76">
              <w:rPr>
                <w:rFonts w:ascii="Times New Roman" w:eastAsia="宋体" w:hAnsi="Times New Roman" w:cs="Times New Roman"/>
                <w:color w:val="000000"/>
                <w:kern w:val="0"/>
                <w:sz w:val="22"/>
              </w:rPr>
              <w:t>个方面，技术方面，认证方面，以及从事售后服务团队方面。</w:t>
            </w:r>
          </w:p>
          <w:p w14:paraId="29588DDC"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1</w:t>
            </w:r>
            <w:r w:rsidRPr="00676A76">
              <w:rPr>
                <w:rFonts w:ascii="Times New Roman" w:eastAsia="宋体" w:hAnsi="Times New Roman" w:cs="Times New Roman"/>
                <w:color w:val="000000"/>
                <w:kern w:val="0"/>
                <w:sz w:val="22"/>
              </w:rPr>
              <w:t>）技术方面：通过核心滤料的改性技术，化学过滤器中的活性炭，夹炭布和可再生材料部分为公司自制或者改性。</w:t>
            </w:r>
          </w:p>
          <w:p w14:paraId="45470644"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PTFE</w:t>
            </w:r>
            <w:r w:rsidRPr="00676A76">
              <w:rPr>
                <w:rFonts w:ascii="Times New Roman" w:eastAsia="宋体" w:hAnsi="Times New Roman" w:cs="Times New Roman"/>
                <w:color w:val="000000"/>
                <w:kern w:val="0"/>
                <w:sz w:val="22"/>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50C83445"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2</w:t>
            </w:r>
            <w:r w:rsidRPr="00676A76">
              <w:rPr>
                <w:rFonts w:ascii="Times New Roman" w:eastAsia="宋体" w:hAnsi="Times New Roman" w:cs="Times New Roman"/>
                <w:color w:val="000000"/>
                <w:kern w:val="0"/>
                <w:sz w:val="22"/>
              </w:rPr>
              <w:t>）认证方面：外国厂商看重产品的各项认证，而我们的高管具有国际眼光，早期就具备国内外各项的认证，在国内市场具有很强竞争力。</w:t>
            </w:r>
          </w:p>
          <w:p w14:paraId="2B8A258B"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3</w:t>
            </w:r>
            <w:r w:rsidRPr="00676A76">
              <w:rPr>
                <w:rFonts w:ascii="Times New Roman" w:eastAsia="宋体" w:hAnsi="Times New Roman" w:cs="Times New Roman"/>
                <w:color w:val="000000"/>
                <w:kern w:val="0"/>
                <w:sz w:val="22"/>
              </w:rPr>
              <w:t>）售后服务方面：美埃科技拥有自己的售后维修团队，能够及时响应客户出现的各种问题。</w:t>
            </w:r>
          </w:p>
          <w:p w14:paraId="43725C32" w14:textId="449A90B1" w:rsidR="001833BA" w:rsidRPr="00676A76" w:rsidRDefault="001833BA" w:rsidP="00CD4126">
            <w:pPr>
              <w:rPr>
                <w:rFonts w:ascii="Times New Roman" w:eastAsia="宋体" w:hAnsi="Times New Roman" w:cs="Times New Roman" w:hint="eastAsia"/>
                <w:kern w:val="0"/>
                <w:sz w:val="22"/>
              </w:rPr>
            </w:pPr>
          </w:p>
          <w:p w14:paraId="38D612C2" w14:textId="77777777" w:rsidR="00CD4126" w:rsidRPr="00676A76" w:rsidRDefault="00CD4126" w:rsidP="00CD4126">
            <w:pPr>
              <w:pStyle w:val="a7"/>
              <w:numPr>
                <w:ilvl w:val="0"/>
                <w:numId w:val="1"/>
              </w:numPr>
              <w:ind w:firstLineChars="0"/>
              <w:rPr>
                <w:rFonts w:ascii="Times New Roman" w:eastAsia="宋体" w:hAnsi="Times New Roman" w:cs="Times New Roman"/>
                <w:b/>
                <w:kern w:val="0"/>
                <w:sz w:val="22"/>
              </w:rPr>
            </w:pPr>
            <w:r w:rsidRPr="00676A76">
              <w:rPr>
                <w:rFonts w:ascii="Times New Roman" w:eastAsia="宋体" w:hAnsi="Times New Roman" w:cs="Times New Roman"/>
                <w:b/>
                <w:kern w:val="0"/>
                <w:sz w:val="22"/>
              </w:rPr>
              <w:t>未来公司发展的方向？</w:t>
            </w:r>
          </w:p>
          <w:p w14:paraId="079A7139" w14:textId="77777777" w:rsidR="00CD4126" w:rsidRPr="00676A76" w:rsidRDefault="00CD4126" w:rsidP="00CD4126">
            <w:pPr>
              <w:pStyle w:val="HTML"/>
              <w:shd w:val="clear" w:color="auto" w:fill="FFFFFF"/>
              <w:jc w:val="both"/>
              <w:rPr>
                <w:rFonts w:ascii="Times New Roman" w:hAnsi="Times New Roman" w:cs="Times New Roman"/>
                <w:sz w:val="22"/>
                <w:szCs w:val="22"/>
              </w:rPr>
            </w:pPr>
            <w:r w:rsidRPr="00676A76">
              <w:rPr>
                <w:rFonts w:ascii="Times New Roman" w:hAnsi="Times New Roman" w:cs="Times New Roman"/>
                <w:sz w:val="22"/>
                <w:szCs w:val="22"/>
              </w:rPr>
              <w:t>自</w:t>
            </w:r>
            <w:r w:rsidRPr="00676A76">
              <w:rPr>
                <w:rFonts w:ascii="Times New Roman" w:hAnsi="Times New Roman" w:cs="Times New Roman"/>
                <w:sz w:val="22"/>
                <w:szCs w:val="22"/>
              </w:rPr>
              <w:t>2001</w:t>
            </w:r>
            <w:r w:rsidRPr="00676A76">
              <w:rPr>
                <w:rFonts w:ascii="Times New Roman" w:hAnsi="Times New Roman" w:cs="Times New Roman"/>
                <w:sz w:val="22"/>
                <w:szCs w:val="22"/>
              </w:rPr>
              <w:t>年成立以来，公司立足中国市场，将工业级超洁净技术应用到商用和民用领域，从进气到排气，持续创新，以满足不断增长的空气净化需求。公司致力于推动空气净化产业发展，提升全球空气品质，致力于成为全球领先的空气净化产品制造商和服务商。未来公司将会在稳定国内电子半导体行业收入的前提下</w:t>
            </w:r>
            <w:r w:rsidRPr="00676A76">
              <w:rPr>
                <w:rFonts w:ascii="Times New Roman" w:hAnsi="Times New Roman" w:cs="Times New Roman"/>
                <w:sz w:val="22"/>
                <w:szCs w:val="22"/>
              </w:rPr>
              <w:lastRenderedPageBreak/>
              <w:t>积极拓展海外半导体市场；大力推动医用空气净化设备的研发、生产及销售业务，提高美埃科技在生物制药行业的市场占有率；同时响应全球清洁能源的倡议和中国可持续发展的政策，积极发展大气治理业务，进一步开拓工业除尘、除油雾、</w:t>
            </w:r>
            <w:r w:rsidRPr="00676A76">
              <w:rPr>
                <w:rFonts w:ascii="Times New Roman" w:hAnsi="Times New Roman" w:cs="Times New Roman"/>
                <w:sz w:val="22"/>
                <w:szCs w:val="22"/>
              </w:rPr>
              <w:t>VOCs</w:t>
            </w:r>
            <w:r w:rsidRPr="00676A76">
              <w:rPr>
                <w:rFonts w:ascii="Times New Roman" w:hAnsi="Times New Roman" w:cs="Times New Roman"/>
                <w:sz w:val="22"/>
                <w:szCs w:val="22"/>
              </w:rPr>
              <w:t>治理市场。</w:t>
            </w:r>
          </w:p>
          <w:p w14:paraId="4AF65BE4" w14:textId="77777777" w:rsidR="00CD4126" w:rsidRPr="00676A76" w:rsidRDefault="00CD4126" w:rsidP="00CD4126">
            <w:pPr>
              <w:widowControl/>
              <w:rPr>
                <w:rFonts w:ascii="Times New Roman" w:eastAsia="宋体" w:hAnsi="Times New Roman" w:cs="Times New Roman"/>
                <w:kern w:val="0"/>
                <w:sz w:val="22"/>
              </w:rPr>
            </w:pPr>
          </w:p>
          <w:p w14:paraId="68301EE7" w14:textId="77777777" w:rsidR="00CD4126" w:rsidRPr="00676A76" w:rsidRDefault="00CD4126" w:rsidP="00CD4126">
            <w:pPr>
              <w:widowControl/>
              <w:numPr>
                <w:ilvl w:val="0"/>
                <w:numId w:val="1"/>
              </w:numPr>
              <w:rPr>
                <w:rFonts w:ascii="Times New Roman" w:eastAsia="宋体" w:hAnsi="Times New Roman" w:cs="Times New Roman"/>
                <w:b/>
                <w:bCs/>
                <w:color w:val="000000"/>
                <w:kern w:val="0"/>
                <w:sz w:val="22"/>
              </w:rPr>
            </w:pPr>
            <w:r w:rsidRPr="00676A76">
              <w:rPr>
                <w:rFonts w:ascii="Times New Roman" w:eastAsia="宋体" w:hAnsi="Times New Roman" w:cs="Times New Roman"/>
                <w:b/>
                <w:bCs/>
                <w:color w:val="000000"/>
                <w:kern w:val="0"/>
                <w:sz w:val="22"/>
              </w:rPr>
              <w:t>可以介绍一下公司海外市场的状况么？</w:t>
            </w:r>
          </w:p>
          <w:p w14:paraId="191E8566"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目前公司正在积极开拓海外市场，</w:t>
            </w:r>
            <w:r w:rsidRPr="00676A76">
              <w:rPr>
                <w:rFonts w:ascii="Times New Roman" w:eastAsia="宋体" w:hAnsi="Times New Roman" w:cs="Times New Roman"/>
                <w:color w:val="000000"/>
                <w:kern w:val="0"/>
                <w:sz w:val="22"/>
              </w:rPr>
              <w:t>2020</w:t>
            </w:r>
            <w:r w:rsidRPr="00676A76">
              <w:rPr>
                <w:rFonts w:ascii="Times New Roman" w:eastAsia="宋体" w:hAnsi="Times New Roman" w:cs="Times New Roman"/>
                <w:color w:val="000000"/>
                <w:kern w:val="0"/>
                <w:sz w:val="22"/>
              </w:rPr>
              <w:t>年</w:t>
            </w:r>
            <w:r w:rsidRPr="00676A76">
              <w:rPr>
                <w:rFonts w:ascii="Times New Roman" w:eastAsia="宋体" w:hAnsi="Times New Roman" w:cs="Times New Roman"/>
                <w:color w:val="000000"/>
                <w:kern w:val="0"/>
                <w:sz w:val="22"/>
              </w:rPr>
              <w:t>-2022</w:t>
            </w:r>
            <w:r w:rsidRPr="00676A76">
              <w:rPr>
                <w:rFonts w:ascii="Times New Roman" w:eastAsia="宋体" w:hAnsi="Times New Roman" w:cs="Times New Roman"/>
                <w:color w:val="000000"/>
                <w:kern w:val="0"/>
                <w:sz w:val="22"/>
              </w:rPr>
              <w:t>年海外收入</w:t>
            </w:r>
            <w:r w:rsidRPr="00676A76">
              <w:rPr>
                <w:rFonts w:ascii="Times New Roman" w:eastAsia="宋体" w:hAnsi="Times New Roman" w:cs="Times New Roman"/>
                <w:color w:val="000000"/>
                <w:kern w:val="0"/>
                <w:sz w:val="22"/>
              </w:rPr>
              <w:t>3</w:t>
            </w:r>
            <w:r w:rsidRPr="00676A76">
              <w:rPr>
                <w:rFonts w:ascii="Times New Roman" w:eastAsia="宋体" w:hAnsi="Times New Roman" w:cs="Times New Roman"/>
                <w:color w:val="000000"/>
                <w:kern w:val="0"/>
                <w:sz w:val="22"/>
              </w:rPr>
              <w:t>年</w:t>
            </w:r>
            <w:r w:rsidRPr="00676A76">
              <w:rPr>
                <w:rFonts w:ascii="Times New Roman" w:eastAsia="宋体" w:hAnsi="Times New Roman" w:cs="Times New Roman"/>
                <w:color w:val="000000"/>
                <w:kern w:val="0"/>
                <w:sz w:val="22"/>
              </w:rPr>
              <w:t>CAGR</w:t>
            </w:r>
            <w:r w:rsidRPr="00676A76">
              <w:rPr>
                <w:rFonts w:ascii="Times New Roman" w:eastAsia="宋体" w:hAnsi="Times New Roman" w:cs="Times New Roman"/>
                <w:color w:val="000000"/>
                <w:kern w:val="0"/>
                <w:sz w:val="22"/>
              </w:rPr>
              <w:t>增速接近</w:t>
            </w:r>
            <w:r w:rsidRPr="00676A76">
              <w:rPr>
                <w:rFonts w:ascii="Times New Roman" w:eastAsia="宋体" w:hAnsi="Times New Roman" w:cs="Times New Roman"/>
                <w:color w:val="000000"/>
                <w:kern w:val="0"/>
                <w:sz w:val="22"/>
              </w:rPr>
              <w:t>50%</w:t>
            </w:r>
            <w:r w:rsidRPr="00676A76">
              <w:rPr>
                <w:rFonts w:ascii="Times New Roman" w:eastAsia="宋体" w:hAnsi="Times New Roman" w:cs="Times New Roman"/>
                <w:color w:val="000000"/>
                <w:kern w:val="0"/>
                <w:sz w:val="22"/>
              </w:rPr>
              <w:t>，今年新签订单海外占比约为</w:t>
            </w:r>
            <w:r w:rsidRPr="00676A76">
              <w:rPr>
                <w:rFonts w:ascii="Times New Roman" w:eastAsia="宋体" w:hAnsi="Times New Roman" w:cs="Times New Roman"/>
                <w:color w:val="000000"/>
                <w:kern w:val="0"/>
                <w:sz w:val="22"/>
              </w:rPr>
              <w:t>15%-20%</w:t>
            </w:r>
            <w:r w:rsidRPr="00676A76">
              <w:rPr>
                <w:rFonts w:ascii="Times New Roman" w:eastAsia="宋体" w:hAnsi="Times New Roman" w:cs="Times New Roman"/>
                <w:color w:val="000000"/>
                <w:kern w:val="0"/>
                <w:sz w:val="22"/>
              </w:rPr>
              <w:t>，海外市场增速很快，客户主要分布在东南亚，其次欧洲、南亚和中东地区的销售业务也在持续增长。未来公司将继续开拓北美和加强欧洲以及中东市场的销售布局，实现全球化的销售体系。</w:t>
            </w:r>
          </w:p>
          <w:p w14:paraId="42F048BC" w14:textId="77777777" w:rsidR="00CD4126" w:rsidRPr="00676A76" w:rsidRDefault="00CD4126" w:rsidP="00CD4126">
            <w:pPr>
              <w:widowControl/>
              <w:numPr>
                <w:ilvl w:val="255"/>
                <w:numId w:val="0"/>
              </w:numPr>
              <w:rPr>
                <w:rFonts w:ascii="Times New Roman" w:eastAsia="宋体" w:hAnsi="Times New Roman" w:cs="Times New Roman"/>
                <w:color w:val="000000"/>
                <w:kern w:val="0"/>
                <w:sz w:val="22"/>
              </w:rPr>
            </w:pPr>
            <w:bookmarkStart w:id="0" w:name="_GoBack"/>
            <w:bookmarkEnd w:id="0"/>
          </w:p>
          <w:p w14:paraId="1723345C" w14:textId="77777777" w:rsidR="00CD4126" w:rsidRPr="00676A76" w:rsidRDefault="00CD4126" w:rsidP="00CD4126">
            <w:pPr>
              <w:widowControl/>
              <w:numPr>
                <w:ilvl w:val="0"/>
                <w:numId w:val="1"/>
              </w:numPr>
              <w:rPr>
                <w:rFonts w:ascii="Times New Roman" w:eastAsia="宋体" w:hAnsi="Times New Roman" w:cs="Times New Roman"/>
                <w:b/>
                <w:color w:val="000000"/>
                <w:kern w:val="0"/>
                <w:sz w:val="22"/>
              </w:rPr>
            </w:pPr>
            <w:r w:rsidRPr="00676A76">
              <w:rPr>
                <w:rFonts w:ascii="Times New Roman" w:eastAsia="宋体" w:hAnsi="Times New Roman" w:cs="Times New Roman"/>
                <w:b/>
                <w:color w:val="000000"/>
                <w:kern w:val="0"/>
                <w:sz w:val="22"/>
              </w:rPr>
              <w:t>公司不同类型的耗材更换周期为多长时间</w:t>
            </w:r>
            <w:r w:rsidRPr="00676A76">
              <w:rPr>
                <w:rFonts w:ascii="Times New Roman" w:eastAsia="宋体" w:hAnsi="Times New Roman" w:cs="Times New Roman"/>
                <w:b/>
                <w:color w:val="000000"/>
                <w:kern w:val="0"/>
                <w:sz w:val="22"/>
              </w:rPr>
              <w:t>?</w:t>
            </w:r>
          </w:p>
          <w:p w14:paraId="3C9C5BA7" w14:textId="77777777" w:rsidR="00CD4126" w:rsidRPr="00676A76" w:rsidRDefault="00CD4126" w:rsidP="00CD4126">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一般来说，物理介质过滤耗材的更换频率主要是根据过滤器的过滤等级来决定的，平均的滤材更换频率介于</w:t>
            </w:r>
            <w:r w:rsidRPr="00676A76">
              <w:rPr>
                <w:rFonts w:ascii="Times New Roman" w:eastAsia="宋体" w:hAnsi="Times New Roman" w:cs="Times New Roman"/>
                <w:color w:val="000000"/>
                <w:kern w:val="0"/>
                <w:sz w:val="22"/>
              </w:rPr>
              <w:t>6</w:t>
            </w:r>
            <w:r w:rsidRPr="00676A76">
              <w:rPr>
                <w:rFonts w:ascii="Times New Roman" w:eastAsia="宋体" w:hAnsi="Times New Roman" w:cs="Times New Roman"/>
                <w:color w:val="000000"/>
                <w:kern w:val="0"/>
                <w:sz w:val="22"/>
              </w:rPr>
              <w:t>到</w:t>
            </w:r>
            <w:r w:rsidRPr="00676A76">
              <w:rPr>
                <w:rFonts w:ascii="Times New Roman" w:eastAsia="宋体" w:hAnsi="Times New Roman" w:cs="Times New Roman"/>
                <w:color w:val="000000"/>
                <w:kern w:val="0"/>
                <w:sz w:val="22"/>
              </w:rPr>
              <w:t>12</w:t>
            </w:r>
            <w:r w:rsidRPr="00676A76">
              <w:rPr>
                <w:rFonts w:ascii="Times New Roman" w:eastAsia="宋体" w:hAnsi="Times New Roman" w:cs="Times New Roman"/>
                <w:color w:val="000000"/>
                <w:kern w:val="0"/>
                <w:sz w:val="22"/>
              </w:rPr>
              <w:t>个月（初中效过滤器）或者</w:t>
            </w:r>
            <w:r w:rsidRPr="00676A76">
              <w:rPr>
                <w:rFonts w:ascii="Times New Roman" w:eastAsia="宋体" w:hAnsi="Times New Roman" w:cs="Times New Roman"/>
                <w:color w:val="000000"/>
                <w:kern w:val="0"/>
                <w:sz w:val="22"/>
              </w:rPr>
              <w:t>2</w:t>
            </w:r>
            <w:r w:rsidRPr="00676A76">
              <w:rPr>
                <w:rFonts w:ascii="Times New Roman" w:eastAsia="宋体" w:hAnsi="Times New Roman" w:cs="Times New Roman"/>
                <w:color w:val="000000"/>
                <w:kern w:val="0"/>
                <w:sz w:val="22"/>
              </w:rPr>
              <w:t>到</w:t>
            </w:r>
            <w:r w:rsidRPr="00676A76">
              <w:rPr>
                <w:rFonts w:ascii="Times New Roman" w:eastAsia="宋体" w:hAnsi="Times New Roman" w:cs="Times New Roman"/>
                <w:color w:val="000000"/>
                <w:kern w:val="0"/>
                <w:sz w:val="22"/>
              </w:rPr>
              <w:t>8</w:t>
            </w:r>
            <w:r w:rsidRPr="00676A76">
              <w:rPr>
                <w:rFonts w:ascii="Times New Roman" w:eastAsia="宋体" w:hAnsi="Times New Roman" w:cs="Times New Roman"/>
                <w:color w:val="000000"/>
                <w:kern w:val="0"/>
                <w:sz w:val="22"/>
              </w:rPr>
              <w:t>年不等（高效过滤器）。除此之外，其他的考量因素包括自身空气环境中的颗粒物大小，尘埃的多少以及制程环境的室内空气质量等。换而言之，滤材的更换频率也直接挂钩客户的制程环境、洁净厂房的洁净度要求以及设备的使用率等，这些都对耗材的更换频率有着重要的影响。</w:t>
            </w:r>
          </w:p>
          <w:p w14:paraId="5574F247" w14:textId="3106EACD" w:rsidR="00CD4126" w:rsidRPr="00676A76" w:rsidRDefault="00CD4126" w:rsidP="00CD4126">
            <w:pPr>
              <w:rPr>
                <w:rFonts w:ascii="Times New Roman" w:eastAsia="宋体" w:hAnsi="Times New Roman" w:cs="Times New Roman"/>
                <w:kern w:val="0"/>
                <w:sz w:val="22"/>
              </w:rPr>
            </w:pPr>
            <w:r w:rsidRPr="00676A76">
              <w:rPr>
                <w:rFonts w:ascii="Times New Roman" w:eastAsia="宋体" w:hAnsi="Times New Roman" w:cs="Times New Roman"/>
                <w:color w:val="000000"/>
                <w:kern w:val="0"/>
                <w:sz w:val="22"/>
              </w:rPr>
              <w:t>化学过滤耗材主要通过滤料中的活性炭及其他特殊材料，对气态污染分子进行捕获，去除空气中的甲醛、</w:t>
            </w:r>
            <w:r w:rsidRPr="00676A76">
              <w:rPr>
                <w:rFonts w:ascii="Times New Roman" w:eastAsia="宋体" w:hAnsi="Times New Roman" w:cs="Times New Roman"/>
                <w:color w:val="000000"/>
                <w:kern w:val="0"/>
                <w:sz w:val="22"/>
              </w:rPr>
              <w:t>VOCs</w:t>
            </w: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AMC</w:t>
            </w:r>
            <w:r w:rsidRPr="00676A76">
              <w:rPr>
                <w:rFonts w:ascii="Times New Roman" w:eastAsia="宋体" w:hAnsi="Times New Roman" w:cs="Times New Roman"/>
                <w:color w:val="000000"/>
                <w:kern w:val="0"/>
                <w:sz w:val="22"/>
              </w:rPr>
              <w:t>、腐蚀性气体等特定污染物。该类过滤器主要应用于洁净厂房的特定工序中（如芯片厂的酸洗、蚀刻等），去除生产工艺中产生的气态分子污染物；也应用于机房与数据中心的防腐蚀控制，保护数据中心与机房控制设备的稳定运行</w:t>
            </w:r>
            <w:r w:rsidRPr="00676A76">
              <w:rPr>
                <w:rFonts w:ascii="Times New Roman" w:eastAsia="宋体" w:hAnsi="Times New Roman" w:cs="Times New Roman"/>
                <w:kern w:val="0"/>
                <w:sz w:val="22"/>
              </w:rPr>
              <w:t>，化学过滤耗材的替换周期一般为</w:t>
            </w:r>
            <w:r w:rsidRPr="00676A76">
              <w:rPr>
                <w:rFonts w:ascii="Times New Roman" w:eastAsia="宋体" w:hAnsi="Times New Roman" w:cs="Times New Roman"/>
                <w:kern w:val="0"/>
                <w:sz w:val="22"/>
              </w:rPr>
              <w:t>9</w:t>
            </w:r>
            <w:r w:rsidRPr="00676A76">
              <w:rPr>
                <w:rFonts w:ascii="Times New Roman" w:eastAsia="宋体" w:hAnsi="Times New Roman" w:cs="Times New Roman"/>
                <w:kern w:val="0"/>
                <w:sz w:val="22"/>
              </w:rPr>
              <w:t>个月</w:t>
            </w:r>
            <w:r w:rsidRPr="00676A76">
              <w:rPr>
                <w:rFonts w:ascii="Times New Roman" w:eastAsia="宋体" w:hAnsi="Times New Roman" w:cs="Times New Roman"/>
                <w:kern w:val="0"/>
                <w:sz w:val="22"/>
              </w:rPr>
              <w:t>-18</w:t>
            </w:r>
            <w:r w:rsidRPr="00676A76">
              <w:rPr>
                <w:rFonts w:ascii="Times New Roman" w:eastAsia="宋体" w:hAnsi="Times New Roman" w:cs="Times New Roman"/>
                <w:kern w:val="0"/>
                <w:sz w:val="22"/>
              </w:rPr>
              <w:t>个月，如果不及时更换，就会发生</w:t>
            </w:r>
            <w:r w:rsidRPr="00676A76">
              <w:rPr>
                <w:rFonts w:ascii="Times New Roman" w:eastAsia="宋体" w:hAnsi="Times New Roman" w:cs="Times New Roman"/>
                <w:color w:val="000000"/>
                <w:kern w:val="0"/>
                <w:sz w:val="22"/>
              </w:rPr>
              <w:t>气态污染分子的</w:t>
            </w:r>
            <w:r w:rsidRPr="00676A76">
              <w:rPr>
                <w:rFonts w:ascii="Times New Roman" w:eastAsia="宋体" w:hAnsi="Times New Roman" w:cs="Times New Roman"/>
                <w:kern w:val="0"/>
                <w:sz w:val="22"/>
              </w:rPr>
              <w:t>二次</w:t>
            </w:r>
            <w:r w:rsidR="000C5C9F" w:rsidRPr="00676A76">
              <w:rPr>
                <w:rFonts w:ascii="Times New Roman" w:eastAsia="宋体" w:hAnsi="Times New Roman" w:cs="Times New Roman"/>
                <w:kern w:val="0"/>
                <w:sz w:val="22"/>
              </w:rPr>
              <w:t>污染</w:t>
            </w:r>
            <w:r w:rsidRPr="00676A76">
              <w:rPr>
                <w:rFonts w:ascii="Times New Roman" w:eastAsia="宋体" w:hAnsi="Times New Roman" w:cs="Times New Roman"/>
                <w:kern w:val="0"/>
                <w:sz w:val="22"/>
              </w:rPr>
              <w:t>。</w:t>
            </w:r>
          </w:p>
          <w:p w14:paraId="027F7B1E" w14:textId="77777777" w:rsidR="00CD4126" w:rsidRPr="00676A76" w:rsidRDefault="00CD4126" w:rsidP="00CD4126">
            <w:pPr>
              <w:widowControl/>
              <w:rPr>
                <w:rFonts w:ascii="Times New Roman" w:eastAsia="宋体" w:hAnsi="Times New Roman" w:cs="Times New Roman"/>
                <w:color w:val="000000"/>
                <w:kern w:val="0"/>
                <w:sz w:val="22"/>
              </w:rPr>
            </w:pPr>
          </w:p>
          <w:p w14:paraId="6FA2E1E5" w14:textId="77777777" w:rsidR="00CD4126" w:rsidRPr="00676A76" w:rsidRDefault="00CD4126" w:rsidP="00CD4126">
            <w:pPr>
              <w:widowControl/>
              <w:numPr>
                <w:ilvl w:val="0"/>
                <w:numId w:val="1"/>
              </w:numPr>
              <w:rPr>
                <w:rFonts w:ascii="Times New Roman" w:eastAsia="宋体" w:hAnsi="Times New Roman" w:cs="Times New Roman"/>
                <w:b/>
                <w:color w:val="000000"/>
                <w:kern w:val="0"/>
                <w:sz w:val="22"/>
              </w:rPr>
            </w:pPr>
            <w:r w:rsidRPr="00676A76">
              <w:rPr>
                <w:rFonts w:ascii="Times New Roman" w:eastAsia="宋体" w:hAnsi="Times New Roman" w:cs="Times New Roman"/>
                <w:b/>
                <w:color w:val="000000"/>
                <w:kern w:val="0"/>
                <w:sz w:val="22"/>
              </w:rPr>
              <w:t>公司国内外新建厂房的产能目前的状况和产能释放的节奏？</w:t>
            </w:r>
          </w:p>
          <w:p w14:paraId="56C110A5" w14:textId="42BB5A1D" w:rsidR="00CD412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国内产能方面，目前开展的南京工厂二期扩产项目是整体募投项目的一部分，主要是为了解决目前产能不足的短板和瓶颈，是为了未来</w:t>
            </w:r>
            <w:r w:rsidRPr="00676A76">
              <w:rPr>
                <w:rFonts w:ascii="Times New Roman" w:eastAsia="宋体" w:hAnsi="Times New Roman" w:cs="Times New Roman"/>
                <w:color w:val="000000"/>
                <w:kern w:val="0"/>
                <w:sz w:val="22"/>
              </w:rPr>
              <w:t>1~2</w:t>
            </w:r>
            <w:r w:rsidRPr="00676A76">
              <w:rPr>
                <w:rFonts w:ascii="Times New Roman" w:eastAsia="宋体" w:hAnsi="Times New Roman" w:cs="Times New Roman"/>
                <w:color w:val="000000"/>
                <w:kern w:val="0"/>
                <w:sz w:val="22"/>
              </w:rPr>
              <w:t>年业绩增长而准备的。二期扩产项目已于</w:t>
            </w:r>
            <w:r w:rsidRPr="00676A76">
              <w:rPr>
                <w:rFonts w:ascii="Times New Roman" w:eastAsia="宋体" w:hAnsi="Times New Roman" w:cs="Times New Roman"/>
                <w:color w:val="000000"/>
                <w:kern w:val="0"/>
                <w:sz w:val="22"/>
              </w:rPr>
              <w:t>2022</w:t>
            </w:r>
            <w:r w:rsidRPr="00676A76">
              <w:rPr>
                <w:rFonts w:ascii="Times New Roman" w:eastAsia="宋体" w:hAnsi="Times New Roman" w:cs="Times New Roman"/>
                <w:color w:val="000000"/>
                <w:kern w:val="0"/>
                <w:sz w:val="22"/>
              </w:rPr>
              <w:t>年</w:t>
            </w:r>
            <w:r w:rsidRPr="00676A76">
              <w:rPr>
                <w:rFonts w:ascii="Times New Roman" w:eastAsia="宋体" w:hAnsi="Times New Roman" w:cs="Times New Roman"/>
                <w:color w:val="000000"/>
                <w:kern w:val="0"/>
                <w:sz w:val="22"/>
              </w:rPr>
              <w:t>7</w:t>
            </w:r>
            <w:r w:rsidRPr="00676A76">
              <w:rPr>
                <w:rFonts w:ascii="Times New Roman" w:eastAsia="宋体" w:hAnsi="Times New Roman" w:cs="Times New Roman"/>
                <w:color w:val="000000"/>
                <w:kern w:val="0"/>
                <w:sz w:val="22"/>
              </w:rPr>
              <w:t>月初动工，预计于</w:t>
            </w:r>
            <w:r w:rsidRPr="00676A76">
              <w:rPr>
                <w:rFonts w:ascii="Times New Roman" w:eastAsia="宋体" w:hAnsi="Times New Roman" w:cs="Times New Roman"/>
                <w:color w:val="000000"/>
                <w:kern w:val="0"/>
                <w:sz w:val="22"/>
              </w:rPr>
              <w:t>2023</w:t>
            </w:r>
            <w:r w:rsidRPr="00676A76">
              <w:rPr>
                <w:rFonts w:ascii="Times New Roman" w:eastAsia="宋体" w:hAnsi="Times New Roman" w:cs="Times New Roman"/>
                <w:color w:val="000000"/>
                <w:kern w:val="0"/>
                <w:sz w:val="22"/>
              </w:rPr>
              <w:t>年第四季度开始投入生产，预计满产后的产能可达到目前南京工厂产能的</w:t>
            </w:r>
            <w:r w:rsidRPr="00676A76">
              <w:rPr>
                <w:rFonts w:ascii="Times New Roman" w:eastAsia="宋体" w:hAnsi="Times New Roman" w:cs="Times New Roman"/>
                <w:color w:val="000000"/>
                <w:kern w:val="0"/>
                <w:sz w:val="22"/>
              </w:rPr>
              <w:t>1.5</w:t>
            </w:r>
            <w:r w:rsidRPr="00676A76">
              <w:rPr>
                <w:rFonts w:ascii="Times New Roman" w:eastAsia="宋体" w:hAnsi="Times New Roman" w:cs="Times New Roman"/>
                <w:color w:val="000000"/>
                <w:kern w:val="0"/>
                <w:sz w:val="22"/>
              </w:rPr>
              <w:t>倍，能支撑公司对于</w:t>
            </w:r>
            <w:r w:rsidRPr="00676A76">
              <w:rPr>
                <w:rFonts w:ascii="Times New Roman" w:eastAsia="宋体" w:hAnsi="Times New Roman" w:cs="Times New Roman"/>
                <w:color w:val="000000"/>
                <w:kern w:val="0"/>
                <w:sz w:val="22"/>
              </w:rPr>
              <w:t>2023~2024</w:t>
            </w:r>
            <w:r w:rsidRPr="00676A76">
              <w:rPr>
                <w:rFonts w:ascii="Times New Roman" w:eastAsia="宋体" w:hAnsi="Times New Roman" w:cs="Times New Roman"/>
                <w:color w:val="000000"/>
                <w:kern w:val="0"/>
                <w:sz w:val="22"/>
              </w:rPr>
              <w:t>年业务增长需求。</w:t>
            </w:r>
          </w:p>
          <w:p w14:paraId="3FA7C4FC" w14:textId="75E5611E" w:rsidR="001833BA" w:rsidRDefault="00CD4126" w:rsidP="00CD4126">
            <w:pPr>
              <w:widowControl/>
              <w:numPr>
                <w:ilvl w:val="255"/>
                <w:numId w:val="0"/>
              </w:numPr>
              <w:rPr>
                <w:rFonts w:ascii="Times New Roman" w:eastAsia="宋体" w:hAnsi="Times New Roman" w:cs="Times New Roman"/>
                <w:color w:val="000000"/>
                <w:kern w:val="0"/>
                <w:sz w:val="22"/>
              </w:rPr>
            </w:pPr>
            <w:r w:rsidRPr="003259E4">
              <w:rPr>
                <w:rFonts w:ascii="Times New Roman" w:eastAsia="宋体" w:hAnsi="Times New Roman" w:cs="Times New Roman"/>
                <w:color w:val="000000"/>
                <w:kern w:val="0"/>
                <w:sz w:val="22"/>
              </w:rPr>
              <w:t>国外产能方面，公司在马来西亚当前的产能约为</w:t>
            </w:r>
            <w:r w:rsidRPr="003259E4">
              <w:rPr>
                <w:rFonts w:ascii="Times New Roman" w:eastAsia="宋体" w:hAnsi="Times New Roman" w:cs="Times New Roman"/>
                <w:color w:val="000000"/>
                <w:kern w:val="0"/>
                <w:sz w:val="22"/>
              </w:rPr>
              <w:t>5,000</w:t>
            </w:r>
            <w:r w:rsidRPr="003259E4">
              <w:rPr>
                <w:rFonts w:ascii="Times New Roman" w:eastAsia="宋体" w:hAnsi="Times New Roman" w:cs="Times New Roman"/>
                <w:color w:val="000000"/>
                <w:kern w:val="0"/>
                <w:sz w:val="22"/>
              </w:rPr>
              <w:t>万人民币。在</w:t>
            </w:r>
            <w:r w:rsidRPr="003259E4">
              <w:rPr>
                <w:rFonts w:ascii="Times New Roman" w:eastAsia="宋体" w:hAnsi="Times New Roman" w:cs="Times New Roman"/>
                <w:color w:val="000000"/>
                <w:kern w:val="0"/>
                <w:sz w:val="22"/>
              </w:rPr>
              <w:t>2022</w:t>
            </w:r>
            <w:r w:rsidRPr="003259E4">
              <w:rPr>
                <w:rFonts w:ascii="Times New Roman" w:eastAsia="宋体" w:hAnsi="Times New Roman" w:cs="Times New Roman"/>
                <w:color w:val="000000"/>
                <w:kern w:val="0"/>
                <w:sz w:val="22"/>
              </w:rPr>
              <w:t>年年底，海外购买了两间新的厂房，预计于</w:t>
            </w:r>
            <w:r w:rsidRPr="003259E4">
              <w:rPr>
                <w:rFonts w:ascii="Times New Roman" w:eastAsia="宋体" w:hAnsi="Times New Roman" w:cs="Times New Roman"/>
                <w:color w:val="000000"/>
                <w:kern w:val="0"/>
                <w:sz w:val="22"/>
              </w:rPr>
              <w:t>2023</w:t>
            </w:r>
            <w:r w:rsidRPr="003259E4">
              <w:rPr>
                <w:rFonts w:ascii="Times New Roman" w:eastAsia="宋体" w:hAnsi="Times New Roman" w:cs="Times New Roman"/>
                <w:color w:val="000000"/>
                <w:kern w:val="0"/>
                <w:sz w:val="22"/>
              </w:rPr>
              <w:t>年第四季度开始投入生产，产能扩充后，海外的产能将提升至</w:t>
            </w:r>
            <w:r w:rsidRPr="003259E4">
              <w:rPr>
                <w:rFonts w:ascii="Times New Roman" w:eastAsia="宋体" w:hAnsi="Times New Roman" w:cs="Times New Roman"/>
                <w:color w:val="000000"/>
                <w:kern w:val="0"/>
                <w:sz w:val="22"/>
              </w:rPr>
              <w:t>1.5</w:t>
            </w:r>
            <w:r w:rsidRPr="003259E4">
              <w:rPr>
                <w:rFonts w:ascii="Times New Roman" w:eastAsia="宋体" w:hAnsi="Times New Roman" w:cs="Times New Roman"/>
                <w:color w:val="000000"/>
                <w:kern w:val="0"/>
                <w:sz w:val="22"/>
              </w:rPr>
              <w:t>亿人民币。这次的产能扩充主要是因为了不断增长的海外订单，海外的订单主要包括半导体</w:t>
            </w:r>
            <w:r w:rsidRPr="00676A76">
              <w:rPr>
                <w:rFonts w:ascii="Times New Roman" w:eastAsia="宋体" w:hAnsi="Times New Roman" w:cs="Times New Roman"/>
                <w:color w:val="000000"/>
                <w:kern w:val="0"/>
                <w:sz w:val="22"/>
              </w:rPr>
              <w:t>行业，光伏锂电等新能源行业等。</w:t>
            </w:r>
          </w:p>
          <w:p w14:paraId="7BCBBFC5" w14:textId="77777777" w:rsidR="00C77DA0" w:rsidRPr="00676A76" w:rsidRDefault="00C77DA0" w:rsidP="00CD4126">
            <w:pPr>
              <w:widowControl/>
              <w:numPr>
                <w:ilvl w:val="255"/>
                <w:numId w:val="0"/>
              </w:numPr>
              <w:rPr>
                <w:rFonts w:ascii="Times New Roman" w:eastAsia="宋体" w:hAnsi="Times New Roman" w:cs="Times New Roman" w:hint="eastAsia"/>
                <w:color w:val="000000"/>
                <w:kern w:val="0"/>
                <w:sz w:val="22"/>
              </w:rPr>
            </w:pPr>
          </w:p>
          <w:p w14:paraId="15D2CE18" w14:textId="77777777" w:rsidR="00CD4126" w:rsidRPr="00676A76" w:rsidRDefault="00CD4126" w:rsidP="00CD4126">
            <w:pPr>
              <w:widowControl/>
              <w:numPr>
                <w:ilvl w:val="0"/>
                <w:numId w:val="1"/>
              </w:numPr>
              <w:ind w:left="0" w:firstLine="0"/>
              <w:rPr>
                <w:rFonts w:ascii="Times New Roman" w:eastAsia="宋体" w:hAnsi="Times New Roman" w:cs="Times New Roman"/>
                <w:b/>
                <w:color w:val="000000"/>
                <w:kern w:val="0"/>
                <w:sz w:val="22"/>
              </w:rPr>
            </w:pPr>
            <w:r w:rsidRPr="00676A76">
              <w:rPr>
                <w:rFonts w:ascii="Times New Roman" w:eastAsia="宋体" w:hAnsi="Times New Roman" w:cs="Times New Roman"/>
                <w:b/>
                <w:color w:val="000000"/>
                <w:kern w:val="0"/>
                <w:sz w:val="22"/>
              </w:rPr>
              <w:t>静电过滤器和化学过滤器的售价相差不多，每年更换，需要公司相关人员去现场更换吗？？</w:t>
            </w:r>
          </w:p>
          <w:p w14:paraId="7667C9CF" w14:textId="7C665745" w:rsidR="00F82446" w:rsidRPr="00676A76" w:rsidRDefault="00CD4126" w:rsidP="00CD4126">
            <w:pPr>
              <w:widowControl/>
              <w:numPr>
                <w:ilvl w:val="255"/>
                <w:numId w:val="0"/>
              </w:numPr>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公司将派遣专业人员前往现场，提供指导和协助进行更换操作。这些专业人员具备相关专业知识和经验，致力于确保更换过程的顺利进行。</w:t>
            </w:r>
          </w:p>
        </w:tc>
      </w:tr>
      <w:tr w:rsidR="00882A7B" w:rsidRPr="00676A76" w14:paraId="7D2E4147" w14:textId="77777777" w:rsidTr="00C77DA0">
        <w:trPr>
          <w:trHeight w:val="1118"/>
        </w:trPr>
        <w:tc>
          <w:tcPr>
            <w:tcW w:w="1418" w:type="dxa"/>
            <w:vMerge/>
            <w:vAlign w:val="center"/>
          </w:tcPr>
          <w:p w14:paraId="0FD3ED84" w14:textId="77777777" w:rsidR="00882A7B" w:rsidRPr="00676A76" w:rsidRDefault="00882A7B" w:rsidP="000D0A12">
            <w:pPr>
              <w:widowControl/>
              <w:rPr>
                <w:rFonts w:ascii="Times New Roman" w:eastAsia="宋体" w:hAnsi="Times New Roman" w:cs="Times New Roman"/>
                <w:color w:val="000000"/>
                <w:kern w:val="0"/>
                <w:sz w:val="22"/>
              </w:rPr>
            </w:pPr>
          </w:p>
        </w:tc>
        <w:tc>
          <w:tcPr>
            <w:tcW w:w="7796" w:type="dxa"/>
            <w:gridSpan w:val="2"/>
            <w:vMerge/>
            <w:vAlign w:val="center"/>
          </w:tcPr>
          <w:p w14:paraId="504B8B5D"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097AF2EF" w14:textId="77777777" w:rsidTr="00C77DA0">
        <w:trPr>
          <w:trHeight w:val="987"/>
        </w:trPr>
        <w:tc>
          <w:tcPr>
            <w:tcW w:w="1418" w:type="dxa"/>
            <w:vMerge/>
            <w:vAlign w:val="center"/>
          </w:tcPr>
          <w:p w14:paraId="728B4078" w14:textId="77777777" w:rsidR="00882A7B" w:rsidRPr="00676A76" w:rsidRDefault="00882A7B" w:rsidP="000D0A12">
            <w:pPr>
              <w:widowControl/>
              <w:rPr>
                <w:rFonts w:ascii="Times New Roman" w:eastAsia="宋体" w:hAnsi="Times New Roman" w:cs="Times New Roman"/>
                <w:color w:val="000000"/>
                <w:kern w:val="0"/>
                <w:sz w:val="22"/>
              </w:rPr>
            </w:pPr>
          </w:p>
        </w:tc>
        <w:tc>
          <w:tcPr>
            <w:tcW w:w="7796" w:type="dxa"/>
            <w:gridSpan w:val="2"/>
            <w:vMerge/>
            <w:vAlign w:val="center"/>
          </w:tcPr>
          <w:p w14:paraId="63352936"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20D4E0F0" w14:textId="77777777" w:rsidTr="00C77DA0">
        <w:trPr>
          <w:trHeight w:val="1140"/>
        </w:trPr>
        <w:tc>
          <w:tcPr>
            <w:tcW w:w="1418" w:type="dxa"/>
            <w:vMerge/>
            <w:vAlign w:val="center"/>
          </w:tcPr>
          <w:p w14:paraId="4CC66708" w14:textId="77777777" w:rsidR="00882A7B" w:rsidRPr="00676A76" w:rsidRDefault="00882A7B" w:rsidP="000D0A12">
            <w:pPr>
              <w:widowControl/>
              <w:rPr>
                <w:rFonts w:ascii="Times New Roman" w:eastAsia="宋体" w:hAnsi="Times New Roman" w:cs="Times New Roman"/>
                <w:color w:val="000000"/>
                <w:kern w:val="0"/>
                <w:sz w:val="22"/>
              </w:rPr>
            </w:pPr>
          </w:p>
        </w:tc>
        <w:tc>
          <w:tcPr>
            <w:tcW w:w="7796" w:type="dxa"/>
            <w:gridSpan w:val="2"/>
            <w:vMerge/>
            <w:vAlign w:val="center"/>
          </w:tcPr>
          <w:p w14:paraId="726B7E30"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40A7445E" w14:textId="77777777" w:rsidTr="00C77DA0">
        <w:trPr>
          <w:trHeight w:val="1010"/>
        </w:trPr>
        <w:tc>
          <w:tcPr>
            <w:tcW w:w="1418" w:type="dxa"/>
            <w:vMerge/>
            <w:vAlign w:val="center"/>
          </w:tcPr>
          <w:p w14:paraId="21C62770" w14:textId="77777777" w:rsidR="00882A7B" w:rsidRPr="00676A76" w:rsidRDefault="00882A7B" w:rsidP="000D0A12">
            <w:pPr>
              <w:widowControl/>
              <w:rPr>
                <w:rFonts w:ascii="Times New Roman" w:eastAsia="宋体" w:hAnsi="Times New Roman" w:cs="Times New Roman"/>
                <w:color w:val="000000"/>
                <w:kern w:val="0"/>
                <w:sz w:val="22"/>
              </w:rPr>
            </w:pPr>
          </w:p>
        </w:tc>
        <w:tc>
          <w:tcPr>
            <w:tcW w:w="7796" w:type="dxa"/>
            <w:gridSpan w:val="2"/>
            <w:vMerge/>
            <w:vAlign w:val="center"/>
          </w:tcPr>
          <w:p w14:paraId="49E3BBC5"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1479088A" w14:textId="77777777" w:rsidTr="00C77DA0">
        <w:trPr>
          <w:trHeight w:val="379"/>
        </w:trPr>
        <w:tc>
          <w:tcPr>
            <w:tcW w:w="1418" w:type="dxa"/>
            <w:shd w:val="clear" w:color="auto" w:fill="auto"/>
            <w:noWrap/>
            <w:vAlign w:val="center"/>
          </w:tcPr>
          <w:p w14:paraId="6BF68EC8"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lastRenderedPageBreak/>
              <w:t>附件清单（如有）</w:t>
            </w:r>
          </w:p>
        </w:tc>
        <w:tc>
          <w:tcPr>
            <w:tcW w:w="7796" w:type="dxa"/>
            <w:gridSpan w:val="2"/>
            <w:shd w:val="clear" w:color="auto" w:fill="auto"/>
            <w:noWrap/>
            <w:vAlign w:val="center"/>
          </w:tcPr>
          <w:p w14:paraId="6CD0772E" w14:textId="77777777" w:rsidR="00882A7B" w:rsidRPr="00676A76" w:rsidRDefault="00603CDE" w:rsidP="000D0A12">
            <w:pPr>
              <w:widowControl/>
              <w:rPr>
                <w:rFonts w:ascii="Times New Roman" w:eastAsia="宋体" w:hAnsi="Times New Roman" w:cs="Times New Roman"/>
                <w:bCs/>
                <w:color w:val="FFFF00"/>
                <w:kern w:val="0"/>
                <w:sz w:val="22"/>
              </w:rPr>
            </w:pPr>
            <w:r w:rsidRPr="00676A76">
              <w:rPr>
                <w:rFonts w:ascii="Times New Roman" w:eastAsia="宋体" w:hAnsi="Times New Roman" w:cs="Times New Roman"/>
                <w:bCs/>
                <w:kern w:val="0"/>
                <w:sz w:val="22"/>
              </w:rPr>
              <w:t>无</w:t>
            </w:r>
          </w:p>
        </w:tc>
      </w:tr>
    </w:tbl>
    <w:p w14:paraId="02494E1C" w14:textId="77777777" w:rsidR="00882A7B" w:rsidRPr="00676A76" w:rsidRDefault="00882A7B" w:rsidP="000D0A12">
      <w:pPr>
        <w:rPr>
          <w:rFonts w:ascii="Times New Roman" w:eastAsia="宋体" w:hAnsi="Times New Roman" w:cs="Times New Roman"/>
        </w:rPr>
      </w:pPr>
    </w:p>
    <w:sectPr w:rsidR="00882A7B" w:rsidRPr="00676A7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42328" w14:textId="77777777" w:rsidR="00086560" w:rsidRDefault="00086560" w:rsidP="001662EF">
      <w:r>
        <w:separator/>
      </w:r>
    </w:p>
  </w:endnote>
  <w:endnote w:type="continuationSeparator" w:id="0">
    <w:p w14:paraId="0AD0CA3D" w14:textId="77777777" w:rsidR="00086560" w:rsidRDefault="00086560"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9EE21" w14:textId="77777777" w:rsidR="00086560" w:rsidRDefault="00086560" w:rsidP="001662EF">
      <w:r>
        <w:separator/>
      </w:r>
    </w:p>
  </w:footnote>
  <w:footnote w:type="continuationSeparator" w:id="0">
    <w:p w14:paraId="5BE6604A" w14:textId="77777777" w:rsidR="00086560" w:rsidRDefault="00086560"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3431E"/>
    <w:rsid w:val="000528A6"/>
    <w:rsid w:val="00061A9E"/>
    <w:rsid w:val="00066493"/>
    <w:rsid w:val="00067267"/>
    <w:rsid w:val="00086560"/>
    <w:rsid w:val="000A488B"/>
    <w:rsid w:val="000A5F09"/>
    <w:rsid w:val="000B0C6F"/>
    <w:rsid w:val="000C5C9F"/>
    <w:rsid w:val="000D0A12"/>
    <w:rsid w:val="000D1766"/>
    <w:rsid w:val="000D6108"/>
    <w:rsid w:val="000F2FFB"/>
    <w:rsid w:val="000F5758"/>
    <w:rsid w:val="0010543C"/>
    <w:rsid w:val="00112F4C"/>
    <w:rsid w:val="001144D6"/>
    <w:rsid w:val="00114C6D"/>
    <w:rsid w:val="00127CC2"/>
    <w:rsid w:val="001307C4"/>
    <w:rsid w:val="00132CB2"/>
    <w:rsid w:val="001332FA"/>
    <w:rsid w:val="001457D1"/>
    <w:rsid w:val="001662EF"/>
    <w:rsid w:val="001833BA"/>
    <w:rsid w:val="00187C84"/>
    <w:rsid w:val="001C399C"/>
    <w:rsid w:val="001D5823"/>
    <w:rsid w:val="001D6AF1"/>
    <w:rsid w:val="001F5275"/>
    <w:rsid w:val="002038D0"/>
    <w:rsid w:val="00215B3A"/>
    <w:rsid w:val="00222637"/>
    <w:rsid w:val="002501BC"/>
    <w:rsid w:val="00287613"/>
    <w:rsid w:val="00297C6A"/>
    <w:rsid w:val="002A3FBD"/>
    <w:rsid w:val="002F0469"/>
    <w:rsid w:val="002F779D"/>
    <w:rsid w:val="0031054F"/>
    <w:rsid w:val="003118B8"/>
    <w:rsid w:val="003259E4"/>
    <w:rsid w:val="00364321"/>
    <w:rsid w:val="0037125C"/>
    <w:rsid w:val="00372385"/>
    <w:rsid w:val="00380E64"/>
    <w:rsid w:val="0038551C"/>
    <w:rsid w:val="003A0A6F"/>
    <w:rsid w:val="003A7303"/>
    <w:rsid w:val="003B1924"/>
    <w:rsid w:val="003B28C2"/>
    <w:rsid w:val="003E17BE"/>
    <w:rsid w:val="00404F53"/>
    <w:rsid w:val="00450BB2"/>
    <w:rsid w:val="004571FD"/>
    <w:rsid w:val="00464D16"/>
    <w:rsid w:val="00471408"/>
    <w:rsid w:val="0049424A"/>
    <w:rsid w:val="004A15EA"/>
    <w:rsid w:val="00523063"/>
    <w:rsid w:val="00530EA5"/>
    <w:rsid w:val="00566F85"/>
    <w:rsid w:val="00567178"/>
    <w:rsid w:val="005A08FD"/>
    <w:rsid w:val="005B6252"/>
    <w:rsid w:val="005C1FD6"/>
    <w:rsid w:val="00603CDE"/>
    <w:rsid w:val="00606D31"/>
    <w:rsid w:val="00607CEC"/>
    <w:rsid w:val="006226DC"/>
    <w:rsid w:val="00633A1B"/>
    <w:rsid w:val="00637C3F"/>
    <w:rsid w:val="00653703"/>
    <w:rsid w:val="00657B85"/>
    <w:rsid w:val="00664D61"/>
    <w:rsid w:val="00676A76"/>
    <w:rsid w:val="00685FB6"/>
    <w:rsid w:val="006A217B"/>
    <w:rsid w:val="006D59FF"/>
    <w:rsid w:val="00713F38"/>
    <w:rsid w:val="00715348"/>
    <w:rsid w:val="00724B69"/>
    <w:rsid w:val="007304C8"/>
    <w:rsid w:val="007547D0"/>
    <w:rsid w:val="0077117F"/>
    <w:rsid w:val="00774C41"/>
    <w:rsid w:val="00781E35"/>
    <w:rsid w:val="00787B7F"/>
    <w:rsid w:val="007D3242"/>
    <w:rsid w:val="007D405F"/>
    <w:rsid w:val="007E2007"/>
    <w:rsid w:val="007E34E7"/>
    <w:rsid w:val="00802FA8"/>
    <w:rsid w:val="0081319E"/>
    <w:rsid w:val="008135F3"/>
    <w:rsid w:val="008266C4"/>
    <w:rsid w:val="00862AEE"/>
    <w:rsid w:val="00872DF6"/>
    <w:rsid w:val="00877466"/>
    <w:rsid w:val="00882A7B"/>
    <w:rsid w:val="00884FC6"/>
    <w:rsid w:val="00892B6E"/>
    <w:rsid w:val="008A52C2"/>
    <w:rsid w:val="008A6879"/>
    <w:rsid w:val="008C3A47"/>
    <w:rsid w:val="008E3EC9"/>
    <w:rsid w:val="009200EF"/>
    <w:rsid w:val="00923FB9"/>
    <w:rsid w:val="009378DE"/>
    <w:rsid w:val="00940E54"/>
    <w:rsid w:val="00952184"/>
    <w:rsid w:val="00961BF3"/>
    <w:rsid w:val="009758C9"/>
    <w:rsid w:val="00995F57"/>
    <w:rsid w:val="009A0832"/>
    <w:rsid w:val="009A5925"/>
    <w:rsid w:val="009B1C2B"/>
    <w:rsid w:val="009B4299"/>
    <w:rsid w:val="009D5A7B"/>
    <w:rsid w:val="00A01B0A"/>
    <w:rsid w:val="00A10004"/>
    <w:rsid w:val="00A3094B"/>
    <w:rsid w:val="00A85597"/>
    <w:rsid w:val="00AB382F"/>
    <w:rsid w:val="00AD588A"/>
    <w:rsid w:val="00AF2384"/>
    <w:rsid w:val="00AF2827"/>
    <w:rsid w:val="00B04DBD"/>
    <w:rsid w:val="00B04E14"/>
    <w:rsid w:val="00B07975"/>
    <w:rsid w:val="00B20892"/>
    <w:rsid w:val="00B25FF9"/>
    <w:rsid w:val="00B362D9"/>
    <w:rsid w:val="00B5501D"/>
    <w:rsid w:val="00B8651E"/>
    <w:rsid w:val="00B87B4D"/>
    <w:rsid w:val="00B93CB6"/>
    <w:rsid w:val="00BA1A48"/>
    <w:rsid w:val="00BA1B88"/>
    <w:rsid w:val="00BC4677"/>
    <w:rsid w:val="00BF69F7"/>
    <w:rsid w:val="00C01ADB"/>
    <w:rsid w:val="00C0501D"/>
    <w:rsid w:val="00C071B6"/>
    <w:rsid w:val="00C421D6"/>
    <w:rsid w:val="00C56763"/>
    <w:rsid w:val="00C61FC7"/>
    <w:rsid w:val="00C77DA0"/>
    <w:rsid w:val="00CC0E0E"/>
    <w:rsid w:val="00CD4126"/>
    <w:rsid w:val="00CD7CFB"/>
    <w:rsid w:val="00CE303B"/>
    <w:rsid w:val="00CE7569"/>
    <w:rsid w:val="00CF2DC9"/>
    <w:rsid w:val="00CF4BE5"/>
    <w:rsid w:val="00D260A7"/>
    <w:rsid w:val="00D46DFE"/>
    <w:rsid w:val="00D46F7E"/>
    <w:rsid w:val="00D53287"/>
    <w:rsid w:val="00D55E61"/>
    <w:rsid w:val="00D917B2"/>
    <w:rsid w:val="00D931ED"/>
    <w:rsid w:val="00D93726"/>
    <w:rsid w:val="00DC7894"/>
    <w:rsid w:val="00DD067E"/>
    <w:rsid w:val="00DE60A7"/>
    <w:rsid w:val="00DF0C96"/>
    <w:rsid w:val="00E10C84"/>
    <w:rsid w:val="00E22CCE"/>
    <w:rsid w:val="00E266AA"/>
    <w:rsid w:val="00E35590"/>
    <w:rsid w:val="00E83BCE"/>
    <w:rsid w:val="00E94120"/>
    <w:rsid w:val="00EA3131"/>
    <w:rsid w:val="00ED7579"/>
    <w:rsid w:val="00F108DA"/>
    <w:rsid w:val="00F174FA"/>
    <w:rsid w:val="00F240F8"/>
    <w:rsid w:val="00F57C24"/>
    <w:rsid w:val="00F81113"/>
    <w:rsid w:val="00F82446"/>
    <w:rsid w:val="00FC3EED"/>
    <w:rsid w:val="00FD798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5391-D3E8-4D0A-B60B-4F77059C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DELL</cp:lastModifiedBy>
  <cp:revision>59</cp:revision>
  <cp:lastPrinted>2023-09-08T09:02:00Z</cp:lastPrinted>
  <dcterms:created xsi:type="dcterms:W3CDTF">2023-06-26T06:27:00Z</dcterms:created>
  <dcterms:modified xsi:type="dcterms:W3CDTF">2023-09-08T09:14:00Z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