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360" w:lineRule="auto"/>
        <w:rPr>
          <w:rFonts w:ascii="宋体" w:hAnsi="宋体" w:eastAsia="宋体" w:cs="宋体"/>
          <w:sz w:val="24"/>
          <w:szCs w:val="24"/>
        </w:rPr>
      </w:pPr>
      <w:r>
        <w:rPr>
          <w:rFonts w:hint="eastAsia" w:ascii="宋体" w:hAnsi="宋体" w:eastAsia="宋体" w:cs="宋体"/>
          <w:sz w:val="24"/>
          <w:szCs w:val="24"/>
        </w:rPr>
        <w:t>证券代码：688</w:t>
      </w:r>
      <w:r>
        <w:rPr>
          <w:rFonts w:ascii="宋体" w:hAnsi="宋体" w:eastAsia="宋体" w:cs="宋体"/>
          <w:sz w:val="24"/>
          <w:szCs w:val="24"/>
        </w:rPr>
        <w:t>349</w:t>
      </w:r>
      <w:r>
        <w:rPr>
          <w:rFonts w:hint="eastAsia" w:ascii="宋体" w:hAnsi="宋体" w:eastAsia="宋体" w:cs="宋体"/>
          <w:sz w:val="24"/>
          <w:szCs w:val="24"/>
        </w:rPr>
        <w:t xml:space="preserve">                                   证券简称：三一重能</w:t>
      </w:r>
    </w:p>
    <w:p>
      <w:pPr>
        <w:spacing w:before="120" w:beforeLines="50" w:after="120" w:afterLines="50" w:line="240" w:lineRule="auto"/>
        <w:jc w:val="center"/>
        <w:rPr>
          <w:rFonts w:ascii="宋体" w:hAnsi="宋体" w:eastAsia="宋体" w:cs="宋体"/>
          <w:b/>
          <w:bCs/>
          <w:sz w:val="24"/>
          <w:szCs w:val="24"/>
        </w:rPr>
      </w:pPr>
      <w:r>
        <w:rPr>
          <w:rFonts w:hint="eastAsia" w:ascii="宋体" w:hAnsi="宋体" w:eastAsia="宋体" w:cs="宋体"/>
          <w:b/>
          <w:bCs/>
          <w:sz w:val="24"/>
          <w:szCs w:val="24"/>
        </w:rPr>
        <w:t>三一重能股份有限公司</w:t>
      </w:r>
    </w:p>
    <w:p>
      <w:pPr>
        <w:spacing w:before="120" w:beforeLines="50" w:after="120" w:afterLines="50" w:line="240" w:lineRule="auto"/>
        <w:jc w:val="center"/>
        <w:rPr>
          <w:rFonts w:ascii="宋体" w:hAnsi="宋体" w:eastAsia="宋体" w:cs="宋体"/>
          <w:b/>
          <w:bCs/>
          <w:sz w:val="24"/>
          <w:szCs w:val="24"/>
        </w:rPr>
      </w:pPr>
      <w:r>
        <w:rPr>
          <w:rFonts w:hint="eastAsia" w:ascii="宋体" w:hAnsi="宋体" w:eastAsia="宋体" w:cs="宋体"/>
          <w:b/>
          <w:bCs/>
          <w:sz w:val="24"/>
          <w:szCs w:val="24"/>
        </w:rPr>
        <w:t>投资者关系活动记录表</w:t>
      </w:r>
    </w:p>
    <w:p>
      <w:pPr>
        <w:spacing w:after="0"/>
        <w:ind w:left="1179"/>
        <w:jc w:val="right"/>
        <w:rPr>
          <w:rFonts w:hint="default" w:ascii="宋体" w:hAnsi="宋体" w:eastAsia="宋体" w:cs="宋体"/>
          <w:sz w:val="24"/>
          <w:szCs w:val="24"/>
          <w:lang w:val="en-US" w:eastAsia="zh-CN"/>
        </w:rPr>
      </w:pPr>
      <w:r>
        <w:rPr>
          <w:rFonts w:hint="eastAsia" w:ascii="宋体" w:hAnsi="宋体" w:eastAsia="宋体" w:cs="宋体"/>
          <w:sz w:val="24"/>
          <w:szCs w:val="24"/>
        </w:rPr>
        <w:t>编号：202</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007</w:t>
      </w:r>
    </w:p>
    <w:tbl>
      <w:tblPr>
        <w:tblStyle w:val="8"/>
        <w:tblW w:w="5000" w:type="pct"/>
        <w:tblInd w:w="0" w:type="dxa"/>
        <w:tblLayout w:type="autofit"/>
        <w:tblCellMar>
          <w:top w:w="0" w:type="dxa"/>
          <w:left w:w="108" w:type="dxa"/>
          <w:bottom w:w="41" w:type="dxa"/>
          <w:right w:w="0" w:type="dxa"/>
        </w:tblCellMar>
      </w:tblPr>
      <w:tblGrid>
        <w:gridCol w:w="1774"/>
        <w:gridCol w:w="6649"/>
      </w:tblGrid>
      <w:tr>
        <w:tblPrEx>
          <w:tblCellMar>
            <w:top w:w="0" w:type="dxa"/>
            <w:left w:w="108" w:type="dxa"/>
            <w:bottom w:w="41" w:type="dxa"/>
            <w:right w:w="0" w:type="dxa"/>
          </w:tblCellMar>
        </w:tblPrEx>
        <w:trPr>
          <w:trHeight w:val="1673"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投资者关系活动类别</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特定对象调研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分析师会议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媒体采访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现场参观           </w:t>
            </w:r>
            <w:r>
              <w:rPr>
                <w:rFonts w:hint="eastAsia" w:ascii="宋体" w:hAnsi="宋体" w:eastAsia="宋体" w:cs="宋体"/>
                <w:sz w:val="24"/>
                <w:szCs w:val="24"/>
              </w:rPr>
              <w:sym w:font="Wingdings 2" w:char="00A3"/>
            </w:r>
            <w:r>
              <w:rPr>
                <w:rFonts w:hint="eastAsia" w:ascii="宋体" w:hAnsi="宋体" w:eastAsia="宋体" w:cs="宋体"/>
                <w:sz w:val="24"/>
                <w:szCs w:val="24"/>
              </w:rPr>
              <w:t>业绩说明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rPr>
              <w:sym w:font="Wingdings 2" w:char="0052"/>
            </w:r>
            <w:r>
              <w:rPr>
                <w:rFonts w:hint="eastAsia" w:ascii="宋体" w:hAnsi="宋体" w:eastAsia="宋体" w:cs="宋体"/>
                <w:sz w:val="24"/>
                <w:szCs w:val="24"/>
              </w:rPr>
              <w:t xml:space="preserve">路演活动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一对一沟通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新闻发布    </w:t>
            </w:r>
            <w:r>
              <w:rPr>
                <w:rFonts w:hint="eastAsia" w:ascii="宋体" w:hAnsi="宋体" w:eastAsia="宋体" w:cs="宋体"/>
                <w:sz w:val="24"/>
                <w:szCs w:val="24"/>
              </w:rPr>
              <w:sym w:font="Wingdings 2" w:char="00A3"/>
            </w:r>
            <w:r>
              <w:rPr>
                <w:rFonts w:hint="eastAsia" w:ascii="宋体" w:hAnsi="宋体" w:eastAsia="宋体" w:cs="宋体"/>
                <w:sz w:val="24"/>
                <w:szCs w:val="24"/>
              </w:rPr>
              <w:t>其他（券商策略会）</w:t>
            </w:r>
          </w:p>
        </w:tc>
      </w:tr>
      <w:tr>
        <w:tblPrEx>
          <w:tblCellMar>
            <w:top w:w="0" w:type="dxa"/>
            <w:left w:w="108" w:type="dxa"/>
            <w:bottom w:w="41" w:type="dxa"/>
            <w:right w:w="0" w:type="dxa"/>
          </w:tblCellMar>
        </w:tblPrEx>
        <w:trPr>
          <w:trHeight w:val="338"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ind w:right="110"/>
              <w:jc w:val="center"/>
              <w:rPr>
                <w:rFonts w:hint="eastAsia" w:ascii="宋体" w:hAnsi="宋体" w:eastAsia="宋体" w:cs="宋体"/>
                <w:sz w:val="24"/>
                <w:szCs w:val="24"/>
              </w:rPr>
            </w:pPr>
            <w:r>
              <w:rPr>
                <w:rFonts w:hint="eastAsia" w:ascii="宋体" w:hAnsi="宋体" w:eastAsia="宋体" w:cs="宋体"/>
                <w:color w:val="auto"/>
                <w:sz w:val="24"/>
                <w:szCs w:val="24"/>
              </w:rPr>
              <w:t>参与单位及人员</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见附件</w:t>
            </w:r>
          </w:p>
        </w:tc>
      </w:tr>
      <w:tr>
        <w:tblPrEx>
          <w:tblCellMar>
            <w:top w:w="0" w:type="dxa"/>
            <w:left w:w="108" w:type="dxa"/>
            <w:bottom w:w="41" w:type="dxa"/>
            <w:right w:w="0" w:type="dxa"/>
          </w:tblCellMar>
        </w:tblPrEx>
        <w:trPr>
          <w:trHeight w:val="527"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时间</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default" w:ascii="宋体" w:hAnsi="宋体" w:eastAsia="宋体" w:cs="宋体"/>
                <w:sz w:val="24"/>
                <w:szCs w:val="24"/>
                <w:lang w:val="en-US"/>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tc>
      </w:tr>
      <w:tr>
        <w:tblPrEx>
          <w:tblCellMar>
            <w:top w:w="0" w:type="dxa"/>
            <w:left w:w="108" w:type="dxa"/>
            <w:bottom w:w="41" w:type="dxa"/>
            <w:right w:w="0" w:type="dxa"/>
          </w:tblCellMar>
        </w:tblPrEx>
        <w:trPr>
          <w:trHeight w:val="490"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ind w:right="110"/>
              <w:jc w:val="center"/>
              <w:rPr>
                <w:rFonts w:hint="eastAsia" w:ascii="宋体" w:hAnsi="宋体" w:eastAsia="宋体" w:cs="宋体"/>
                <w:sz w:val="24"/>
                <w:szCs w:val="24"/>
              </w:rPr>
            </w:pPr>
            <w:r>
              <w:rPr>
                <w:rFonts w:hint="eastAsia" w:ascii="宋体" w:hAnsi="宋体" w:eastAsia="宋体" w:cs="宋体"/>
                <w:sz w:val="24"/>
                <w:szCs w:val="24"/>
              </w:rPr>
              <w:t>方式</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线上电话交流会</w:t>
            </w:r>
          </w:p>
        </w:tc>
      </w:tr>
      <w:tr>
        <w:tblPrEx>
          <w:tblCellMar>
            <w:top w:w="0" w:type="dxa"/>
            <w:left w:w="108" w:type="dxa"/>
            <w:bottom w:w="41" w:type="dxa"/>
            <w:right w:w="0" w:type="dxa"/>
          </w:tblCellMar>
        </w:tblPrEx>
        <w:trPr>
          <w:trHeight w:val="639"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ind w:right="110"/>
              <w:jc w:val="center"/>
              <w:rPr>
                <w:rFonts w:hint="eastAsia" w:ascii="宋体" w:hAnsi="宋体" w:eastAsia="宋体" w:cs="宋体"/>
                <w:sz w:val="24"/>
                <w:szCs w:val="24"/>
              </w:rPr>
            </w:pPr>
            <w:r>
              <w:rPr>
                <w:rFonts w:hint="eastAsia" w:ascii="宋体" w:hAnsi="宋体" w:eastAsia="宋体" w:cs="宋体"/>
                <w:sz w:val="24"/>
                <w:szCs w:val="24"/>
              </w:rPr>
              <w:t>接待人员</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三一重能董事长：周福贵</w:t>
            </w:r>
          </w:p>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rPr>
              <w:t>三一重能</w:t>
            </w:r>
            <w:r>
              <w:rPr>
                <w:rFonts w:hint="eastAsia" w:ascii="宋体" w:hAnsi="宋体" w:eastAsia="宋体" w:cs="宋体"/>
                <w:sz w:val="24"/>
                <w:szCs w:val="24"/>
                <w:lang w:val="en-US" w:eastAsia="zh-CN"/>
              </w:rPr>
              <w:t>董事、总经理：李强</w:t>
            </w:r>
          </w:p>
          <w:p>
            <w:pPr>
              <w:snapToGrid w:val="0"/>
              <w:spacing w:after="0" w:line="360" w:lineRule="auto"/>
              <w:rPr>
                <w:rFonts w:hint="eastAsia" w:ascii="宋体" w:hAnsi="宋体" w:eastAsia="宋体" w:cs="宋体"/>
                <w:sz w:val="24"/>
                <w:szCs w:val="24"/>
              </w:rPr>
            </w:pPr>
            <w:r>
              <w:rPr>
                <w:rFonts w:hint="eastAsia" w:ascii="宋体" w:hAnsi="宋体" w:eastAsia="宋体" w:cs="宋体"/>
                <w:sz w:val="24"/>
                <w:szCs w:val="24"/>
              </w:rPr>
              <w:t>三一重能财务总监、董事会秘书：房猛</w:t>
            </w:r>
          </w:p>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三一重能CEO办公室副主任兼证券投资办部长：潘熙健</w:t>
            </w:r>
          </w:p>
        </w:tc>
      </w:tr>
      <w:tr>
        <w:tblPrEx>
          <w:tblCellMar>
            <w:top w:w="0" w:type="dxa"/>
            <w:left w:w="108" w:type="dxa"/>
            <w:bottom w:w="41" w:type="dxa"/>
            <w:right w:w="0" w:type="dxa"/>
          </w:tblCellMar>
        </w:tblPrEx>
        <w:trPr>
          <w:trHeight w:val="490"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ind w:right="110"/>
              <w:jc w:val="center"/>
              <w:rPr>
                <w:rFonts w:hint="eastAsia" w:ascii="宋体" w:hAnsi="宋体" w:eastAsia="宋体" w:cs="宋体"/>
                <w:sz w:val="24"/>
                <w:szCs w:val="24"/>
              </w:rPr>
            </w:pPr>
            <w:r>
              <w:rPr>
                <w:rFonts w:hint="eastAsia" w:ascii="宋体" w:hAnsi="宋体" w:eastAsia="宋体" w:cs="宋体"/>
                <w:sz w:val="24"/>
                <w:szCs w:val="24"/>
              </w:rPr>
              <w:t>投资者交流</w:t>
            </w:r>
          </w:p>
          <w:p>
            <w:pPr>
              <w:snapToGrid w:val="0"/>
              <w:spacing w:after="0" w:line="360" w:lineRule="auto"/>
              <w:ind w:right="110"/>
              <w:jc w:val="center"/>
              <w:rPr>
                <w:rFonts w:hint="eastAsia" w:ascii="宋体" w:hAnsi="宋体" w:eastAsia="宋体" w:cs="宋体"/>
                <w:sz w:val="24"/>
                <w:szCs w:val="24"/>
              </w:rPr>
            </w:pPr>
            <w:r>
              <w:rPr>
                <w:rFonts w:hint="eastAsia" w:ascii="宋体" w:hAnsi="宋体" w:eastAsia="宋体" w:cs="宋体"/>
                <w:sz w:val="24"/>
                <w:szCs w:val="24"/>
              </w:rPr>
              <w:t>主要内容介绍</w:t>
            </w:r>
          </w:p>
        </w:tc>
        <w:tc>
          <w:tcPr>
            <w:tcW w:w="3947" w:type="pct"/>
            <w:tcBorders>
              <w:top w:val="single" w:color="000000" w:sz="4" w:space="0"/>
              <w:left w:val="single" w:color="000000" w:sz="4" w:space="0"/>
              <w:bottom w:val="single" w:color="000000" w:sz="4" w:space="0"/>
              <w:right w:val="single" w:color="000000" w:sz="4" w:space="0"/>
            </w:tcBorders>
            <w:vAlign w:val="center"/>
          </w:tcPr>
          <w:p>
            <w:pPr>
              <w:pStyle w:val="13"/>
              <w:spacing w:before="156" w:line="276" w:lineRule="auto"/>
              <w:ind w:left="0" w:leftChars="0" w:firstLine="482" w:firstLineChars="200"/>
              <w:jc w:val="left"/>
              <w:rPr>
                <w:rFonts w:hint="default" w:ascii="宋体" w:hAnsi="宋体" w:cs="宋体"/>
                <w:b w:val="0"/>
                <w:bCs w:val="0"/>
                <w:color w:val="000000"/>
                <w:kern w:val="0"/>
                <w:szCs w:val="24"/>
                <w:lang w:val="en-US" w:eastAsia="zh-CN"/>
              </w:rPr>
            </w:pPr>
            <w:r>
              <w:rPr>
                <w:rFonts w:hint="eastAsia" w:ascii="宋体" w:hAnsi="宋体" w:cs="宋体"/>
                <w:b/>
                <w:bCs/>
                <w:color w:val="000000"/>
                <w:kern w:val="0"/>
                <w:szCs w:val="24"/>
                <w:lang w:val="en-US" w:eastAsia="zh-CN"/>
              </w:rPr>
              <w:t>问题1：公司2023年订单获取情况？海外、海上业务进展情况？</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2023年上半年，公司新增订单8.35GW，上半年新增订单基本和去年全年新增相当，今年全年预计同比会有比较大的增长。</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公司订单以国内陆上为主，已进入“五大六小”等能源集团供应商名录，同时加强了与内蒙古能源集团、北京能源集团、河北建投等区域性能源集团的合作，并在上述客户均有订单收获；海外订单的获取有个过程，公司海外营销团队已发展到两百人左右，分为欧洲、亚洲、拉美、中东及非洲等四大区域，今明两年争取更多的订单突破和储备；海上方面，公司也在参与一些订单的投标。</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公司按照陆上、海外、海上的战略优先级推进业务，海外将是公司未来较大的增长点。在欧洲区域，国内厂商在性价比、交付速度等方面存在较大优势，也可以通过智能工厂的形式实现本土化生产。虽然进入欧洲市场需要一定的过程，但是一旦进入欧洲客户的供应商名录，后续的订单会比较稳定。除欧洲区域外，东南亚国家对中国风机产品的接受度较高，拉美、中东和北非也有比较好的发展前景。</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eastAsia" w:ascii="宋体" w:hAnsi="宋体" w:cs="宋体"/>
                <w:b w:val="0"/>
                <w:bCs w:val="0"/>
                <w:color w:val="000000"/>
                <w:kern w:val="0"/>
                <w:szCs w:val="24"/>
                <w:lang w:val="en-US" w:eastAsia="zh-CN"/>
              </w:rPr>
            </w:pPr>
            <w:r>
              <w:rPr>
                <w:rFonts w:hint="eastAsia" w:ascii="宋体" w:hAnsi="宋体" w:cs="宋体"/>
                <w:b/>
                <w:bCs/>
                <w:color w:val="000000"/>
                <w:kern w:val="0"/>
                <w:szCs w:val="24"/>
                <w:lang w:val="en-US" w:eastAsia="zh-CN"/>
              </w:rPr>
              <w:t>问题2：公司主机、叶片等方面业务规划是怎样的？</w:t>
            </w:r>
          </w:p>
          <w:p>
            <w:pPr>
              <w:pStyle w:val="13"/>
              <w:spacing w:before="156" w:line="276" w:lineRule="auto"/>
              <w:ind w:left="0" w:leftChars="0" w:firstLine="480" w:firstLineChars="200"/>
              <w:jc w:val="both"/>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主机方面，公司除南口、通榆厂区外，今年新增投产郴州智能工厂，主要面向中国南方地区；叶片方面，公司原有韶山、张家口、通榆三大叶片工厂，今年新增内蒙古巴彦淖尔、新疆塔城厂区已投产，韶山工厂实现了智能化升级，塔城厂区可满足中亚出口需求；电机方面，今年对南口工厂进行智能化升级改造，可进一步提升产能和效率。</w:t>
            </w:r>
          </w:p>
          <w:p>
            <w:pPr>
              <w:pStyle w:val="13"/>
              <w:spacing w:before="156" w:line="276" w:lineRule="auto"/>
              <w:ind w:left="0" w:leftChars="0" w:firstLine="480" w:firstLineChars="200"/>
              <w:jc w:val="both"/>
              <w:rPr>
                <w:rFonts w:hint="default" w:ascii="宋体" w:hAnsi="宋体" w:cs="宋体"/>
                <w:sz w:val="24"/>
                <w:szCs w:val="24"/>
                <w:lang w:val="en-US" w:eastAsia="zh-CN"/>
              </w:rPr>
            </w:pPr>
            <w:r>
              <w:rPr>
                <w:rFonts w:hint="eastAsia" w:ascii="宋体" w:hAnsi="宋体" w:cs="宋体"/>
                <w:b w:val="0"/>
                <w:bCs w:val="0"/>
                <w:color w:val="000000"/>
                <w:kern w:val="0"/>
                <w:szCs w:val="24"/>
                <w:lang w:val="en-US" w:eastAsia="zh-CN"/>
              </w:rPr>
              <w:t>公司非常关注</w:t>
            </w:r>
            <w:r>
              <w:rPr>
                <w:rFonts w:ascii="宋体" w:hAnsi="宋体" w:eastAsia="宋体" w:cs="宋体"/>
                <w:sz w:val="24"/>
                <w:szCs w:val="24"/>
              </w:rPr>
              <w:t>产品的安全性和质量</w:t>
            </w:r>
            <w:r>
              <w:rPr>
                <w:rFonts w:hint="eastAsia" w:ascii="宋体" w:hAnsi="宋体" w:cs="宋体"/>
                <w:sz w:val="24"/>
                <w:szCs w:val="24"/>
                <w:lang w:eastAsia="zh-CN"/>
              </w:rPr>
              <w:t>，</w:t>
            </w:r>
            <w:r>
              <w:rPr>
                <w:rFonts w:hint="eastAsia" w:ascii="宋体" w:hAnsi="宋体" w:cs="宋体"/>
                <w:sz w:val="24"/>
                <w:szCs w:val="24"/>
                <w:lang w:val="en-US" w:eastAsia="zh-CN"/>
              </w:rPr>
              <w:t>张家口叶片实验基地可对叶片进行全生命周期试验，南口投建的试验检测中心可实现30MW以内风机产品的全生命周期试验，确保产品质量的稳定可靠。公司近年来的产品质量表现在行业里数一数二，离不开公司对质量检测及认证的大量投入。</w:t>
            </w:r>
          </w:p>
          <w:p>
            <w:pPr>
              <w:pStyle w:val="13"/>
              <w:spacing w:before="156" w:line="276" w:lineRule="auto"/>
              <w:ind w:left="0" w:leftChars="0" w:firstLine="480" w:firstLineChars="200"/>
              <w:jc w:val="left"/>
              <w:rPr>
                <w:rFonts w:hint="default" w:ascii="宋体" w:hAnsi="宋体" w:cs="宋体"/>
                <w:sz w:val="24"/>
                <w:szCs w:val="24"/>
                <w:lang w:val="en-US" w:eastAsia="zh-CN"/>
              </w:rPr>
            </w:pPr>
          </w:p>
          <w:p>
            <w:pPr>
              <w:pStyle w:val="13"/>
              <w:spacing w:before="156" w:line="276" w:lineRule="auto"/>
              <w:ind w:left="0" w:leftChars="0" w:firstLine="482" w:firstLineChars="200"/>
              <w:jc w:val="left"/>
              <w:rPr>
                <w:rFonts w:hint="default" w:ascii="宋体" w:hAnsi="宋体" w:cs="宋体"/>
                <w:b w:val="0"/>
                <w:bCs w:val="0"/>
                <w:color w:val="000000"/>
                <w:kern w:val="0"/>
                <w:szCs w:val="24"/>
                <w:lang w:val="en-US" w:eastAsia="zh-CN"/>
              </w:rPr>
            </w:pPr>
            <w:r>
              <w:rPr>
                <w:rFonts w:hint="eastAsia" w:ascii="宋体" w:hAnsi="宋体" w:cs="宋体"/>
                <w:b/>
                <w:bCs/>
                <w:color w:val="000000"/>
                <w:kern w:val="0"/>
                <w:szCs w:val="24"/>
                <w:lang w:val="en-US" w:eastAsia="zh-CN"/>
              </w:rPr>
              <w:t>问题3：二季度风电装机量有所放缓，请问主要有哪些原因？下半年是否能好转？</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央企、国企业主对于风场投资建设，一般涉及投决会审批和手续报批，所以每年上半年都是相对淡季，下半年尤其是后四个月是旺季，后四个月一般能占到全年装机量的一半或以上。</w:t>
            </w:r>
          </w:p>
          <w:p>
            <w:pPr>
              <w:pStyle w:val="13"/>
              <w:spacing w:before="156" w:line="276" w:lineRule="auto"/>
              <w:ind w:left="0" w:leftChars="0" w:firstLine="480" w:firstLineChars="200"/>
              <w:jc w:val="left"/>
              <w:rPr>
                <w:rFonts w:hint="default"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eastAsia" w:ascii="宋体" w:hAnsi="宋体" w:cs="宋体"/>
                <w:b/>
                <w:bCs/>
                <w:color w:val="000000"/>
                <w:kern w:val="0"/>
                <w:szCs w:val="24"/>
                <w:lang w:val="en-US" w:eastAsia="zh-CN"/>
              </w:rPr>
            </w:pPr>
            <w:r>
              <w:rPr>
                <w:rFonts w:hint="eastAsia" w:ascii="宋体" w:hAnsi="宋体" w:cs="宋体"/>
                <w:b/>
                <w:bCs/>
                <w:color w:val="000000"/>
                <w:kern w:val="0"/>
                <w:szCs w:val="24"/>
                <w:lang w:val="en-US" w:eastAsia="zh-CN"/>
              </w:rPr>
              <w:t xml:space="preserve">问题4：公司上半年并网和对外转让风电场规模，6月底存量和在建风电场规模，后续开发、转让出售计划？ </w:t>
            </w:r>
          </w:p>
          <w:p>
            <w:pPr>
              <w:pStyle w:val="13"/>
              <w:spacing w:before="156" w:line="276" w:lineRule="auto"/>
              <w:ind w:left="0" w:leftChars="0" w:firstLine="480" w:firstLineChars="200"/>
              <w:jc w:val="both"/>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2023年上半年，公司新增并网三个项目，容量合计为250MW，对外转让隆回冷溪山新能源、延津县太行山新能源、通道驰远新能源三个公司，项目容量合计 250MW，实现了较好的投资收益。截至2023年6月30日，公司存量风力发电场411.6MW，在建风场707.1MW。</w:t>
            </w:r>
          </w:p>
          <w:p>
            <w:pPr>
              <w:pStyle w:val="13"/>
              <w:spacing w:before="156" w:line="276" w:lineRule="auto"/>
              <w:ind w:left="0" w:leftChars="0" w:firstLine="480" w:firstLineChars="200"/>
              <w:jc w:val="both"/>
              <w:rPr>
                <w:rFonts w:hint="default"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公司对风电场实行滚动开发的计划，实行“开发一批、转让一批、自持一批”的策略，根据需求端情况适时对风场进行转让。公司出售风场业务为公司的一项经常性业务，实际是公司销售风机及承接 EPC 业务的一种实现方式，未来也是公司持续性的主要业务之一，公司将围绕此业务探索出一个新的商业模式。</w:t>
            </w:r>
          </w:p>
          <w:p>
            <w:pPr>
              <w:pStyle w:val="13"/>
              <w:spacing w:before="156" w:line="276" w:lineRule="auto"/>
              <w:ind w:left="0" w:leftChars="0" w:firstLine="480" w:firstLineChars="200"/>
              <w:jc w:val="left"/>
              <w:rPr>
                <w:rFonts w:hint="default"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default" w:ascii="宋体" w:hAnsi="宋体" w:cs="宋体"/>
                <w:b w:val="0"/>
                <w:bCs w:val="0"/>
                <w:color w:val="000000"/>
                <w:kern w:val="0"/>
                <w:szCs w:val="24"/>
                <w:lang w:val="en-US" w:eastAsia="zh-CN"/>
              </w:rPr>
            </w:pPr>
            <w:r>
              <w:rPr>
                <w:rFonts w:hint="eastAsia" w:ascii="宋体" w:hAnsi="宋体" w:cs="宋体"/>
                <w:b/>
                <w:bCs/>
                <w:color w:val="000000"/>
                <w:kern w:val="0"/>
                <w:szCs w:val="24"/>
                <w:lang w:val="en-US" w:eastAsia="zh-CN"/>
              </w:rPr>
              <w:t>问题5：陆上风机招标价是否已触底？后续是否会向上回升？海上风机招标价格趋势？</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目前，陆上风机的招标价已基本触底，但是整个行业现状是供大于求，在行业调整的过程中，随着产供销趋于均衡，预计价格会有向上走的可能。</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目前，陆上风电场投资收益率比较可观，海上风电场收益率相对较低不能满足业主的期望，公司将通过差异化的战略取得竞争优势，通过自身的成本优势降低度电成本，为客户创造价值。</w:t>
            </w:r>
          </w:p>
          <w:p>
            <w:pPr>
              <w:pStyle w:val="13"/>
              <w:spacing w:before="156" w:line="276" w:lineRule="auto"/>
              <w:ind w:left="0" w:leftChars="0" w:firstLine="480" w:firstLineChars="200"/>
              <w:jc w:val="left"/>
              <w:rPr>
                <w:rFonts w:hint="default"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default" w:ascii="宋体" w:hAnsi="宋体" w:cs="宋体"/>
                <w:b w:val="0"/>
                <w:bCs w:val="0"/>
                <w:color w:val="000000"/>
                <w:kern w:val="0"/>
                <w:szCs w:val="24"/>
                <w:lang w:val="en-US" w:eastAsia="zh-CN"/>
              </w:rPr>
            </w:pPr>
            <w:r>
              <w:rPr>
                <w:rFonts w:hint="eastAsia" w:ascii="宋体" w:hAnsi="宋体" w:cs="宋体"/>
                <w:b/>
                <w:bCs/>
                <w:color w:val="000000"/>
                <w:kern w:val="0"/>
                <w:szCs w:val="24"/>
                <w:lang w:val="en-US" w:eastAsia="zh-CN"/>
              </w:rPr>
              <w:t>问题6：请问公司对今年全年、明年的装机量预期？</w:t>
            </w:r>
          </w:p>
          <w:p>
            <w:pPr>
              <w:pStyle w:val="13"/>
              <w:spacing w:before="156" w:line="276" w:lineRule="auto"/>
              <w:ind w:left="0" w:leftChars="0" w:firstLine="480" w:firstLineChars="200"/>
              <w:jc w:val="left"/>
              <w:rPr>
                <w:rFonts w:hint="default"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公司预计2023年全行业装机容量为55-60GW左右，明年在60-70GW左右。双碳目标、风电平价后比较好的投资收益率、国家支持新能源投资建设等因素，都使得风电有较好的发展前景。</w:t>
            </w:r>
          </w:p>
          <w:p>
            <w:pPr>
              <w:pStyle w:val="13"/>
              <w:spacing w:before="156" w:line="276" w:lineRule="auto"/>
              <w:ind w:left="0" w:leftChars="0" w:firstLine="480" w:firstLineChars="200"/>
              <w:jc w:val="left"/>
              <w:rPr>
                <w:rFonts w:hint="default"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eastAsia" w:ascii="宋体" w:hAnsi="宋体" w:cs="宋体"/>
                <w:b/>
                <w:bCs/>
                <w:color w:val="000000"/>
                <w:kern w:val="0"/>
                <w:szCs w:val="24"/>
                <w:lang w:val="en-US" w:eastAsia="zh-CN"/>
              </w:rPr>
            </w:pPr>
            <w:r>
              <w:rPr>
                <w:rFonts w:hint="eastAsia" w:ascii="宋体" w:hAnsi="宋体" w:cs="宋体"/>
                <w:b/>
                <w:bCs/>
                <w:color w:val="000000"/>
                <w:kern w:val="0"/>
                <w:szCs w:val="24"/>
                <w:lang w:val="en-US" w:eastAsia="zh-CN"/>
              </w:rPr>
              <w:t>问题7：陆上风机招标的主力机型是哪些？</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default" w:ascii="宋体" w:hAnsi="宋体" w:cs="宋体"/>
                <w:b w:val="0"/>
                <w:bCs w:val="0"/>
                <w:color w:val="000000"/>
                <w:kern w:val="0"/>
                <w:szCs w:val="24"/>
                <w:lang w:val="en-US" w:eastAsia="zh-CN"/>
              </w:rPr>
              <w:t>今年下半年</w:t>
            </w:r>
            <w:r>
              <w:rPr>
                <w:rFonts w:hint="eastAsia" w:ascii="宋体" w:hAnsi="宋体" w:cs="宋体"/>
                <w:b w:val="0"/>
                <w:bCs w:val="0"/>
                <w:color w:val="000000"/>
                <w:kern w:val="0"/>
                <w:szCs w:val="24"/>
                <w:lang w:val="en-US" w:eastAsia="zh-CN"/>
              </w:rPr>
              <w:t>，陆上风机的招标以6-8MW为主，明年预计会有一定规模的8-10MW的订单招标，今年个别项目可能会有10MW左右机型招标。</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p>
          <w:p>
            <w:pPr>
              <w:pStyle w:val="13"/>
              <w:spacing w:before="156" w:line="276" w:lineRule="auto"/>
              <w:ind w:left="0" w:leftChars="0" w:firstLine="482" w:firstLineChars="200"/>
              <w:jc w:val="left"/>
              <w:rPr>
                <w:rFonts w:hint="eastAsia" w:ascii="宋体" w:hAnsi="宋体" w:cs="宋体"/>
                <w:b/>
                <w:bCs/>
                <w:color w:val="000000"/>
                <w:kern w:val="0"/>
                <w:szCs w:val="24"/>
                <w:lang w:val="en-US" w:eastAsia="zh-CN"/>
              </w:rPr>
            </w:pPr>
            <w:r>
              <w:rPr>
                <w:rFonts w:hint="eastAsia" w:ascii="宋体" w:hAnsi="宋体" w:cs="宋体"/>
                <w:b/>
                <w:bCs/>
                <w:color w:val="000000"/>
                <w:kern w:val="0"/>
                <w:szCs w:val="24"/>
                <w:lang w:val="en-US" w:eastAsia="zh-CN"/>
              </w:rPr>
              <w:t>问题8：公司上半年的期间费用率23.48%，这是否是长期的费用率水平？</w:t>
            </w:r>
          </w:p>
          <w:p>
            <w:pPr>
              <w:pStyle w:val="13"/>
              <w:spacing w:before="156" w:line="276" w:lineRule="auto"/>
              <w:ind w:left="0" w:leftChars="0" w:firstLine="480" w:firstLineChars="200"/>
              <w:jc w:val="left"/>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风电行业上半年是装机淡季、下半年是装机旺季，在计算期间费用率时，分母营业收入较小，导致上半年期间费用率较高。另外，上半年公司新增费用主要集中在国际和海上产品样机及各类认证的研发投入、海外营销渠道推广以及绿电制氢前期投入等新业务。全年来看，剔除以上新业务因素跟去年同比差不多。</w:t>
            </w:r>
          </w:p>
          <w:p>
            <w:pPr>
              <w:pStyle w:val="13"/>
              <w:spacing w:before="156" w:line="276" w:lineRule="auto"/>
              <w:ind w:left="0" w:leftChars="0" w:firstLine="482" w:firstLineChars="200"/>
              <w:jc w:val="left"/>
              <w:rPr>
                <w:rFonts w:hint="eastAsia" w:ascii="宋体" w:hAnsi="宋体" w:cs="宋体"/>
                <w:b/>
                <w:bCs/>
                <w:color w:val="000000"/>
                <w:kern w:val="0"/>
                <w:szCs w:val="24"/>
                <w:lang w:val="en-US" w:eastAsia="zh-CN"/>
              </w:rPr>
            </w:pPr>
            <w:r>
              <w:rPr>
                <w:rFonts w:hint="eastAsia" w:ascii="宋体" w:hAnsi="宋体" w:cs="宋体"/>
                <w:b/>
                <w:bCs/>
                <w:color w:val="000000"/>
                <w:kern w:val="0"/>
                <w:szCs w:val="24"/>
                <w:lang w:val="en-US" w:eastAsia="zh-CN"/>
              </w:rPr>
              <w:t>问题9：公司领导对各个技术路径是怎么看的？在陆上海上风机技术路径选择上有何规划？</w:t>
            </w:r>
          </w:p>
          <w:p>
            <w:pPr>
              <w:pStyle w:val="13"/>
              <w:spacing w:before="156" w:line="276" w:lineRule="auto"/>
              <w:ind w:left="0" w:leftChars="0" w:firstLine="480" w:firstLineChars="200"/>
              <w:jc w:val="both"/>
              <w:rPr>
                <w:rFonts w:hint="eastAsia" w:ascii="宋体" w:hAnsi="宋体" w:cs="宋体"/>
                <w:b w:val="0"/>
                <w:bCs w:val="0"/>
                <w:color w:val="000000"/>
                <w:kern w:val="0"/>
                <w:szCs w:val="24"/>
                <w:lang w:val="en-US" w:eastAsia="zh-CN"/>
              </w:rPr>
            </w:pPr>
            <w:r>
              <w:rPr>
                <w:rFonts w:hint="default" w:ascii="宋体" w:hAnsi="宋体" w:cs="宋体"/>
                <w:b w:val="0"/>
                <w:bCs w:val="0"/>
                <w:color w:val="000000"/>
                <w:kern w:val="0"/>
                <w:szCs w:val="24"/>
                <w:lang w:val="en-US" w:eastAsia="zh-CN"/>
              </w:rPr>
              <w:t>公司对于海上风电机型在双馈与半直驱路线均有技术储备，</w:t>
            </w:r>
            <w:r>
              <w:rPr>
                <w:rFonts w:hint="eastAsia" w:ascii="宋体" w:hAnsi="宋体" w:cs="宋体"/>
                <w:b w:val="0"/>
                <w:bCs w:val="0"/>
                <w:color w:val="000000"/>
                <w:kern w:val="0"/>
                <w:szCs w:val="24"/>
                <w:lang w:val="en-US" w:eastAsia="zh-CN"/>
              </w:rPr>
              <w:t>双馈在近海和中海比较有优势，半直驱在大兆瓦、远海比较有优势，两种技术路线在优势区域会存在一定的重叠，公司未来将根据具体情况进行技术路线选择。</w:t>
            </w:r>
          </w:p>
          <w:p>
            <w:pPr>
              <w:pStyle w:val="13"/>
              <w:spacing w:before="156" w:line="276" w:lineRule="auto"/>
              <w:ind w:left="0" w:leftChars="0" w:firstLine="482" w:firstLineChars="200"/>
              <w:jc w:val="both"/>
              <w:rPr>
                <w:rFonts w:hint="eastAsia" w:ascii="宋体" w:hAnsi="宋体" w:cs="宋体"/>
                <w:b/>
                <w:bCs/>
                <w:color w:val="000000"/>
                <w:kern w:val="0"/>
                <w:szCs w:val="24"/>
                <w:lang w:val="en-US" w:eastAsia="zh-CN"/>
              </w:rPr>
            </w:pPr>
            <w:r>
              <w:rPr>
                <w:rFonts w:hint="eastAsia" w:ascii="宋体" w:hAnsi="宋体" w:cs="宋体"/>
                <w:b/>
                <w:bCs/>
                <w:color w:val="000000"/>
                <w:kern w:val="0"/>
                <w:szCs w:val="24"/>
                <w:lang w:val="en-US" w:eastAsia="zh-CN"/>
              </w:rPr>
              <w:t>董事长总结发言：</w:t>
            </w:r>
          </w:p>
          <w:p>
            <w:pPr>
              <w:pStyle w:val="13"/>
              <w:spacing w:before="156" w:line="276" w:lineRule="auto"/>
              <w:ind w:left="0" w:leftChars="0" w:firstLine="480" w:firstLineChars="200"/>
              <w:jc w:val="both"/>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感谢大家对三一重能的支持、关心和帮助。从风电行业整体来看，国家政策和“双碳”目标支持行业稳定、持续的良性发展。风电投资收益好，能源企业的投资热情高，未来随着绿电交易的推进，将进一步促进风电行业发展。部分地方存在输送和消纳的问题，行业通过绿电制氢、制氨、制甲醇等方案，带来了新的发展机遇。</w:t>
            </w:r>
          </w:p>
          <w:p>
            <w:pPr>
              <w:pStyle w:val="13"/>
              <w:spacing w:before="156" w:line="276" w:lineRule="auto"/>
              <w:ind w:left="0" w:leftChars="0" w:firstLine="480" w:firstLineChars="200"/>
              <w:jc w:val="both"/>
              <w:rPr>
                <w:rFonts w:hint="eastAsia" w:ascii="宋体" w:hAnsi="宋体" w:cs="宋体"/>
                <w:b w:val="0"/>
                <w:bCs w:val="0"/>
                <w:color w:val="000000"/>
                <w:kern w:val="0"/>
                <w:szCs w:val="24"/>
                <w:lang w:val="en-US" w:eastAsia="zh-CN"/>
              </w:rPr>
            </w:pPr>
            <w:r>
              <w:rPr>
                <w:rFonts w:hint="eastAsia" w:ascii="宋体" w:hAnsi="宋体" w:cs="宋体"/>
                <w:b w:val="0"/>
                <w:bCs w:val="0"/>
                <w:color w:val="000000"/>
                <w:kern w:val="0"/>
                <w:szCs w:val="24"/>
                <w:lang w:val="en-US" w:eastAsia="zh-CN"/>
              </w:rPr>
              <w:t>从行业发展来看，目前国内存在供大于求的情况，在行业竞争整合过程中，经营效率高、盈利能力好的企业更具有竞争优势，随着行业整合，行业的集中度将进一步提升。</w:t>
            </w:r>
          </w:p>
          <w:p>
            <w:pPr>
              <w:pStyle w:val="13"/>
              <w:spacing w:before="156" w:line="276" w:lineRule="auto"/>
              <w:ind w:left="0" w:leftChars="0" w:firstLine="480" w:firstLineChars="200"/>
              <w:jc w:val="both"/>
              <w:rPr>
                <w:rFonts w:hint="default" w:ascii="宋体" w:hAnsi="宋体" w:cs="宋体"/>
                <w:b w:val="0"/>
                <w:bCs w:val="0"/>
                <w:color w:val="000000"/>
                <w:kern w:val="0"/>
                <w:szCs w:val="24"/>
                <w:lang w:val="en-US" w:eastAsia="zh-CN"/>
              </w:rPr>
            </w:pPr>
            <w:bookmarkStart w:id="0" w:name="_GoBack"/>
            <w:bookmarkEnd w:id="0"/>
            <w:r>
              <w:rPr>
                <w:rFonts w:hint="eastAsia" w:ascii="宋体" w:hAnsi="宋体" w:cs="宋体"/>
                <w:b w:val="0"/>
                <w:bCs w:val="0"/>
                <w:color w:val="000000"/>
                <w:kern w:val="0"/>
                <w:szCs w:val="24"/>
                <w:lang w:val="en-US" w:eastAsia="zh-CN"/>
              </w:rPr>
              <w:t>三一重能注重产品质量，发展在加快，公司交付订单和新增订单的增加，体现了行业对三一重能的认可。公司管理团队满怀信心，将带领公司向着“数一数二，中国第一”的目标迈进，为股东创造更好的回报。</w:t>
            </w:r>
          </w:p>
        </w:tc>
      </w:tr>
      <w:tr>
        <w:tblPrEx>
          <w:tblCellMar>
            <w:top w:w="0" w:type="dxa"/>
            <w:left w:w="108" w:type="dxa"/>
            <w:bottom w:w="41" w:type="dxa"/>
            <w:right w:w="0" w:type="dxa"/>
          </w:tblCellMar>
        </w:tblPrEx>
        <w:trPr>
          <w:trHeight w:val="490"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附件清单</w:t>
            </w:r>
          </w:p>
          <w:p>
            <w:pPr>
              <w:snapToGrid w:val="0"/>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（参会机构人员单位、姓名）</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广发证券 王宁</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中金公司 车昀佶</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天风证券 刘赛赛</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长江证券 周圣钧</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长城证券 王泽雷</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兴业证券 杨志芳</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国联证券 陈子锐</w:t>
            </w:r>
          </w:p>
          <w:p>
            <w:pPr>
              <w:snapToGrid w:val="0"/>
              <w:spacing w:after="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海通证券 马菁菁</w:t>
            </w:r>
          </w:p>
          <w:p>
            <w:pPr>
              <w:snapToGrid w:val="0"/>
              <w:spacing w:after="0" w:line="24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喆颢资产 褚超</w:t>
            </w:r>
          </w:p>
          <w:p>
            <w:pPr>
              <w:snapToGrid w:val="0"/>
              <w:spacing w:after="0" w:line="24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以及其他参会人员</w:t>
            </w:r>
          </w:p>
        </w:tc>
      </w:tr>
      <w:tr>
        <w:tblPrEx>
          <w:tblCellMar>
            <w:top w:w="0" w:type="dxa"/>
            <w:left w:w="108" w:type="dxa"/>
            <w:bottom w:w="41" w:type="dxa"/>
            <w:right w:w="0" w:type="dxa"/>
          </w:tblCellMar>
        </w:tblPrEx>
        <w:trPr>
          <w:trHeight w:val="490" w:hRule="atLeast"/>
        </w:trPr>
        <w:tc>
          <w:tcPr>
            <w:tcW w:w="1053"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日期</w:t>
            </w:r>
          </w:p>
        </w:tc>
        <w:tc>
          <w:tcPr>
            <w:tcW w:w="3947" w:type="pct"/>
            <w:tcBorders>
              <w:top w:val="single" w:color="000000" w:sz="4" w:space="0"/>
              <w:left w:val="single" w:color="000000" w:sz="4" w:space="0"/>
              <w:bottom w:val="single" w:color="000000" w:sz="4" w:space="0"/>
              <w:right w:val="single" w:color="000000" w:sz="4" w:space="0"/>
            </w:tcBorders>
            <w:vAlign w:val="center"/>
          </w:tcPr>
          <w:p>
            <w:pPr>
              <w:snapToGrid w:val="0"/>
              <w:spacing w:after="0" w:line="360" w:lineRule="auto"/>
              <w:rPr>
                <w:rFonts w:hint="default" w:ascii="宋体" w:hAnsi="宋体" w:eastAsia="宋体" w:cs="宋体"/>
                <w:sz w:val="24"/>
                <w:szCs w:val="24"/>
                <w:lang w:val="en-US"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tc>
      </w:tr>
    </w:tbl>
    <w:p>
      <w:pPr>
        <w:spacing w:after="0"/>
        <w:jc w:val="both"/>
        <w:rPr>
          <w:rFonts w:ascii="微软雅黑" w:hAnsi="微软雅黑" w:eastAsia="微软雅黑"/>
          <w:sz w:val="24"/>
          <w:szCs w:val="24"/>
        </w:rPr>
      </w:pPr>
    </w:p>
    <w:sectPr>
      <w:pgSz w:w="11906" w:h="16838"/>
      <w:pgMar w:top="1445" w:right="1796" w:bottom="1584"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WRhZDYzNTBmYjQyOTA0NmEzYzRhMjEwMzk4NjEifQ=="/>
  </w:docVars>
  <w:rsids>
    <w:rsidRoot w:val="00A54DA5"/>
    <w:rsid w:val="00006F0B"/>
    <w:rsid w:val="00024CEE"/>
    <w:rsid w:val="00030199"/>
    <w:rsid w:val="00037ADD"/>
    <w:rsid w:val="000453C6"/>
    <w:rsid w:val="00053248"/>
    <w:rsid w:val="000668A8"/>
    <w:rsid w:val="00083FE5"/>
    <w:rsid w:val="000876CF"/>
    <w:rsid w:val="00090F10"/>
    <w:rsid w:val="000938E6"/>
    <w:rsid w:val="000A3622"/>
    <w:rsid w:val="000A5AA7"/>
    <w:rsid w:val="000A73B0"/>
    <w:rsid w:val="000C06D7"/>
    <w:rsid w:val="000D49E6"/>
    <w:rsid w:val="000D4F49"/>
    <w:rsid w:val="000E249D"/>
    <w:rsid w:val="0010203E"/>
    <w:rsid w:val="00103CDE"/>
    <w:rsid w:val="00107ACE"/>
    <w:rsid w:val="001150FA"/>
    <w:rsid w:val="0012281C"/>
    <w:rsid w:val="0014750D"/>
    <w:rsid w:val="00157EE6"/>
    <w:rsid w:val="001704CD"/>
    <w:rsid w:val="00173C70"/>
    <w:rsid w:val="001817E4"/>
    <w:rsid w:val="00182E25"/>
    <w:rsid w:val="00190ECB"/>
    <w:rsid w:val="001953DC"/>
    <w:rsid w:val="0019616F"/>
    <w:rsid w:val="001B15D8"/>
    <w:rsid w:val="001B23D8"/>
    <w:rsid w:val="001B36B3"/>
    <w:rsid w:val="001C37A6"/>
    <w:rsid w:val="001C6C21"/>
    <w:rsid w:val="001E4956"/>
    <w:rsid w:val="001E5AB5"/>
    <w:rsid w:val="001E5FA3"/>
    <w:rsid w:val="001E625A"/>
    <w:rsid w:val="001E7630"/>
    <w:rsid w:val="001F384E"/>
    <w:rsid w:val="0023201F"/>
    <w:rsid w:val="002328DC"/>
    <w:rsid w:val="002350F8"/>
    <w:rsid w:val="0023543B"/>
    <w:rsid w:val="00243684"/>
    <w:rsid w:val="00246D1F"/>
    <w:rsid w:val="0025743F"/>
    <w:rsid w:val="002610F7"/>
    <w:rsid w:val="002704C2"/>
    <w:rsid w:val="00272056"/>
    <w:rsid w:val="00291C1E"/>
    <w:rsid w:val="002A3115"/>
    <w:rsid w:val="002C3946"/>
    <w:rsid w:val="002D0456"/>
    <w:rsid w:val="002D393D"/>
    <w:rsid w:val="002F5D2E"/>
    <w:rsid w:val="00300CE3"/>
    <w:rsid w:val="00301946"/>
    <w:rsid w:val="00301D5F"/>
    <w:rsid w:val="00306127"/>
    <w:rsid w:val="00310A39"/>
    <w:rsid w:val="00312BFB"/>
    <w:rsid w:val="00312FA8"/>
    <w:rsid w:val="0032262B"/>
    <w:rsid w:val="003230CC"/>
    <w:rsid w:val="00325820"/>
    <w:rsid w:val="003458B1"/>
    <w:rsid w:val="003528CE"/>
    <w:rsid w:val="00361D26"/>
    <w:rsid w:val="00364017"/>
    <w:rsid w:val="00365953"/>
    <w:rsid w:val="003715F9"/>
    <w:rsid w:val="0038677B"/>
    <w:rsid w:val="00387971"/>
    <w:rsid w:val="00391C1E"/>
    <w:rsid w:val="0039253C"/>
    <w:rsid w:val="003A1A21"/>
    <w:rsid w:val="003A4C08"/>
    <w:rsid w:val="003B3CBA"/>
    <w:rsid w:val="003E180D"/>
    <w:rsid w:val="003E27E1"/>
    <w:rsid w:val="003F2334"/>
    <w:rsid w:val="00405D3B"/>
    <w:rsid w:val="00407DD8"/>
    <w:rsid w:val="0041065C"/>
    <w:rsid w:val="00410E01"/>
    <w:rsid w:val="00425FE0"/>
    <w:rsid w:val="004270A1"/>
    <w:rsid w:val="004343B1"/>
    <w:rsid w:val="00437CCB"/>
    <w:rsid w:val="00451658"/>
    <w:rsid w:val="00452CD3"/>
    <w:rsid w:val="00456C1D"/>
    <w:rsid w:val="004736D2"/>
    <w:rsid w:val="00484D92"/>
    <w:rsid w:val="004906C9"/>
    <w:rsid w:val="0049465C"/>
    <w:rsid w:val="004949CA"/>
    <w:rsid w:val="004A5C1F"/>
    <w:rsid w:val="004B066B"/>
    <w:rsid w:val="004B5184"/>
    <w:rsid w:val="004C1FD6"/>
    <w:rsid w:val="004D224A"/>
    <w:rsid w:val="004D284E"/>
    <w:rsid w:val="004F059B"/>
    <w:rsid w:val="004F7FB6"/>
    <w:rsid w:val="005005BF"/>
    <w:rsid w:val="00523C0A"/>
    <w:rsid w:val="005403DC"/>
    <w:rsid w:val="005406BE"/>
    <w:rsid w:val="005410D4"/>
    <w:rsid w:val="0054627B"/>
    <w:rsid w:val="00546484"/>
    <w:rsid w:val="00551C7A"/>
    <w:rsid w:val="005557FB"/>
    <w:rsid w:val="00566B73"/>
    <w:rsid w:val="0057518B"/>
    <w:rsid w:val="005754A3"/>
    <w:rsid w:val="00582743"/>
    <w:rsid w:val="005859AA"/>
    <w:rsid w:val="0059299D"/>
    <w:rsid w:val="00595828"/>
    <w:rsid w:val="005A2882"/>
    <w:rsid w:val="005A2966"/>
    <w:rsid w:val="005A6435"/>
    <w:rsid w:val="005A7196"/>
    <w:rsid w:val="005C7492"/>
    <w:rsid w:val="005D3FE5"/>
    <w:rsid w:val="005D506B"/>
    <w:rsid w:val="005D57AE"/>
    <w:rsid w:val="005D7A33"/>
    <w:rsid w:val="005E205D"/>
    <w:rsid w:val="005E72D0"/>
    <w:rsid w:val="005F0CDE"/>
    <w:rsid w:val="005F2171"/>
    <w:rsid w:val="005F2484"/>
    <w:rsid w:val="00600E3F"/>
    <w:rsid w:val="006014DF"/>
    <w:rsid w:val="00604397"/>
    <w:rsid w:val="00606A00"/>
    <w:rsid w:val="006106ED"/>
    <w:rsid w:val="00620EA6"/>
    <w:rsid w:val="00634286"/>
    <w:rsid w:val="00643387"/>
    <w:rsid w:val="0064484F"/>
    <w:rsid w:val="0064628D"/>
    <w:rsid w:val="00653271"/>
    <w:rsid w:val="00654FE2"/>
    <w:rsid w:val="00670353"/>
    <w:rsid w:val="00674A2B"/>
    <w:rsid w:val="00676F4F"/>
    <w:rsid w:val="00691A11"/>
    <w:rsid w:val="006A3425"/>
    <w:rsid w:val="006A7AAC"/>
    <w:rsid w:val="006B0CBE"/>
    <w:rsid w:val="006B29DB"/>
    <w:rsid w:val="006B6CCA"/>
    <w:rsid w:val="006B70E7"/>
    <w:rsid w:val="006C7F0F"/>
    <w:rsid w:val="006D5A27"/>
    <w:rsid w:val="0070143B"/>
    <w:rsid w:val="007057AD"/>
    <w:rsid w:val="00706E8A"/>
    <w:rsid w:val="0070723E"/>
    <w:rsid w:val="00713FCD"/>
    <w:rsid w:val="0071557F"/>
    <w:rsid w:val="00727CD6"/>
    <w:rsid w:val="00734DFA"/>
    <w:rsid w:val="00736372"/>
    <w:rsid w:val="007444B7"/>
    <w:rsid w:val="00755C2A"/>
    <w:rsid w:val="0077521E"/>
    <w:rsid w:val="00795037"/>
    <w:rsid w:val="007A5E4C"/>
    <w:rsid w:val="007B1AC9"/>
    <w:rsid w:val="007B27D7"/>
    <w:rsid w:val="007B5A15"/>
    <w:rsid w:val="007B73FA"/>
    <w:rsid w:val="007C0333"/>
    <w:rsid w:val="007C3603"/>
    <w:rsid w:val="007D124A"/>
    <w:rsid w:val="007D4EE3"/>
    <w:rsid w:val="007E5ECA"/>
    <w:rsid w:val="008002D3"/>
    <w:rsid w:val="00807269"/>
    <w:rsid w:val="0081563C"/>
    <w:rsid w:val="00830857"/>
    <w:rsid w:val="008423E4"/>
    <w:rsid w:val="00843759"/>
    <w:rsid w:val="00855130"/>
    <w:rsid w:val="00860484"/>
    <w:rsid w:val="00864C06"/>
    <w:rsid w:val="00864D27"/>
    <w:rsid w:val="00866CDC"/>
    <w:rsid w:val="00866DE4"/>
    <w:rsid w:val="00875ADD"/>
    <w:rsid w:val="00876EEB"/>
    <w:rsid w:val="008773BE"/>
    <w:rsid w:val="00892B75"/>
    <w:rsid w:val="008A3216"/>
    <w:rsid w:val="008A42A4"/>
    <w:rsid w:val="008C2D81"/>
    <w:rsid w:val="008C3455"/>
    <w:rsid w:val="008D1724"/>
    <w:rsid w:val="008E526F"/>
    <w:rsid w:val="008E6FFF"/>
    <w:rsid w:val="008F6D9F"/>
    <w:rsid w:val="009067C3"/>
    <w:rsid w:val="00923755"/>
    <w:rsid w:val="00924238"/>
    <w:rsid w:val="0093056E"/>
    <w:rsid w:val="009347FF"/>
    <w:rsid w:val="00934945"/>
    <w:rsid w:val="009561A1"/>
    <w:rsid w:val="00961DBE"/>
    <w:rsid w:val="009644D0"/>
    <w:rsid w:val="00964CEC"/>
    <w:rsid w:val="00971BFB"/>
    <w:rsid w:val="00990837"/>
    <w:rsid w:val="00991BB8"/>
    <w:rsid w:val="00994865"/>
    <w:rsid w:val="009A69B6"/>
    <w:rsid w:val="009B6C5A"/>
    <w:rsid w:val="009C480E"/>
    <w:rsid w:val="009D5EB1"/>
    <w:rsid w:val="009E6D3B"/>
    <w:rsid w:val="009F66C5"/>
    <w:rsid w:val="009F6973"/>
    <w:rsid w:val="00A2032F"/>
    <w:rsid w:val="00A30DD8"/>
    <w:rsid w:val="00A477F7"/>
    <w:rsid w:val="00A54DA5"/>
    <w:rsid w:val="00A60E3B"/>
    <w:rsid w:val="00A743BC"/>
    <w:rsid w:val="00A74AA5"/>
    <w:rsid w:val="00A74B63"/>
    <w:rsid w:val="00A802C4"/>
    <w:rsid w:val="00A85B60"/>
    <w:rsid w:val="00A93DD2"/>
    <w:rsid w:val="00AB74B5"/>
    <w:rsid w:val="00AC7145"/>
    <w:rsid w:val="00AC72C6"/>
    <w:rsid w:val="00AD2185"/>
    <w:rsid w:val="00AD5AEE"/>
    <w:rsid w:val="00AD6D31"/>
    <w:rsid w:val="00AE1450"/>
    <w:rsid w:val="00AE2C64"/>
    <w:rsid w:val="00AE3476"/>
    <w:rsid w:val="00AE73A6"/>
    <w:rsid w:val="00B12651"/>
    <w:rsid w:val="00B203E3"/>
    <w:rsid w:val="00B22BF6"/>
    <w:rsid w:val="00B2308E"/>
    <w:rsid w:val="00B34ADD"/>
    <w:rsid w:val="00B4269B"/>
    <w:rsid w:val="00B43C7D"/>
    <w:rsid w:val="00B65D83"/>
    <w:rsid w:val="00B71C85"/>
    <w:rsid w:val="00B73801"/>
    <w:rsid w:val="00B77AFC"/>
    <w:rsid w:val="00B85803"/>
    <w:rsid w:val="00B95279"/>
    <w:rsid w:val="00BB22E3"/>
    <w:rsid w:val="00BC62ED"/>
    <w:rsid w:val="00BD193C"/>
    <w:rsid w:val="00BD627F"/>
    <w:rsid w:val="00BD6CB9"/>
    <w:rsid w:val="00BD7C8E"/>
    <w:rsid w:val="00BE6EB3"/>
    <w:rsid w:val="00BF44C5"/>
    <w:rsid w:val="00C065C4"/>
    <w:rsid w:val="00C20173"/>
    <w:rsid w:val="00C21988"/>
    <w:rsid w:val="00C3329E"/>
    <w:rsid w:val="00C42A7C"/>
    <w:rsid w:val="00C4476B"/>
    <w:rsid w:val="00C47900"/>
    <w:rsid w:val="00C47EC7"/>
    <w:rsid w:val="00C67057"/>
    <w:rsid w:val="00C73A1C"/>
    <w:rsid w:val="00C81363"/>
    <w:rsid w:val="00C82910"/>
    <w:rsid w:val="00C832E6"/>
    <w:rsid w:val="00C9677F"/>
    <w:rsid w:val="00CA660D"/>
    <w:rsid w:val="00CB221D"/>
    <w:rsid w:val="00CB33D1"/>
    <w:rsid w:val="00CB3CD3"/>
    <w:rsid w:val="00CB4DCC"/>
    <w:rsid w:val="00CD5112"/>
    <w:rsid w:val="00CE0D61"/>
    <w:rsid w:val="00CE7104"/>
    <w:rsid w:val="00D00FDA"/>
    <w:rsid w:val="00D05A20"/>
    <w:rsid w:val="00D17272"/>
    <w:rsid w:val="00D24450"/>
    <w:rsid w:val="00D2517E"/>
    <w:rsid w:val="00D27625"/>
    <w:rsid w:val="00D41AD1"/>
    <w:rsid w:val="00D502CE"/>
    <w:rsid w:val="00D52F41"/>
    <w:rsid w:val="00D630B7"/>
    <w:rsid w:val="00D63D64"/>
    <w:rsid w:val="00D70678"/>
    <w:rsid w:val="00D7568F"/>
    <w:rsid w:val="00D764C6"/>
    <w:rsid w:val="00D92061"/>
    <w:rsid w:val="00D9410E"/>
    <w:rsid w:val="00DA6D98"/>
    <w:rsid w:val="00DA790A"/>
    <w:rsid w:val="00DC0FE2"/>
    <w:rsid w:val="00DC712C"/>
    <w:rsid w:val="00DD1AA0"/>
    <w:rsid w:val="00DE22E2"/>
    <w:rsid w:val="00DE4E2B"/>
    <w:rsid w:val="00DE720F"/>
    <w:rsid w:val="00DF3F0F"/>
    <w:rsid w:val="00E0201F"/>
    <w:rsid w:val="00E105E4"/>
    <w:rsid w:val="00E1726C"/>
    <w:rsid w:val="00E2038B"/>
    <w:rsid w:val="00E234AE"/>
    <w:rsid w:val="00E370E2"/>
    <w:rsid w:val="00E41AC5"/>
    <w:rsid w:val="00E50D0D"/>
    <w:rsid w:val="00E57098"/>
    <w:rsid w:val="00E64021"/>
    <w:rsid w:val="00E64E85"/>
    <w:rsid w:val="00E87677"/>
    <w:rsid w:val="00E87F6B"/>
    <w:rsid w:val="00E95054"/>
    <w:rsid w:val="00E9786C"/>
    <w:rsid w:val="00EA3C44"/>
    <w:rsid w:val="00EA6593"/>
    <w:rsid w:val="00EB68B8"/>
    <w:rsid w:val="00EC5F8C"/>
    <w:rsid w:val="00ED66C3"/>
    <w:rsid w:val="00ED7EB3"/>
    <w:rsid w:val="00F03051"/>
    <w:rsid w:val="00F13A00"/>
    <w:rsid w:val="00F13F90"/>
    <w:rsid w:val="00F14E77"/>
    <w:rsid w:val="00F40C20"/>
    <w:rsid w:val="00F4180A"/>
    <w:rsid w:val="00F43C9E"/>
    <w:rsid w:val="00F513A9"/>
    <w:rsid w:val="00F644E5"/>
    <w:rsid w:val="00F64E4C"/>
    <w:rsid w:val="00F65102"/>
    <w:rsid w:val="00F67BEE"/>
    <w:rsid w:val="00F73601"/>
    <w:rsid w:val="00F83A0A"/>
    <w:rsid w:val="00F85EE4"/>
    <w:rsid w:val="00FA2E84"/>
    <w:rsid w:val="00FB7D05"/>
    <w:rsid w:val="00FC4A34"/>
    <w:rsid w:val="00FD3768"/>
    <w:rsid w:val="00FF1CC0"/>
    <w:rsid w:val="01371FF9"/>
    <w:rsid w:val="036B5288"/>
    <w:rsid w:val="04741B8C"/>
    <w:rsid w:val="04B421F2"/>
    <w:rsid w:val="065A1D10"/>
    <w:rsid w:val="06C86707"/>
    <w:rsid w:val="07121CFD"/>
    <w:rsid w:val="07994E0C"/>
    <w:rsid w:val="08844B03"/>
    <w:rsid w:val="0BD477C7"/>
    <w:rsid w:val="0C684140"/>
    <w:rsid w:val="0D0C48FD"/>
    <w:rsid w:val="0DC46366"/>
    <w:rsid w:val="12AF5D4C"/>
    <w:rsid w:val="130B6440"/>
    <w:rsid w:val="131E5E73"/>
    <w:rsid w:val="1340524F"/>
    <w:rsid w:val="13662AE4"/>
    <w:rsid w:val="161C79B5"/>
    <w:rsid w:val="189F5479"/>
    <w:rsid w:val="19633D3D"/>
    <w:rsid w:val="19C95789"/>
    <w:rsid w:val="1B414DF5"/>
    <w:rsid w:val="1BFA3E7C"/>
    <w:rsid w:val="1C60278B"/>
    <w:rsid w:val="1CED462C"/>
    <w:rsid w:val="1DEC20C9"/>
    <w:rsid w:val="1E726DD2"/>
    <w:rsid w:val="21884F12"/>
    <w:rsid w:val="225E0254"/>
    <w:rsid w:val="22D8490D"/>
    <w:rsid w:val="22DE178D"/>
    <w:rsid w:val="238A07F2"/>
    <w:rsid w:val="23F174B0"/>
    <w:rsid w:val="294C4684"/>
    <w:rsid w:val="29F3411B"/>
    <w:rsid w:val="2B4B625D"/>
    <w:rsid w:val="2D310681"/>
    <w:rsid w:val="2F86087B"/>
    <w:rsid w:val="310243AE"/>
    <w:rsid w:val="342A71FD"/>
    <w:rsid w:val="345F6D8C"/>
    <w:rsid w:val="352D221A"/>
    <w:rsid w:val="35BE0A5E"/>
    <w:rsid w:val="372E4B49"/>
    <w:rsid w:val="38435163"/>
    <w:rsid w:val="38CE18A5"/>
    <w:rsid w:val="3AA65C90"/>
    <w:rsid w:val="3CC35B78"/>
    <w:rsid w:val="3E2E7EE5"/>
    <w:rsid w:val="3E381413"/>
    <w:rsid w:val="3E5B6389"/>
    <w:rsid w:val="3F561491"/>
    <w:rsid w:val="402B3515"/>
    <w:rsid w:val="406063DD"/>
    <w:rsid w:val="40D24A7A"/>
    <w:rsid w:val="41783E29"/>
    <w:rsid w:val="41CA08AC"/>
    <w:rsid w:val="420C5DE9"/>
    <w:rsid w:val="423E48AF"/>
    <w:rsid w:val="42700FCB"/>
    <w:rsid w:val="45216A6A"/>
    <w:rsid w:val="4674757D"/>
    <w:rsid w:val="468D1B33"/>
    <w:rsid w:val="46B41957"/>
    <w:rsid w:val="47747B0D"/>
    <w:rsid w:val="48202B68"/>
    <w:rsid w:val="4B9245DA"/>
    <w:rsid w:val="4C4D3885"/>
    <w:rsid w:val="4D112B8C"/>
    <w:rsid w:val="4D82020B"/>
    <w:rsid w:val="4DD626F3"/>
    <w:rsid w:val="4E712D20"/>
    <w:rsid w:val="4F284D26"/>
    <w:rsid w:val="557C34C5"/>
    <w:rsid w:val="55EB5644"/>
    <w:rsid w:val="56392F5A"/>
    <w:rsid w:val="56864605"/>
    <w:rsid w:val="58070251"/>
    <w:rsid w:val="581B2DAE"/>
    <w:rsid w:val="592E21DE"/>
    <w:rsid w:val="59883613"/>
    <w:rsid w:val="5ACD449C"/>
    <w:rsid w:val="5AD16471"/>
    <w:rsid w:val="5BBD2A17"/>
    <w:rsid w:val="5D355860"/>
    <w:rsid w:val="5E8A1807"/>
    <w:rsid w:val="60874174"/>
    <w:rsid w:val="66F855C5"/>
    <w:rsid w:val="67670EE5"/>
    <w:rsid w:val="68703BF0"/>
    <w:rsid w:val="69ED08AC"/>
    <w:rsid w:val="6BFA050D"/>
    <w:rsid w:val="6C327500"/>
    <w:rsid w:val="6C4C63DE"/>
    <w:rsid w:val="6D4A0EB4"/>
    <w:rsid w:val="6E782DDD"/>
    <w:rsid w:val="706C3F16"/>
    <w:rsid w:val="72752F32"/>
    <w:rsid w:val="73312628"/>
    <w:rsid w:val="7384064C"/>
    <w:rsid w:val="76355310"/>
    <w:rsid w:val="775C1F10"/>
    <w:rsid w:val="778A515A"/>
    <w:rsid w:val="78BD2653"/>
    <w:rsid w:val="79486AE6"/>
    <w:rsid w:val="7B171A02"/>
    <w:rsid w:val="7C22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3"/>
    <w:basedOn w:val="1"/>
    <w:next w:val="1"/>
    <w:link w:val="11"/>
    <w:qFormat/>
    <w:uiPriority w:val="9"/>
    <w:pPr>
      <w:keepNext/>
      <w:keepLines/>
      <w:widowControl w:val="0"/>
      <w:spacing w:before="260" w:after="260" w:line="416" w:lineRule="auto"/>
      <w:jc w:val="both"/>
      <w:outlineLvl w:val="2"/>
    </w:pPr>
    <w:rPr>
      <w:rFonts w:eastAsia="宋体" w:cs="Times New Roman"/>
      <w:b/>
      <w:bCs/>
      <w:color w:val="auto"/>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pPr>
      <w:spacing w:after="0" w:line="240" w:lineRule="auto"/>
    </w:pPr>
    <w:rPr>
      <w:sz w:val="18"/>
      <w:szCs w:val="18"/>
    </w:rPr>
  </w:style>
  <w:style w:type="paragraph" w:styleId="4">
    <w:name w:val="footer"/>
    <w:basedOn w:val="1"/>
    <w:link w:val="10"/>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8">
    <w:name w:val="TableGrid"/>
    <w:qFormat/>
    <w:uiPriority w:val="0"/>
    <w:tblPr>
      <w:tblCellMar>
        <w:top w:w="0" w:type="dxa"/>
        <w:left w:w="0" w:type="dxa"/>
        <w:bottom w:w="0" w:type="dxa"/>
        <w:right w:w="0" w:type="dxa"/>
      </w:tblCellMar>
    </w:tblPr>
  </w:style>
  <w:style w:type="character" w:customStyle="1" w:styleId="9">
    <w:name w:val="页眉 字符"/>
    <w:basedOn w:val="7"/>
    <w:link w:val="5"/>
    <w:qFormat/>
    <w:uiPriority w:val="99"/>
    <w:rPr>
      <w:rFonts w:ascii="Calibri" w:hAnsi="Calibri" w:eastAsia="Calibri" w:cs="Calibri"/>
      <w:color w:val="000000"/>
      <w:sz w:val="18"/>
      <w:szCs w:val="18"/>
    </w:rPr>
  </w:style>
  <w:style w:type="character" w:customStyle="1" w:styleId="10">
    <w:name w:val="页脚 字符"/>
    <w:basedOn w:val="7"/>
    <w:link w:val="4"/>
    <w:qFormat/>
    <w:uiPriority w:val="99"/>
    <w:rPr>
      <w:rFonts w:ascii="Calibri" w:hAnsi="Calibri" w:eastAsia="Calibri" w:cs="Calibri"/>
      <w:color w:val="000000"/>
      <w:sz w:val="18"/>
      <w:szCs w:val="18"/>
    </w:rPr>
  </w:style>
  <w:style w:type="character" w:customStyle="1" w:styleId="11">
    <w:name w:val="标题 3 字符"/>
    <w:basedOn w:val="7"/>
    <w:link w:val="2"/>
    <w:qFormat/>
    <w:uiPriority w:val="9"/>
    <w:rPr>
      <w:rFonts w:ascii="Calibri" w:hAnsi="Calibri" w:eastAsia="宋体" w:cs="Times New Roman"/>
      <w:b/>
      <w:bCs/>
      <w:sz w:val="32"/>
      <w:szCs w:val="32"/>
    </w:rPr>
  </w:style>
  <w:style w:type="paragraph" w:styleId="12">
    <w:name w:val="List Paragraph"/>
    <w:basedOn w:val="1"/>
    <w:qFormat/>
    <w:uiPriority w:val="99"/>
    <w:pPr>
      <w:ind w:firstLine="420" w:firstLineChars="200"/>
    </w:pPr>
  </w:style>
  <w:style w:type="paragraph" w:customStyle="1" w:styleId="13">
    <w:name w:val="005正文"/>
    <w:basedOn w:val="1"/>
    <w:link w:val="14"/>
    <w:qFormat/>
    <w:uiPriority w:val="0"/>
    <w:pPr>
      <w:widowControl w:val="0"/>
      <w:spacing w:beforeLines="50" w:after="0" w:line="360" w:lineRule="auto"/>
      <w:ind w:firstLine="200" w:firstLineChars="200"/>
      <w:jc w:val="both"/>
    </w:pPr>
    <w:rPr>
      <w:rFonts w:ascii="Arial" w:hAnsi="Arial" w:eastAsia="宋体" w:cs="Times New Roman"/>
      <w:color w:val="auto"/>
      <w:sz w:val="24"/>
    </w:rPr>
  </w:style>
  <w:style w:type="character" w:customStyle="1" w:styleId="14">
    <w:name w:val="005正文 Char"/>
    <w:link w:val="13"/>
    <w:qFormat/>
    <w:uiPriority w:val="0"/>
    <w:rPr>
      <w:rFonts w:ascii="Arial" w:hAnsi="Arial" w:eastAsia="宋体" w:cs="Times New Roman"/>
      <w:kern w:val="2"/>
      <w:sz w:val="24"/>
      <w:szCs w:val="22"/>
    </w:rPr>
  </w:style>
  <w:style w:type="character" w:customStyle="1" w:styleId="15">
    <w:name w:val="批注框文本 字符"/>
    <w:basedOn w:val="7"/>
    <w:link w:val="3"/>
    <w:semiHidden/>
    <w:qFormat/>
    <w:uiPriority w:val="99"/>
    <w:rPr>
      <w:rFonts w:ascii="Calibri" w:hAnsi="Calibri" w:eastAsia="Calibri" w:cs="Calibri"/>
      <w:color w:val="00000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QN</Company>
  <Pages>4</Pages>
  <Words>2413</Words>
  <Characters>2508</Characters>
  <Lines>18</Lines>
  <Paragraphs>5</Paragraphs>
  <TotalTime>2</TotalTime>
  <ScaleCrop>false</ScaleCrop>
  <LinksUpToDate>false</LinksUpToDate>
  <CharactersWithSpaces>2625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2022-09-27T10:52:00Z</dcterms:created>
  <dc:creator>HYC_财务部_任艺男</dc:creator>
  <cp:lastModifiedBy>yangyy</cp:lastModifiedBy>
  <cp:lastPrinted>2019-11-05T02:06:00Z</cp:lastPrinted>
  <dcterms:modified xsi:type="dcterms:W3CDTF">2023-09-07T05:29:53Z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714D2EFDDE0748DBA8B0F63AA062A169_13</vt:lpwstr>
  </property>
</Properties>
</file>