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pacing w:before="77" w:beforeAutospacing="0" w:afterAutospacing="0"/>
        <w:ind w:left="120" w:firstLine="240" w:firstLineChars="100"/>
        <w:rPr>
          <w:rFonts w:ascii="宋体" w:hAnsi="宋体" w:eastAsia="宋体" w:cs="宋体"/>
          <w:sz w:val="24"/>
          <w:lang w:val="zh-CN" w:bidi="zh-CN"/>
        </w:rPr>
      </w:pPr>
      <w:r>
        <w:rPr>
          <w:rFonts w:ascii="宋体" w:hAnsi="宋体" w:eastAsia="宋体" w:cs="宋体"/>
          <w:sz w:val="24"/>
          <w:lang w:val="zh-CN" w:bidi="zh-CN"/>
        </w:rPr>
        <w:t>证券代码</w:t>
      </w:r>
      <w:r>
        <w:rPr>
          <w:rFonts w:hint="eastAsia" w:ascii="宋体" w:hAnsi="宋体" w:eastAsia="宋体" w:cs="宋体"/>
          <w:sz w:val="24"/>
          <w:lang w:val="zh-CN" w:bidi="zh-CN"/>
        </w:rPr>
        <w:t>：</w:t>
      </w:r>
      <w:r>
        <w:rPr>
          <w:rFonts w:ascii="宋体" w:hAnsi="宋体" w:eastAsia="宋体" w:cs="宋体"/>
          <w:sz w:val="24"/>
          <w:lang w:val="zh-CN" w:bidi="zh-CN"/>
        </w:rPr>
        <w:t>60</w:t>
      </w:r>
      <w:r>
        <w:rPr>
          <w:rFonts w:hint="eastAsia" w:ascii="宋体" w:hAnsi="宋体" w:eastAsia="宋体" w:cs="宋体"/>
          <w:sz w:val="24"/>
          <w:lang w:bidi="zh-CN"/>
        </w:rPr>
        <w:t xml:space="preserve">0528                                </w:t>
      </w:r>
      <w:r>
        <w:rPr>
          <w:rFonts w:ascii="宋体" w:hAnsi="宋体" w:eastAsia="宋体" w:cs="宋体"/>
          <w:sz w:val="24"/>
          <w:lang w:val="zh-CN" w:bidi="zh-CN"/>
        </w:rPr>
        <w:t>证券简称：</w:t>
      </w:r>
      <w:r>
        <w:rPr>
          <w:rFonts w:hint="eastAsia" w:ascii="宋体" w:hAnsi="宋体" w:eastAsia="宋体" w:cs="宋体"/>
          <w:sz w:val="24"/>
          <w:lang w:val="zh-CN" w:bidi="zh-CN"/>
        </w:rPr>
        <w:t>中铁工业</w:t>
      </w:r>
      <w:r>
        <w:rPr>
          <w:rFonts w:ascii="宋体" w:hAnsi="宋体" w:eastAsia="宋体" w:cs="宋体"/>
          <w:sz w:val="24"/>
          <w:lang w:val="zh-CN" w:bidi="zh-CN"/>
        </w:rPr>
        <w:t xml:space="preserve"> </w:t>
      </w:r>
    </w:p>
    <w:p>
      <w:pPr>
        <w:autoSpaceDE w:val="0"/>
        <w:autoSpaceDN w:val="0"/>
        <w:rPr>
          <w:rFonts w:ascii="宋体" w:hAnsi="宋体" w:eastAsia="宋体" w:cs="宋体"/>
          <w:sz w:val="20"/>
          <w:lang w:val="zh-CN" w:bidi="zh-CN"/>
        </w:rPr>
      </w:pPr>
    </w:p>
    <w:p>
      <w:pPr>
        <w:autoSpaceDE w:val="0"/>
        <w:autoSpaceDN w:val="0"/>
        <w:spacing w:before="7" w:beforeAutospacing="0" w:afterAutospacing="0"/>
        <w:rPr>
          <w:rFonts w:ascii="宋体" w:hAnsi="宋体" w:eastAsia="宋体" w:cs="宋体"/>
          <w:sz w:val="17"/>
          <w:lang w:val="zh-CN" w:bidi="zh-CN"/>
        </w:rPr>
      </w:pPr>
    </w:p>
    <w:p>
      <w:pPr>
        <w:autoSpaceDE w:val="0"/>
        <w:autoSpaceDN w:val="0"/>
        <w:spacing w:beforeAutospacing="0" w:afterAutospacing="0" w:line="429" w:lineRule="exact"/>
        <w:ind w:left="1"/>
        <w:jc w:val="center"/>
        <w:rPr>
          <w:rFonts w:ascii="Microsoft JhengHei" w:hAnsi="宋体" w:eastAsia="Microsoft JhengHei" w:cs="宋体"/>
          <w:b/>
          <w:kern w:val="0"/>
          <w:sz w:val="24"/>
          <w:szCs w:val="22"/>
          <w:lang w:val="zh-CN" w:bidi="zh-CN"/>
        </w:rPr>
      </w:pPr>
      <w:r>
        <w:rPr>
          <w:rFonts w:hint="eastAsia" w:ascii="方正小标宋简体" w:hAnsi="方正小标宋简体" w:eastAsia="方正小标宋简体" w:cs="方正小标宋简体"/>
          <w:bCs/>
          <w:kern w:val="0"/>
          <w:sz w:val="36"/>
          <w:szCs w:val="36"/>
          <w:lang w:val="zh-CN" w:bidi="zh-CN"/>
        </w:rPr>
        <w:t>中铁高新工业股份有限公司投资者关系活动记录表</w:t>
      </w:r>
      <w:r>
        <w:rPr>
          <w:rFonts w:hint="eastAsia" w:ascii="Microsoft JhengHei" w:hAnsi="宋体" w:eastAsia="Microsoft JhengHei" w:cs="宋体"/>
          <w:b/>
          <w:w w:val="200"/>
          <w:kern w:val="0"/>
          <w:sz w:val="24"/>
          <w:szCs w:val="22"/>
          <w:lang w:val="zh-CN" w:bidi="zh-CN"/>
        </w:rPr>
        <w:t xml:space="preserve"> </w:t>
      </w:r>
    </w:p>
    <w:p>
      <w:pPr>
        <w:autoSpaceDE w:val="0"/>
        <w:autoSpaceDN w:val="0"/>
        <w:spacing w:before="194" w:beforeAutospacing="0" w:after="15" w:afterAutospacing="0"/>
        <w:ind w:left="2"/>
        <w:jc w:val="center"/>
        <w:rPr>
          <w:rFonts w:hint="default" w:ascii="宋体" w:hAnsi="宋体" w:eastAsia="宋体" w:cs="宋体"/>
          <w:sz w:val="24"/>
          <w:lang w:val="en-US" w:bidi="zh-CN"/>
        </w:rPr>
      </w:pPr>
      <w:r>
        <w:rPr>
          <w:rFonts w:ascii="宋体" w:hAnsi="宋体" w:eastAsia="宋体" w:cs="宋体"/>
          <w:sz w:val="24"/>
          <w:lang w:val="zh-CN" w:bidi="zh-CN"/>
        </w:rPr>
        <w:t xml:space="preserve">                                                       编号：202</w:t>
      </w:r>
      <w:r>
        <w:rPr>
          <w:rFonts w:hint="eastAsia" w:ascii="宋体" w:hAnsi="宋体" w:eastAsia="宋体" w:cs="宋体"/>
          <w:sz w:val="24"/>
          <w:lang w:bidi="zh-CN"/>
        </w:rPr>
        <w:t>3</w:t>
      </w:r>
      <w:r>
        <w:rPr>
          <w:rFonts w:ascii="宋体" w:hAnsi="宋体" w:eastAsia="宋体" w:cs="宋体"/>
          <w:sz w:val="24"/>
          <w:lang w:val="zh-CN" w:bidi="zh-CN"/>
        </w:rPr>
        <w:t>-</w:t>
      </w:r>
      <w:r>
        <w:rPr>
          <w:rFonts w:hint="eastAsia" w:ascii="宋体" w:hAnsi="宋体" w:eastAsia="宋体" w:cs="宋体"/>
          <w:sz w:val="24"/>
          <w:lang w:val="en-US" w:bidi="zh-CN"/>
        </w:rPr>
        <w:t>10</w:t>
      </w:r>
    </w:p>
    <w:p>
      <w:pPr>
        <w:autoSpaceDE w:val="0"/>
        <w:autoSpaceDN w:val="0"/>
        <w:spacing w:before="194" w:beforeAutospacing="0" w:after="15" w:afterAutospacing="0"/>
        <w:ind w:left="2"/>
        <w:jc w:val="center"/>
        <w:rPr>
          <w:rFonts w:ascii="宋体" w:hAnsi="宋体" w:eastAsia="宋体" w:cs="宋体"/>
          <w:sz w:val="24"/>
          <w:lang w:val="zh-CN" w:bidi="zh-CN"/>
        </w:rPr>
      </w:pPr>
    </w:p>
    <w:tbl>
      <w:tblPr>
        <w:tblStyle w:val="3"/>
        <w:tblW w:w="8462" w:type="dxa"/>
        <w:tblInd w:w="19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62"/>
        <w:gridCol w:w="70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70" w:hRule="atLeast"/>
        </w:trPr>
        <w:tc>
          <w:tcPr>
            <w:tcW w:w="1462" w:type="dxa"/>
            <w:vAlign w:val="center"/>
          </w:tcPr>
          <w:p>
            <w:pPr>
              <w:autoSpaceDE w:val="0"/>
              <w:autoSpaceDN w:val="0"/>
              <w:spacing w:before="91" w:beforeAutospacing="0" w:afterAutospacing="0" w:line="261" w:lineRule="auto"/>
              <w:ind w:left="107" w:right="96"/>
              <w:jc w:val="center"/>
              <w:rPr>
                <w:rFonts w:hint="eastAsia" w:ascii="方正小标宋简体" w:hAnsi="方正小标宋简体" w:eastAsia="方正小标宋简体" w:cs="方正小标宋简体"/>
                <w:bCs/>
                <w:sz w:val="24"/>
                <w:lang w:val="zh-CN" w:bidi="zh-CN"/>
              </w:rPr>
            </w:pPr>
            <w:r>
              <w:rPr>
                <w:rFonts w:hint="eastAsia" w:ascii="方正小标宋简体" w:hAnsi="方正小标宋简体" w:eastAsia="方正小标宋简体" w:cs="方正小标宋简体"/>
                <w:bCs/>
                <w:sz w:val="24"/>
                <w:lang w:val="zh-CN" w:bidi="zh-CN"/>
              </w:rPr>
              <w:t>投资者关系活动</w:t>
            </w:r>
          </w:p>
          <w:p>
            <w:pPr>
              <w:autoSpaceDE w:val="0"/>
              <w:autoSpaceDN w:val="0"/>
              <w:spacing w:before="91" w:beforeAutospacing="0" w:afterAutospacing="0" w:line="261" w:lineRule="auto"/>
              <w:ind w:left="107" w:right="96"/>
              <w:jc w:val="center"/>
              <w:rPr>
                <w:rFonts w:ascii="Microsoft JhengHei" w:hAnsi="宋体" w:eastAsia="宋体" w:cs="宋体"/>
                <w:b/>
                <w:sz w:val="24"/>
                <w:szCs w:val="22"/>
                <w:lang w:val="zh-CN" w:bidi="zh-CN"/>
              </w:rPr>
            </w:pPr>
            <w:r>
              <w:rPr>
                <w:rFonts w:hint="eastAsia" w:ascii="方正小标宋简体" w:hAnsi="方正小标宋简体" w:eastAsia="方正小标宋简体" w:cs="方正小标宋简体"/>
                <w:bCs/>
                <w:sz w:val="24"/>
                <w:lang w:val="zh-CN" w:bidi="zh-CN"/>
              </w:rPr>
              <w:t>类别</w:t>
            </w:r>
          </w:p>
        </w:tc>
        <w:tc>
          <w:tcPr>
            <w:tcW w:w="7000" w:type="dxa"/>
          </w:tcPr>
          <w:p>
            <w:pPr>
              <w:autoSpaceDE w:val="0"/>
              <w:autoSpaceDN w:val="0"/>
              <w:spacing w:before="170" w:beforeAutospacing="0" w:afterAutospacing="0"/>
              <w:ind w:left="107"/>
              <w:rPr>
                <w:rFonts w:ascii="宋体" w:hAnsi="宋体" w:eastAsia="宋体" w:cs="宋体"/>
                <w:sz w:val="24"/>
                <w:szCs w:val="22"/>
                <w:lang w:val="zh-CN" w:bidi="zh-CN"/>
              </w:rPr>
            </w:pPr>
            <w:r>
              <w:rPr>
                <w:rFonts w:ascii="宋体" w:hAnsi="宋体" w:eastAsia="宋体" w:cs="宋体"/>
                <w:sz w:val="24"/>
                <w:szCs w:val="22"/>
                <w:lang w:val="zh-CN" w:bidi="zh-CN"/>
              </w:rPr>
              <w:t xml:space="preserve">□特定对象调研        □分析师会议 </w:t>
            </w:r>
          </w:p>
          <w:p>
            <w:pPr>
              <w:autoSpaceDE w:val="0"/>
              <w:autoSpaceDN w:val="0"/>
              <w:spacing w:before="172" w:beforeAutospacing="0" w:afterAutospacing="0"/>
              <w:ind w:left="107"/>
              <w:rPr>
                <w:rFonts w:ascii="宋体" w:hAnsi="宋体" w:eastAsia="宋体" w:cs="宋体"/>
                <w:sz w:val="24"/>
                <w:szCs w:val="22"/>
                <w:lang w:val="zh-CN" w:bidi="zh-CN"/>
              </w:rPr>
            </w:pPr>
            <w:r>
              <w:rPr>
                <w:rFonts w:ascii="宋体" w:hAnsi="宋体" w:eastAsia="宋体" w:cs="宋体"/>
                <w:sz w:val="24"/>
                <w:szCs w:val="22"/>
                <w:lang w:val="zh-CN" w:bidi="zh-CN"/>
              </w:rPr>
              <w:t xml:space="preserve">□媒体采访            </w:t>
            </w:r>
            <w:r>
              <w:rPr>
                <w:rFonts w:ascii="宋体" w:hAnsi="宋体" w:eastAsia="宋体" w:cs="宋体"/>
                <w:b/>
                <w:bCs/>
                <w:sz w:val="24"/>
                <w:szCs w:val="22"/>
                <w:lang w:val="zh-CN" w:bidi="zh-CN"/>
              </w:rPr>
              <w:sym w:font="Wingdings 2" w:char="0052"/>
            </w:r>
            <w:r>
              <w:rPr>
                <w:rFonts w:ascii="宋体" w:hAnsi="宋体" w:eastAsia="宋体" w:cs="宋体"/>
                <w:b/>
                <w:bCs/>
                <w:sz w:val="24"/>
                <w:szCs w:val="22"/>
                <w:lang w:val="zh-CN" w:bidi="zh-CN"/>
              </w:rPr>
              <w:t>业绩说明会</w:t>
            </w:r>
            <w:r>
              <w:rPr>
                <w:rFonts w:ascii="宋体" w:hAnsi="宋体" w:eastAsia="宋体" w:cs="宋体"/>
                <w:sz w:val="24"/>
                <w:szCs w:val="22"/>
                <w:lang w:val="zh-CN" w:bidi="zh-CN"/>
              </w:rPr>
              <w:t xml:space="preserve"> </w:t>
            </w:r>
          </w:p>
          <w:p>
            <w:pPr>
              <w:autoSpaceDE w:val="0"/>
              <w:autoSpaceDN w:val="0"/>
              <w:spacing w:before="173" w:beforeAutospacing="0" w:afterAutospacing="0"/>
              <w:ind w:left="107"/>
              <w:rPr>
                <w:rFonts w:ascii="宋体" w:hAnsi="宋体" w:eastAsia="宋体" w:cs="宋体"/>
                <w:sz w:val="24"/>
                <w:szCs w:val="22"/>
                <w:lang w:val="zh-CN" w:bidi="zh-CN"/>
              </w:rPr>
            </w:pPr>
            <w:r>
              <w:rPr>
                <w:rFonts w:ascii="宋体" w:hAnsi="宋体" w:eastAsia="宋体" w:cs="宋体"/>
                <w:sz w:val="24"/>
                <w:szCs w:val="22"/>
                <w:lang w:val="zh-CN" w:bidi="zh-CN"/>
              </w:rPr>
              <w:t xml:space="preserve">□新闻发布会 </w:t>
            </w:r>
            <w:r>
              <w:rPr>
                <w:rFonts w:hint="eastAsia" w:ascii="宋体" w:hAnsi="宋体" w:eastAsia="宋体" w:cs="宋体"/>
                <w:sz w:val="24"/>
                <w:szCs w:val="22"/>
                <w:lang w:bidi="zh-CN"/>
              </w:rPr>
              <w:t xml:space="preserve">         </w:t>
            </w:r>
            <w:r>
              <w:rPr>
                <w:rFonts w:ascii="宋体" w:hAnsi="宋体" w:eastAsia="宋体" w:cs="宋体"/>
                <w:sz w:val="24"/>
                <w:szCs w:val="22"/>
                <w:lang w:val="zh-CN" w:bidi="zh-CN"/>
              </w:rPr>
              <w:t xml:space="preserve">□路演活动 </w:t>
            </w:r>
          </w:p>
          <w:p>
            <w:pPr>
              <w:tabs>
                <w:tab w:val="left" w:pos="3154"/>
              </w:tabs>
              <w:autoSpaceDE w:val="0"/>
              <w:autoSpaceDN w:val="0"/>
              <w:spacing w:before="173" w:beforeAutospacing="0" w:afterAutospacing="0"/>
              <w:ind w:left="107"/>
              <w:rPr>
                <w:rFonts w:ascii="宋体" w:hAnsi="宋体" w:eastAsia="宋体" w:cs="宋体"/>
                <w:b w:val="0"/>
                <w:bCs w:val="0"/>
                <w:sz w:val="24"/>
                <w:szCs w:val="22"/>
                <w:lang w:val="zh-CN" w:bidi="zh-CN"/>
              </w:rPr>
            </w:pPr>
            <w:r>
              <w:rPr>
                <w:rFonts w:ascii="宋体" w:hAnsi="宋体" w:eastAsia="宋体" w:cs="宋体"/>
                <w:b/>
                <w:bCs/>
                <w:sz w:val="24"/>
                <w:szCs w:val="22"/>
                <w:lang w:val="zh-CN" w:bidi="zh-CN"/>
              </w:rPr>
              <w:sym w:font="Wingdings 2" w:char="0052"/>
            </w:r>
            <w:r>
              <w:rPr>
                <w:rFonts w:ascii="宋体" w:hAnsi="宋体" w:eastAsia="宋体" w:cs="宋体"/>
                <w:b/>
                <w:bCs/>
                <w:sz w:val="24"/>
                <w:szCs w:val="22"/>
                <w:lang w:val="zh-CN" w:bidi="zh-CN"/>
              </w:rPr>
              <w:t>现场</w:t>
            </w:r>
            <w:r>
              <w:rPr>
                <w:rFonts w:hint="eastAsia" w:ascii="宋体" w:hAnsi="宋体" w:eastAsia="宋体" w:cs="宋体"/>
                <w:b/>
                <w:bCs/>
                <w:sz w:val="24"/>
                <w:szCs w:val="22"/>
                <w:lang w:val="zh-CN" w:bidi="zh-CN"/>
              </w:rPr>
              <w:t>交流</w:t>
            </w:r>
            <w:r>
              <w:rPr>
                <w:rFonts w:hint="eastAsia" w:ascii="宋体" w:hAnsi="宋体" w:eastAsia="宋体" w:cs="宋体"/>
                <w:b/>
                <w:bCs/>
                <w:sz w:val="24"/>
                <w:szCs w:val="22"/>
                <w:lang w:bidi="zh-CN"/>
              </w:rPr>
              <w:t xml:space="preserve"> </w:t>
            </w:r>
            <w:r>
              <w:rPr>
                <w:rFonts w:hint="eastAsia" w:ascii="宋体" w:hAnsi="宋体" w:eastAsia="宋体" w:cs="宋体"/>
                <w:sz w:val="24"/>
                <w:szCs w:val="22"/>
                <w:lang w:bidi="zh-CN"/>
              </w:rPr>
              <w:t xml:space="preserve">           </w:t>
            </w:r>
            <w:r>
              <w:rPr>
                <w:rFonts w:ascii="宋体" w:hAnsi="宋体" w:eastAsia="宋体" w:cs="宋体"/>
                <w:sz w:val="24"/>
                <w:szCs w:val="22"/>
                <w:lang w:val="zh-CN" w:bidi="zh-CN"/>
              </w:rPr>
              <w:t>□</w:t>
            </w:r>
            <w:r>
              <w:rPr>
                <w:rFonts w:hint="eastAsia" w:ascii="宋体" w:hAnsi="宋体" w:eastAsia="宋体" w:cs="宋体"/>
                <w:b w:val="0"/>
                <w:bCs w:val="0"/>
                <w:sz w:val="24"/>
                <w:szCs w:val="22"/>
                <w:lang w:val="zh-CN" w:bidi="zh-CN"/>
              </w:rPr>
              <w:t>电话会议</w:t>
            </w:r>
          </w:p>
          <w:p>
            <w:pPr>
              <w:tabs>
                <w:tab w:val="left" w:pos="3154"/>
              </w:tabs>
              <w:autoSpaceDE w:val="0"/>
              <w:autoSpaceDN w:val="0"/>
              <w:spacing w:before="173" w:beforeAutospacing="0" w:afterAutospacing="0"/>
              <w:ind w:left="107"/>
              <w:rPr>
                <w:rFonts w:ascii="宋体" w:hAnsi="宋体" w:eastAsia="宋体" w:cs="宋体"/>
                <w:sz w:val="24"/>
                <w:szCs w:val="22"/>
                <w:lang w:val="zh-CN" w:bidi="zh-CN"/>
              </w:rPr>
            </w:pPr>
            <w:r>
              <w:rPr>
                <w:rFonts w:ascii="宋体" w:hAnsi="宋体" w:eastAsia="宋体" w:cs="宋体"/>
                <w:b/>
                <w:bCs/>
                <w:sz w:val="24"/>
                <w:szCs w:val="22"/>
                <w:lang w:val="zh-CN" w:bidi="zh-CN"/>
              </w:rPr>
              <w:sym w:font="Wingdings 2" w:char="0052"/>
            </w:r>
            <w:r>
              <w:rPr>
                <w:rFonts w:hint="eastAsia" w:ascii="宋体" w:hAnsi="宋体" w:eastAsia="宋体" w:cs="宋体"/>
                <w:b/>
                <w:bCs/>
                <w:sz w:val="24"/>
                <w:szCs w:val="22"/>
                <w:lang w:val="zh-CN" w:bidi="zh-CN"/>
              </w:rPr>
              <w:t>投资策略会</w:t>
            </w:r>
            <w:r>
              <w:rPr>
                <w:rFonts w:hint="eastAsia" w:ascii="宋体" w:hAnsi="宋体" w:eastAsia="宋体" w:cs="宋体"/>
                <w:b/>
                <w:bCs/>
                <w:sz w:val="24"/>
                <w:szCs w:val="22"/>
                <w:lang w:bidi="zh-CN"/>
              </w:rPr>
              <w:t xml:space="preserve"> </w:t>
            </w:r>
            <w:r>
              <w:rPr>
                <w:rFonts w:hint="eastAsia" w:ascii="宋体" w:hAnsi="宋体" w:eastAsia="宋体" w:cs="宋体"/>
                <w:sz w:val="24"/>
                <w:szCs w:val="22"/>
                <w:lang w:bidi="zh-CN"/>
              </w:rPr>
              <w:t xml:space="preserve">         </w:t>
            </w:r>
            <w:r>
              <w:rPr>
                <w:rFonts w:ascii="宋体" w:hAnsi="宋体" w:eastAsia="宋体" w:cs="宋体"/>
                <w:sz w:val="24"/>
                <w:szCs w:val="22"/>
                <w:lang w:val="zh-CN" w:bidi="zh-CN"/>
              </w:rPr>
              <w:t xml:space="preserve">□其他 </w:t>
            </w:r>
            <w:r>
              <w:rPr>
                <w:rFonts w:hint="eastAsia" w:ascii="宋体" w:hAnsi="宋体" w:eastAsia="宋体" w:cs="宋体"/>
                <w:sz w:val="24"/>
                <w:szCs w:val="22"/>
                <w:lang w:bidi="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71" w:hRule="atLeast"/>
        </w:trPr>
        <w:tc>
          <w:tcPr>
            <w:tcW w:w="1462" w:type="dxa"/>
            <w:vAlign w:val="center"/>
          </w:tcPr>
          <w:p>
            <w:pPr>
              <w:autoSpaceDE w:val="0"/>
              <w:autoSpaceDN w:val="0"/>
              <w:spacing w:before="91" w:beforeAutospacing="0" w:afterAutospacing="0" w:line="261" w:lineRule="auto"/>
              <w:ind w:left="107" w:right="96"/>
              <w:jc w:val="center"/>
              <w:rPr>
                <w:rFonts w:ascii="Microsoft JhengHei" w:hAnsi="宋体" w:eastAsia="Microsoft JhengHei" w:cs="宋体"/>
                <w:b/>
                <w:sz w:val="24"/>
                <w:szCs w:val="22"/>
                <w:lang w:val="zh-CN" w:bidi="zh-CN"/>
              </w:rPr>
            </w:pPr>
            <w:r>
              <w:rPr>
                <w:rFonts w:hint="eastAsia" w:ascii="方正小标宋简体" w:hAnsi="方正小标宋简体" w:eastAsia="方正小标宋简体" w:cs="方正小标宋简体"/>
                <w:bCs/>
                <w:sz w:val="24"/>
                <w:lang w:val="zh-CN" w:bidi="zh-CN"/>
              </w:rPr>
              <w:t>参与单位名称</w:t>
            </w:r>
          </w:p>
        </w:tc>
        <w:tc>
          <w:tcPr>
            <w:tcW w:w="7000" w:type="dxa"/>
            <w:vAlign w:val="center"/>
          </w:tcPr>
          <w:p>
            <w:pPr>
              <w:keepNext w:val="0"/>
              <w:keepLines w:val="0"/>
              <w:pageBreakBefore w:val="0"/>
              <w:widowControl w:val="0"/>
              <w:kinsoku/>
              <w:wordWrap/>
              <w:overflowPunct/>
              <w:topLinePunct w:val="0"/>
              <w:autoSpaceDE w:val="0"/>
              <w:autoSpaceDN w:val="0"/>
              <w:bidi w:val="0"/>
              <w:adjustRightInd/>
              <w:snapToGrid/>
              <w:spacing w:beforeAutospacing="0" w:afterAutospacing="0" w:line="400" w:lineRule="exact"/>
              <w:jc w:val="left"/>
              <w:textAlignment w:val="auto"/>
              <w:rPr>
                <w:rFonts w:ascii="宋体" w:hAnsi="宋体" w:eastAsia="宋体" w:cs="宋体"/>
                <w:sz w:val="24"/>
                <w:szCs w:val="22"/>
                <w:lang w:bidi="zh-CN"/>
              </w:rPr>
            </w:pPr>
            <w:r>
              <w:rPr>
                <w:rFonts w:hint="eastAsia" w:ascii="宋体" w:hAnsi="宋体" w:eastAsia="宋体" w:cs="宋体"/>
                <w:sz w:val="24"/>
                <w:szCs w:val="22"/>
                <w:lang w:val="zh-CN" w:bidi="zh-CN"/>
              </w:rPr>
              <w:t>机构</w:t>
            </w:r>
            <w:r>
              <w:rPr>
                <w:rFonts w:ascii="宋体" w:hAnsi="宋体" w:eastAsia="宋体" w:cs="宋体"/>
                <w:sz w:val="24"/>
                <w:szCs w:val="22"/>
                <w:lang w:val="zh-CN" w:bidi="zh-CN"/>
              </w:rPr>
              <w:t xml:space="preserve">名单： </w:t>
            </w:r>
            <w:r>
              <w:rPr>
                <w:rFonts w:hint="eastAsia" w:ascii="宋体" w:hAnsi="宋体" w:eastAsia="宋体" w:cs="宋体"/>
                <w:sz w:val="24"/>
                <w:szCs w:val="22"/>
                <w:lang w:bidi="zh-CN"/>
              </w:rPr>
              <w:t xml:space="preserve">               </w:t>
            </w:r>
          </w:p>
          <w:p>
            <w:pPr>
              <w:keepNext w:val="0"/>
              <w:keepLines w:val="0"/>
              <w:pageBreakBefore w:val="0"/>
              <w:widowControl w:val="0"/>
              <w:kinsoku/>
              <w:wordWrap/>
              <w:overflowPunct/>
              <w:topLinePunct w:val="0"/>
              <w:autoSpaceDE w:val="0"/>
              <w:autoSpaceDN w:val="0"/>
              <w:bidi w:val="0"/>
              <w:adjustRightInd/>
              <w:snapToGrid/>
              <w:spacing w:beforeAutospacing="0" w:afterAutospacing="0" w:line="400" w:lineRule="exact"/>
              <w:textAlignment w:val="auto"/>
              <w:rPr>
                <w:rFonts w:hint="eastAsia" w:ascii="宋体" w:hAnsi="宋体" w:eastAsia="宋体" w:cs="宋体"/>
                <w:sz w:val="24"/>
                <w:szCs w:val="22"/>
                <w:lang w:val="en-US" w:eastAsia="zh-CN" w:bidi="zh-CN"/>
              </w:rPr>
            </w:pPr>
            <w:r>
              <w:rPr>
                <w:rFonts w:hint="eastAsia" w:ascii="宋体" w:hAnsi="宋体" w:eastAsia="宋体" w:cs="宋体"/>
                <w:sz w:val="24"/>
                <w:szCs w:val="22"/>
                <w:lang w:val="en-US" w:eastAsia="zh-CN" w:bidi="zh-CN"/>
              </w:rPr>
              <w:t xml:space="preserve">国金证券  浙商证券  开源证券  山西证券  申港证券  东方证券   </w:t>
            </w:r>
          </w:p>
          <w:p>
            <w:pPr>
              <w:keepNext w:val="0"/>
              <w:keepLines w:val="0"/>
              <w:pageBreakBefore w:val="0"/>
              <w:widowControl w:val="0"/>
              <w:kinsoku/>
              <w:wordWrap/>
              <w:overflowPunct/>
              <w:topLinePunct w:val="0"/>
              <w:autoSpaceDE w:val="0"/>
              <w:autoSpaceDN w:val="0"/>
              <w:bidi w:val="0"/>
              <w:adjustRightInd/>
              <w:snapToGrid/>
              <w:spacing w:beforeAutospacing="0" w:afterAutospacing="0" w:line="400" w:lineRule="exact"/>
              <w:textAlignment w:val="auto"/>
              <w:rPr>
                <w:rFonts w:hint="default" w:ascii="宋体" w:hAnsi="宋体" w:eastAsia="宋体" w:cs="宋体"/>
                <w:sz w:val="24"/>
                <w:szCs w:val="22"/>
                <w:lang w:val="en-US" w:eastAsia="zh-CN" w:bidi="zh-CN"/>
              </w:rPr>
            </w:pPr>
            <w:r>
              <w:rPr>
                <w:rFonts w:hint="eastAsia" w:ascii="宋体" w:hAnsi="宋体" w:eastAsia="宋体" w:cs="宋体"/>
                <w:sz w:val="24"/>
                <w:szCs w:val="22"/>
                <w:lang w:val="en-US" w:eastAsia="zh-CN" w:bidi="zh-CN"/>
              </w:rPr>
              <w:t xml:space="preserve">国信证券  银华基金  银杏资本  金元资管  涌金春生  易知投资  </w:t>
            </w:r>
          </w:p>
          <w:p>
            <w:pPr>
              <w:keepNext w:val="0"/>
              <w:keepLines w:val="0"/>
              <w:pageBreakBefore w:val="0"/>
              <w:widowControl w:val="0"/>
              <w:kinsoku/>
              <w:wordWrap/>
              <w:overflowPunct/>
              <w:topLinePunct w:val="0"/>
              <w:autoSpaceDE w:val="0"/>
              <w:autoSpaceDN w:val="0"/>
              <w:bidi w:val="0"/>
              <w:adjustRightInd/>
              <w:snapToGrid/>
              <w:spacing w:beforeAutospacing="0" w:afterAutospacing="0" w:line="400" w:lineRule="exact"/>
              <w:textAlignment w:val="auto"/>
              <w:rPr>
                <w:rFonts w:hint="eastAsia" w:ascii="宋体" w:hAnsi="宋体" w:eastAsia="宋体" w:cs="宋体"/>
                <w:sz w:val="24"/>
                <w:szCs w:val="22"/>
                <w:lang w:val="en-US" w:eastAsia="zh-CN" w:bidi="zh-CN"/>
              </w:rPr>
            </w:pPr>
            <w:r>
              <w:rPr>
                <w:rFonts w:hint="eastAsia" w:ascii="宋体" w:hAnsi="宋体" w:eastAsia="宋体" w:cs="宋体"/>
                <w:sz w:val="24"/>
                <w:szCs w:val="22"/>
                <w:lang w:val="en-US" w:eastAsia="zh-CN" w:bidi="zh-CN"/>
              </w:rPr>
              <w:t>众安保险  中信建投  睿亿投资  瑰铄投资  国联基金  华宝信托</w:t>
            </w:r>
          </w:p>
          <w:p>
            <w:pPr>
              <w:keepNext w:val="0"/>
              <w:keepLines w:val="0"/>
              <w:pageBreakBefore w:val="0"/>
              <w:widowControl w:val="0"/>
              <w:kinsoku/>
              <w:wordWrap/>
              <w:overflowPunct/>
              <w:topLinePunct w:val="0"/>
              <w:autoSpaceDE w:val="0"/>
              <w:autoSpaceDN w:val="0"/>
              <w:bidi w:val="0"/>
              <w:adjustRightInd/>
              <w:snapToGrid/>
              <w:spacing w:beforeAutospacing="0" w:afterAutospacing="0" w:line="400" w:lineRule="exact"/>
              <w:textAlignment w:val="auto"/>
              <w:rPr>
                <w:rFonts w:hint="eastAsia" w:ascii="宋体" w:hAnsi="宋体" w:eastAsia="宋体" w:cs="宋体"/>
                <w:sz w:val="24"/>
                <w:szCs w:val="22"/>
                <w:lang w:val="en-US" w:eastAsia="zh-CN" w:bidi="zh-CN"/>
              </w:rPr>
            </w:pPr>
            <w:r>
              <w:rPr>
                <w:rFonts w:hint="eastAsia" w:ascii="宋体" w:hAnsi="宋体" w:eastAsia="宋体" w:cs="宋体"/>
                <w:sz w:val="24"/>
                <w:szCs w:val="22"/>
                <w:lang w:val="en-US" w:eastAsia="zh-CN" w:bidi="zh-CN"/>
              </w:rPr>
              <w:t>华富基金  中银基金  融通基金  泾溪投资  兆信基金  尚雅投资</w:t>
            </w:r>
          </w:p>
          <w:p>
            <w:pPr>
              <w:keepNext w:val="0"/>
              <w:keepLines w:val="0"/>
              <w:pageBreakBefore w:val="0"/>
              <w:widowControl w:val="0"/>
              <w:kinsoku/>
              <w:wordWrap/>
              <w:overflowPunct/>
              <w:topLinePunct w:val="0"/>
              <w:autoSpaceDE w:val="0"/>
              <w:autoSpaceDN w:val="0"/>
              <w:bidi w:val="0"/>
              <w:adjustRightInd/>
              <w:snapToGrid/>
              <w:spacing w:beforeAutospacing="0" w:afterAutospacing="0" w:line="400" w:lineRule="exact"/>
              <w:textAlignment w:val="auto"/>
              <w:rPr>
                <w:rFonts w:hint="default" w:ascii="仿宋_GB2312" w:hAnsi="Calibri" w:eastAsia="仿宋_GB2312" w:cs="Times New Roman"/>
                <w:kern w:val="2"/>
                <w:sz w:val="28"/>
                <w:szCs w:val="24"/>
                <w:lang w:val="en-US" w:eastAsia="zh-CN" w:bidi="ar-SA"/>
              </w:rPr>
            </w:pPr>
            <w:r>
              <w:rPr>
                <w:rFonts w:hint="eastAsia" w:ascii="宋体" w:hAnsi="宋体" w:eastAsia="宋体" w:cs="宋体"/>
                <w:sz w:val="24"/>
                <w:szCs w:val="22"/>
                <w:lang w:val="en-US" w:eastAsia="zh-CN" w:bidi="zh-CN"/>
              </w:rPr>
              <w:t xml:space="preserve">社保基金  兴银理财  国泰君安  源乘投资  平安银行  润磁投资东海基金  京管泰富  </w:t>
            </w:r>
            <w:bookmarkStart w:id="0" w:name="_GoBack"/>
            <w:bookmarkEnd w:id="0"/>
            <w:r>
              <w:rPr>
                <w:rFonts w:hint="eastAsia" w:ascii="宋体" w:hAnsi="宋体" w:eastAsia="宋体" w:cs="宋体"/>
                <w:sz w:val="24"/>
                <w:szCs w:val="22"/>
                <w:lang w:val="en-US" w:eastAsia="zh-CN" w:bidi="zh-CN"/>
              </w:rPr>
              <w:t xml:space="preserve">淡水泉    旺旺中国投资  景顺长城基金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53" w:hRule="atLeast"/>
        </w:trPr>
        <w:tc>
          <w:tcPr>
            <w:tcW w:w="1462" w:type="dxa"/>
            <w:vAlign w:val="center"/>
          </w:tcPr>
          <w:p>
            <w:pPr>
              <w:autoSpaceDE w:val="0"/>
              <w:autoSpaceDN w:val="0"/>
              <w:spacing w:before="91" w:beforeAutospacing="0" w:afterAutospacing="0" w:line="369" w:lineRule="exact"/>
              <w:ind w:left="107"/>
              <w:jc w:val="center"/>
              <w:rPr>
                <w:rFonts w:ascii="Microsoft JhengHei" w:hAnsi="宋体" w:eastAsia="Microsoft JhengHei" w:cs="宋体"/>
                <w:b/>
                <w:sz w:val="24"/>
                <w:szCs w:val="22"/>
                <w:lang w:val="zh-CN" w:bidi="zh-CN"/>
              </w:rPr>
            </w:pPr>
            <w:r>
              <w:rPr>
                <w:rFonts w:hint="eastAsia" w:ascii="方正小标宋简体" w:hAnsi="方正小标宋简体" w:eastAsia="方正小标宋简体" w:cs="方正小标宋简体"/>
                <w:bCs/>
                <w:sz w:val="24"/>
                <w:lang w:val="zh-CN" w:bidi="zh-CN"/>
              </w:rPr>
              <w:t>时  间</w:t>
            </w:r>
          </w:p>
        </w:tc>
        <w:tc>
          <w:tcPr>
            <w:tcW w:w="7000" w:type="dxa"/>
            <w:vAlign w:val="center"/>
          </w:tcPr>
          <w:p>
            <w:pPr>
              <w:autoSpaceDE w:val="0"/>
              <w:autoSpaceDN w:val="0"/>
              <w:spacing w:before="170" w:beforeAutospacing="0" w:afterAutospacing="0" w:line="289" w:lineRule="exact"/>
              <w:rPr>
                <w:rFonts w:ascii="宋体" w:hAnsi="宋体" w:eastAsia="宋体" w:cs="宋体"/>
                <w:sz w:val="24"/>
                <w:szCs w:val="22"/>
                <w:lang w:bidi="zh-CN"/>
              </w:rPr>
            </w:pPr>
            <w:r>
              <w:rPr>
                <w:rFonts w:hint="eastAsia" w:ascii="宋体" w:hAnsi="宋体" w:eastAsia="宋体" w:cs="宋体"/>
                <w:sz w:val="24"/>
                <w:szCs w:val="22"/>
                <w:lang w:bidi="zh-CN"/>
              </w:rPr>
              <w:t>2023年</w:t>
            </w:r>
            <w:r>
              <w:rPr>
                <w:rFonts w:hint="eastAsia" w:ascii="宋体" w:hAnsi="宋体" w:eastAsia="宋体" w:cs="宋体"/>
                <w:sz w:val="24"/>
                <w:szCs w:val="22"/>
                <w:lang w:val="en-US" w:bidi="zh-CN"/>
              </w:rPr>
              <w:t>8</w:t>
            </w:r>
            <w:r>
              <w:rPr>
                <w:rFonts w:hint="eastAsia" w:ascii="宋体" w:hAnsi="宋体" w:eastAsia="宋体" w:cs="宋体"/>
                <w:sz w:val="24"/>
                <w:szCs w:val="22"/>
                <w:lang w:bidi="zh-CN"/>
              </w:rPr>
              <w:t>月</w:t>
            </w:r>
            <w:r>
              <w:rPr>
                <w:rFonts w:hint="eastAsia" w:ascii="宋体" w:hAnsi="宋体" w:eastAsia="宋体" w:cs="宋体"/>
                <w:sz w:val="24"/>
                <w:szCs w:val="22"/>
                <w:lang w:val="en-US" w:bidi="zh-CN"/>
              </w:rPr>
              <w:t>7</w:t>
            </w:r>
            <w:r>
              <w:rPr>
                <w:rFonts w:hint="eastAsia" w:ascii="宋体" w:hAnsi="宋体" w:eastAsia="宋体" w:cs="宋体"/>
                <w:sz w:val="24"/>
                <w:szCs w:val="22"/>
                <w:lang w:bidi="zh-CN"/>
              </w:rPr>
              <w:t>日-</w:t>
            </w:r>
            <w:r>
              <w:rPr>
                <w:rFonts w:hint="eastAsia" w:ascii="宋体" w:hAnsi="宋体" w:eastAsia="宋体" w:cs="宋体"/>
                <w:sz w:val="24"/>
                <w:szCs w:val="22"/>
                <w:lang w:val="en-US" w:bidi="zh-CN"/>
              </w:rPr>
              <w:t>9</w:t>
            </w:r>
            <w:r>
              <w:rPr>
                <w:rFonts w:hint="eastAsia" w:ascii="宋体" w:hAnsi="宋体" w:eastAsia="宋体" w:cs="宋体"/>
                <w:sz w:val="24"/>
                <w:szCs w:val="22"/>
                <w:lang w:bidi="zh-CN"/>
              </w:rPr>
              <w:t>月</w:t>
            </w:r>
            <w:r>
              <w:rPr>
                <w:rFonts w:hint="eastAsia" w:ascii="宋体" w:hAnsi="宋体" w:eastAsia="宋体" w:cs="宋体"/>
                <w:sz w:val="24"/>
                <w:szCs w:val="22"/>
                <w:lang w:val="en-US" w:bidi="zh-CN"/>
              </w:rPr>
              <w:t>6</w:t>
            </w:r>
            <w:r>
              <w:rPr>
                <w:rFonts w:hint="eastAsia" w:ascii="宋体" w:hAnsi="宋体" w:eastAsia="宋体" w:cs="宋体"/>
                <w:sz w:val="24"/>
                <w:szCs w:val="22"/>
                <w:lang w:bidi="zh-CN"/>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6" w:hRule="atLeast"/>
        </w:trPr>
        <w:tc>
          <w:tcPr>
            <w:tcW w:w="1462" w:type="dxa"/>
            <w:vAlign w:val="center"/>
          </w:tcPr>
          <w:p>
            <w:pPr>
              <w:autoSpaceDE w:val="0"/>
              <w:autoSpaceDN w:val="0"/>
              <w:spacing w:before="91" w:beforeAutospacing="0" w:afterAutospacing="0"/>
              <w:ind w:left="107"/>
              <w:jc w:val="center"/>
              <w:rPr>
                <w:rFonts w:ascii="Microsoft JhengHei" w:hAnsi="宋体" w:eastAsia="Microsoft JhengHei" w:cs="宋体"/>
                <w:b/>
                <w:sz w:val="24"/>
                <w:szCs w:val="22"/>
                <w:lang w:val="zh-CN" w:bidi="zh-CN"/>
              </w:rPr>
            </w:pPr>
            <w:r>
              <w:rPr>
                <w:rFonts w:hint="eastAsia" w:ascii="方正小标宋简体" w:hAnsi="方正小标宋简体" w:eastAsia="方正小标宋简体" w:cs="方正小标宋简体"/>
                <w:bCs/>
                <w:sz w:val="24"/>
                <w:lang w:val="zh-CN" w:bidi="zh-CN"/>
              </w:rPr>
              <w:t>地  点</w:t>
            </w:r>
          </w:p>
        </w:tc>
        <w:tc>
          <w:tcPr>
            <w:tcW w:w="7000" w:type="dxa"/>
            <w:vAlign w:val="center"/>
          </w:tcPr>
          <w:p>
            <w:pPr>
              <w:autoSpaceDE w:val="0"/>
              <w:autoSpaceDN w:val="0"/>
              <w:spacing w:before="173" w:beforeAutospacing="0" w:afterAutospacing="0" w:line="289" w:lineRule="exact"/>
              <w:rPr>
                <w:rFonts w:ascii="Calibri" w:hAnsi="Calibri" w:eastAsia="宋体" w:cs="Times New Roman"/>
                <w:spacing w:val="-6"/>
                <w:sz w:val="24"/>
              </w:rPr>
            </w:pPr>
            <w:r>
              <w:rPr>
                <w:rFonts w:hint="eastAsia" w:ascii="Calibri" w:hAnsi="Calibri" w:eastAsia="宋体" w:cs="Times New Roman"/>
                <w:spacing w:val="-6"/>
                <w:sz w:val="24"/>
              </w:rPr>
              <w:t>中铁工业总部及</w:t>
            </w:r>
            <w:r>
              <w:rPr>
                <w:rFonts w:hint="eastAsia" w:ascii="Calibri" w:hAnsi="Calibri" w:eastAsia="宋体" w:cs="Times New Roman"/>
                <w:spacing w:val="-6"/>
                <w:sz w:val="24"/>
                <w:lang w:eastAsia="zh-CN"/>
              </w:rPr>
              <w:t>北京、上海</w:t>
            </w:r>
            <w:r>
              <w:rPr>
                <w:rFonts w:hint="eastAsia" w:ascii="Calibri" w:hAnsi="Calibri" w:eastAsia="宋体" w:cs="Times New Roman"/>
                <w:spacing w:val="-6"/>
                <w:sz w:val="24"/>
              </w:rPr>
              <w:t>等地策略会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1462" w:type="dxa"/>
            <w:vAlign w:val="center"/>
          </w:tcPr>
          <w:p>
            <w:pPr>
              <w:autoSpaceDE w:val="0"/>
              <w:autoSpaceDN w:val="0"/>
              <w:spacing w:before="93" w:beforeAutospacing="0" w:afterAutospacing="0" w:line="261" w:lineRule="auto"/>
              <w:ind w:left="107" w:right="96"/>
              <w:jc w:val="center"/>
              <w:rPr>
                <w:rFonts w:ascii="Microsoft JhengHei" w:hAnsi="宋体" w:eastAsia="Microsoft JhengHei" w:cs="宋体"/>
                <w:b/>
                <w:sz w:val="24"/>
                <w:szCs w:val="22"/>
                <w:lang w:val="zh-CN" w:bidi="zh-CN"/>
              </w:rPr>
            </w:pPr>
            <w:r>
              <w:rPr>
                <w:rFonts w:hint="eastAsia" w:ascii="方正小标宋简体" w:hAnsi="方正小标宋简体" w:eastAsia="方正小标宋简体" w:cs="方正小标宋简体"/>
                <w:bCs/>
                <w:sz w:val="24"/>
                <w:lang w:val="zh-CN" w:bidi="zh-CN"/>
              </w:rPr>
              <w:t>上市公司参加人员姓名</w:t>
            </w:r>
          </w:p>
        </w:tc>
        <w:tc>
          <w:tcPr>
            <w:tcW w:w="7000" w:type="dxa"/>
            <w:vAlign w:val="center"/>
          </w:tcPr>
          <w:p>
            <w:pPr>
              <w:autoSpaceDE w:val="0"/>
              <w:autoSpaceDN w:val="0"/>
              <w:spacing w:beforeAutospacing="0" w:afterAutospacing="0" w:line="400" w:lineRule="exact"/>
              <w:rPr>
                <w:rFonts w:ascii="宋体" w:hAnsi="宋体" w:eastAsia="宋体" w:cs="宋体"/>
                <w:sz w:val="24"/>
              </w:rPr>
            </w:pPr>
            <w:r>
              <w:rPr>
                <w:rFonts w:hint="eastAsia" w:ascii="宋体" w:hAnsi="宋体" w:eastAsia="宋体" w:cs="宋体"/>
                <w:sz w:val="24"/>
                <w:szCs w:val="22"/>
                <w:lang w:val="zh-CN" w:bidi="zh-CN"/>
              </w:rPr>
              <w:t>葛瑞鹏</w:t>
            </w:r>
            <w:r>
              <w:rPr>
                <w:rFonts w:hint="eastAsia" w:ascii="宋体" w:hAnsi="宋体" w:eastAsia="宋体" w:cs="宋体"/>
                <w:sz w:val="24"/>
                <w:szCs w:val="22"/>
                <w:lang w:bidi="zh-CN"/>
              </w:rPr>
              <w:t xml:space="preserve">  </w:t>
            </w:r>
            <w:r>
              <w:rPr>
                <w:rFonts w:hint="eastAsia" w:ascii="宋体" w:hAnsi="宋体" w:eastAsia="宋体" w:cs="宋体"/>
                <w:sz w:val="24"/>
                <w:szCs w:val="22"/>
                <w:lang w:val="zh-CN" w:bidi="zh-CN"/>
              </w:rPr>
              <w:t>董事会秘书</w:t>
            </w:r>
            <w:r>
              <w:rPr>
                <w:rFonts w:hint="eastAsia" w:ascii="宋体" w:hAnsi="宋体" w:eastAsia="宋体" w:cs="宋体"/>
                <w:sz w:val="24"/>
                <w:szCs w:val="22"/>
                <w:lang w:bidi="zh-CN"/>
              </w:rPr>
              <w:t xml:space="preserve"> </w:t>
            </w:r>
          </w:p>
          <w:p>
            <w:pPr>
              <w:autoSpaceDE w:val="0"/>
              <w:autoSpaceDN w:val="0"/>
              <w:spacing w:beforeAutospacing="0" w:afterAutospacing="0" w:line="400" w:lineRule="exact"/>
              <w:rPr>
                <w:rFonts w:ascii="宋体" w:hAnsi="宋体" w:eastAsia="宋体" w:cs="宋体"/>
                <w:sz w:val="24"/>
                <w:szCs w:val="22"/>
                <w:lang w:bidi="zh-CN"/>
              </w:rPr>
            </w:pPr>
            <w:r>
              <w:rPr>
                <w:rFonts w:hint="eastAsia" w:ascii="宋体" w:hAnsi="宋体" w:eastAsia="宋体" w:cs="宋体"/>
                <w:sz w:val="24"/>
                <w:szCs w:val="22"/>
                <w:lang w:val="zh-CN" w:bidi="zh-CN"/>
              </w:rPr>
              <w:t>王  浩  证券部投资者关系主管</w:t>
            </w:r>
          </w:p>
        </w:tc>
      </w:tr>
    </w:tbl>
    <w:p>
      <w:pPr>
        <w:spacing w:beforeAutospacing="0" w:afterAutospacing="0" w:line="289" w:lineRule="exact"/>
        <w:rPr>
          <w:sz w:val="24"/>
        </w:rPr>
        <w:sectPr>
          <w:pgSz w:w="11910" w:h="16840"/>
          <w:pgMar w:top="1580" w:right="1560" w:bottom="280" w:left="1680" w:header="720" w:footer="720" w:gutter="0"/>
          <w:cols w:space="720" w:num="1"/>
          <w:docGrid w:linePitch="0" w:charSpace="0"/>
        </w:sectPr>
      </w:pPr>
    </w:p>
    <w:tbl>
      <w:tblPr>
        <w:tblStyle w:val="3"/>
        <w:tblW w:w="8634"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70"/>
        <w:gridCol w:w="70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569" w:hRule="atLeast"/>
        </w:trPr>
        <w:tc>
          <w:tcPr>
            <w:tcW w:w="1570" w:type="dxa"/>
          </w:tcPr>
          <w:p>
            <w:pPr>
              <w:autoSpaceDE w:val="0"/>
              <w:autoSpaceDN w:val="0"/>
              <w:rPr>
                <w:rFonts w:ascii="宋体" w:hAnsi="宋体" w:eastAsia="宋体" w:cs="宋体"/>
                <w:sz w:val="24"/>
                <w:szCs w:val="22"/>
                <w:lang w:val="zh-CN" w:bidi="zh-CN"/>
              </w:rPr>
            </w:pPr>
          </w:p>
          <w:p>
            <w:pPr>
              <w:autoSpaceDE w:val="0"/>
              <w:autoSpaceDN w:val="0"/>
              <w:rPr>
                <w:rFonts w:ascii="宋体" w:hAnsi="宋体" w:eastAsia="宋体" w:cs="宋体"/>
                <w:sz w:val="24"/>
                <w:szCs w:val="22"/>
                <w:lang w:val="zh-CN" w:bidi="zh-CN"/>
              </w:rPr>
            </w:pPr>
          </w:p>
          <w:p>
            <w:pPr>
              <w:autoSpaceDE w:val="0"/>
              <w:autoSpaceDN w:val="0"/>
              <w:rPr>
                <w:rFonts w:ascii="宋体" w:hAnsi="宋体" w:eastAsia="宋体" w:cs="宋体"/>
                <w:sz w:val="24"/>
                <w:szCs w:val="22"/>
                <w:lang w:val="zh-CN" w:bidi="zh-CN"/>
              </w:rPr>
            </w:pPr>
          </w:p>
          <w:p>
            <w:pPr>
              <w:autoSpaceDE w:val="0"/>
              <w:autoSpaceDN w:val="0"/>
              <w:rPr>
                <w:rFonts w:ascii="宋体" w:hAnsi="宋体" w:eastAsia="宋体" w:cs="宋体"/>
                <w:sz w:val="24"/>
                <w:szCs w:val="22"/>
                <w:lang w:val="zh-CN" w:bidi="zh-CN"/>
              </w:rPr>
            </w:pPr>
          </w:p>
          <w:p>
            <w:pPr>
              <w:autoSpaceDE w:val="0"/>
              <w:autoSpaceDN w:val="0"/>
              <w:rPr>
                <w:rFonts w:ascii="宋体" w:hAnsi="宋体" w:eastAsia="宋体" w:cs="宋体"/>
                <w:sz w:val="24"/>
                <w:szCs w:val="22"/>
                <w:lang w:val="zh-CN" w:bidi="zh-CN"/>
              </w:rPr>
            </w:pPr>
          </w:p>
          <w:p>
            <w:pPr>
              <w:autoSpaceDE w:val="0"/>
              <w:autoSpaceDN w:val="0"/>
              <w:rPr>
                <w:rFonts w:ascii="宋体" w:hAnsi="宋体" w:eastAsia="宋体" w:cs="宋体"/>
                <w:sz w:val="24"/>
                <w:szCs w:val="22"/>
                <w:lang w:val="zh-CN" w:bidi="zh-CN"/>
              </w:rPr>
            </w:pPr>
          </w:p>
          <w:p>
            <w:pPr>
              <w:autoSpaceDE w:val="0"/>
              <w:autoSpaceDN w:val="0"/>
              <w:rPr>
                <w:rFonts w:ascii="宋体" w:hAnsi="宋体" w:eastAsia="宋体" w:cs="宋体"/>
                <w:sz w:val="24"/>
                <w:szCs w:val="22"/>
                <w:lang w:val="zh-CN" w:bidi="zh-CN"/>
              </w:rPr>
            </w:pPr>
          </w:p>
          <w:p>
            <w:pPr>
              <w:autoSpaceDE w:val="0"/>
              <w:autoSpaceDN w:val="0"/>
              <w:rPr>
                <w:rFonts w:ascii="宋体" w:hAnsi="宋体" w:eastAsia="宋体" w:cs="宋体"/>
                <w:sz w:val="24"/>
                <w:szCs w:val="22"/>
                <w:lang w:val="zh-CN" w:bidi="zh-CN"/>
              </w:rPr>
            </w:pPr>
          </w:p>
          <w:p>
            <w:pPr>
              <w:autoSpaceDE w:val="0"/>
              <w:autoSpaceDN w:val="0"/>
              <w:rPr>
                <w:rFonts w:ascii="宋体" w:hAnsi="宋体" w:eastAsia="宋体" w:cs="宋体"/>
                <w:sz w:val="24"/>
                <w:szCs w:val="22"/>
                <w:lang w:val="zh-CN" w:bidi="zh-CN"/>
              </w:rPr>
            </w:pPr>
          </w:p>
          <w:p>
            <w:pPr>
              <w:autoSpaceDE w:val="0"/>
              <w:autoSpaceDN w:val="0"/>
              <w:rPr>
                <w:rFonts w:ascii="宋体" w:hAnsi="宋体" w:eastAsia="宋体" w:cs="宋体"/>
                <w:sz w:val="24"/>
                <w:szCs w:val="22"/>
                <w:lang w:val="zh-CN" w:bidi="zh-CN"/>
              </w:rPr>
            </w:pPr>
          </w:p>
          <w:p>
            <w:pPr>
              <w:autoSpaceDE w:val="0"/>
              <w:autoSpaceDN w:val="0"/>
              <w:rPr>
                <w:rFonts w:ascii="宋体" w:hAnsi="宋体" w:eastAsia="宋体" w:cs="宋体"/>
                <w:sz w:val="24"/>
                <w:szCs w:val="22"/>
                <w:lang w:val="zh-CN" w:bidi="zh-CN"/>
              </w:rPr>
            </w:pPr>
          </w:p>
          <w:p>
            <w:pPr>
              <w:autoSpaceDE w:val="0"/>
              <w:autoSpaceDN w:val="0"/>
              <w:rPr>
                <w:rFonts w:ascii="宋体" w:hAnsi="宋体" w:eastAsia="宋体" w:cs="宋体"/>
                <w:sz w:val="24"/>
                <w:szCs w:val="22"/>
                <w:lang w:val="zh-CN" w:bidi="zh-CN"/>
              </w:rPr>
            </w:pPr>
          </w:p>
          <w:p>
            <w:pPr>
              <w:autoSpaceDE w:val="0"/>
              <w:autoSpaceDN w:val="0"/>
              <w:rPr>
                <w:rFonts w:ascii="宋体" w:hAnsi="宋体" w:eastAsia="宋体" w:cs="宋体"/>
                <w:sz w:val="24"/>
                <w:szCs w:val="22"/>
                <w:lang w:val="zh-CN" w:bidi="zh-CN"/>
              </w:rPr>
            </w:pPr>
          </w:p>
          <w:p>
            <w:pPr>
              <w:autoSpaceDE w:val="0"/>
              <w:autoSpaceDN w:val="0"/>
              <w:rPr>
                <w:rFonts w:ascii="宋体" w:hAnsi="宋体" w:eastAsia="宋体" w:cs="宋体"/>
                <w:sz w:val="24"/>
                <w:szCs w:val="22"/>
                <w:lang w:val="zh-CN" w:bidi="zh-CN"/>
              </w:rPr>
            </w:pPr>
          </w:p>
          <w:p>
            <w:pPr>
              <w:autoSpaceDE w:val="0"/>
              <w:autoSpaceDN w:val="0"/>
              <w:rPr>
                <w:rFonts w:ascii="宋体" w:hAnsi="宋体" w:eastAsia="宋体" w:cs="宋体"/>
                <w:sz w:val="24"/>
                <w:szCs w:val="22"/>
                <w:lang w:val="zh-CN" w:bidi="zh-CN"/>
              </w:rPr>
            </w:pPr>
          </w:p>
          <w:p>
            <w:pPr>
              <w:autoSpaceDE w:val="0"/>
              <w:autoSpaceDN w:val="0"/>
              <w:rPr>
                <w:rFonts w:ascii="宋体" w:hAnsi="宋体" w:eastAsia="宋体" w:cs="宋体"/>
                <w:sz w:val="24"/>
                <w:szCs w:val="22"/>
                <w:lang w:val="zh-CN" w:bidi="zh-CN"/>
              </w:rPr>
            </w:pPr>
          </w:p>
          <w:p>
            <w:pPr>
              <w:autoSpaceDE w:val="0"/>
              <w:autoSpaceDN w:val="0"/>
              <w:rPr>
                <w:rFonts w:ascii="宋体" w:hAnsi="宋体" w:eastAsia="宋体" w:cs="宋体"/>
                <w:sz w:val="24"/>
                <w:szCs w:val="22"/>
                <w:lang w:val="zh-CN" w:bidi="zh-CN"/>
              </w:rPr>
            </w:pPr>
          </w:p>
          <w:p>
            <w:pPr>
              <w:autoSpaceDE w:val="0"/>
              <w:autoSpaceDN w:val="0"/>
              <w:rPr>
                <w:rFonts w:ascii="宋体" w:hAnsi="宋体" w:eastAsia="宋体" w:cs="宋体"/>
                <w:sz w:val="24"/>
                <w:szCs w:val="22"/>
                <w:lang w:val="zh-CN" w:bidi="zh-CN"/>
              </w:rPr>
            </w:pPr>
          </w:p>
          <w:p>
            <w:pPr>
              <w:autoSpaceDE w:val="0"/>
              <w:autoSpaceDN w:val="0"/>
              <w:rPr>
                <w:rFonts w:ascii="宋体" w:hAnsi="宋体" w:eastAsia="宋体" w:cs="宋体"/>
                <w:sz w:val="24"/>
                <w:szCs w:val="22"/>
                <w:lang w:val="zh-CN" w:bidi="zh-CN"/>
              </w:rPr>
            </w:pPr>
          </w:p>
          <w:p>
            <w:pPr>
              <w:autoSpaceDE w:val="0"/>
              <w:autoSpaceDN w:val="0"/>
              <w:rPr>
                <w:rFonts w:ascii="宋体" w:hAnsi="宋体" w:eastAsia="宋体" w:cs="宋体"/>
                <w:sz w:val="24"/>
                <w:szCs w:val="22"/>
                <w:lang w:val="zh-CN" w:bidi="zh-CN"/>
              </w:rPr>
            </w:pPr>
          </w:p>
          <w:p>
            <w:pPr>
              <w:autoSpaceDE w:val="0"/>
              <w:autoSpaceDN w:val="0"/>
              <w:spacing w:before="155" w:beforeAutospacing="0" w:afterAutospacing="0" w:line="261" w:lineRule="auto"/>
              <w:ind w:left="107" w:right="96"/>
              <w:jc w:val="center"/>
              <w:rPr>
                <w:rFonts w:ascii="Microsoft JhengHei" w:hAnsi="宋体" w:eastAsia="Microsoft JhengHei" w:cs="宋体"/>
                <w:b/>
                <w:sz w:val="24"/>
                <w:szCs w:val="22"/>
                <w:lang w:val="zh-CN" w:bidi="zh-CN"/>
              </w:rPr>
            </w:pPr>
            <w:r>
              <w:rPr>
                <w:rFonts w:hint="eastAsia" w:ascii="方正小标宋简体" w:hAnsi="方正小标宋简体" w:eastAsia="方正小标宋简体" w:cs="方正小标宋简体"/>
                <w:bCs/>
                <w:sz w:val="24"/>
                <w:lang w:val="zh-CN" w:bidi="zh-CN"/>
              </w:rPr>
              <w:t>投资者关系活动主要内容介绍</w:t>
            </w:r>
          </w:p>
        </w:tc>
        <w:tc>
          <w:tcPr>
            <w:tcW w:w="7064" w:type="dxa"/>
          </w:tcPr>
          <w:p>
            <w:pPr>
              <w:widowControl/>
              <w:numPr>
                <w:ilvl w:val="255"/>
                <w:numId w:val="0"/>
              </w:numPr>
              <w:spacing w:beforeAutospacing="0" w:afterAutospacing="0" w:line="380" w:lineRule="exact"/>
              <w:ind w:firstLine="480" w:firstLineChars="200"/>
              <w:jc w:val="left"/>
              <w:rPr>
                <w:rFonts w:hint="eastAsia" w:ascii="宋体" w:hAnsi="宋体" w:eastAsia="宋体" w:cs="宋体"/>
                <w:sz w:val="24"/>
                <w:szCs w:val="22"/>
                <w:lang w:val="zh-CN" w:bidi="zh-CN"/>
              </w:rPr>
            </w:pPr>
            <w:r>
              <w:rPr>
                <w:rFonts w:hint="eastAsia" w:ascii="宋体" w:hAnsi="宋体" w:eastAsia="宋体" w:cs="宋体"/>
                <w:sz w:val="24"/>
                <w:szCs w:val="22"/>
                <w:lang w:bidi="zh-CN"/>
              </w:rPr>
              <w:t>2023年</w:t>
            </w:r>
            <w:r>
              <w:rPr>
                <w:rFonts w:hint="eastAsia" w:ascii="宋体" w:hAnsi="宋体" w:eastAsia="宋体" w:cs="宋体"/>
                <w:sz w:val="24"/>
                <w:szCs w:val="22"/>
                <w:lang w:val="en-US" w:bidi="zh-CN"/>
              </w:rPr>
              <w:t>8</w:t>
            </w:r>
            <w:r>
              <w:rPr>
                <w:rFonts w:hint="eastAsia" w:ascii="宋体" w:hAnsi="宋体" w:eastAsia="宋体" w:cs="宋体"/>
                <w:sz w:val="24"/>
                <w:szCs w:val="22"/>
                <w:lang w:bidi="zh-CN"/>
              </w:rPr>
              <w:t>月</w:t>
            </w:r>
            <w:r>
              <w:rPr>
                <w:rFonts w:hint="eastAsia" w:ascii="宋体" w:hAnsi="宋体" w:eastAsia="宋体" w:cs="宋体"/>
                <w:sz w:val="24"/>
                <w:szCs w:val="22"/>
                <w:lang w:val="en-US" w:bidi="zh-CN"/>
              </w:rPr>
              <w:t>7</w:t>
            </w:r>
            <w:r>
              <w:rPr>
                <w:rFonts w:hint="eastAsia" w:ascii="宋体" w:hAnsi="宋体" w:eastAsia="宋体" w:cs="宋体"/>
                <w:sz w:val="24"/>
                <w:szCs w:val="22"/>
                <w:lang w:bidi="zh-CN"/>
              </w:rPr>
              <w:t>日-</w:t>
            </w:r>
            <w:r>
              <w:rPr>
                <w:rFonts w:hint="eastAsia" w:ascii="宋体" w:hAnsi="宋体" w:eastAsia="宋体" w:cs="宋体"/>
                <w:sz w:val="24"/>
                <w:szCs w:val="22"/>
                <w:lang w:val="en-US" w:bidi="zh-CN"/>
              </w:rPr>
              <w:t>9</w:t>
            </w:r>
            <w:r>
              <w:rPr>
                <w:rFonts w:hint="eastAsia" w:ascii="宋体" w:hAnsi="宋体" w:eastAsia="宋体" w:cs="宋体"/>
                <w:sz w:val="24"/>
                <w:szCs w:val="22"/>
                <w:lang w:bidi="zh-CN"/>
              </w:rPr>
              <w:t>月</w:t>
            </w:r>
            <w:r>
              <w:rPr>
                <w:rFonts w:hint="eastAsia" w:ascii="宋体" w:hAnsi="宋体" w:eastAsia="宋体" w:cs="宋体"/>
                <w:sz w:val="24"/>
                <w:szCs w:val="22"/>
                <w:lang w:val="en-US" w:bidi="zh-CN"/>
              </w:rPr>
              <w:t>6</w:t>
            </w:r>
            <w:r>
              <w:rPr>
                <w:rFonts w:hint="eastAsia" w:ascii="宋体" w:hAnsi="宋体" w:eastAsia="宋体" w:cs="宋体"/>
                <w:sz w:val="24"/>
                <w:szCs w:val="22"/>
                <w:lang w:bidi="zh-CN"/>
              </w:rPr>
              <w:t>日期间，中铁工业通过现场交流、电话说明会和参加策略会等方式，与投资者进行了沟通和交流，</w:t>
            </w:r>
            <w:r>
              <w:rPr>
                <w:rFonts w:hint="eastAsia" w:ascii="宋体" w:hAnsi="宋体" w:eastAsia="宋体" w:cs="宋体"/>
                <w:sz w:val="24"/>
                <w:szCs w:val="22"/>
                <w:lang w:val="zh-CN" w:bidi="zh-CN"/>
              </w:rPr>
              <w:t xml:space="preserve">具体如下： </w:t>
            </w:r>
          </w:p>
          <w:p>
            <w:pPr>
              <w:widowControl/>
              <w:numPr>
                <w:ilvl w:val="255"/>
                <w:numId w:val="0"/>
              </w:numPr>
              <w:spacing w:beforeAutospacing="0" w:afterAutospacing="0" w:line="380" w:lineRule="exact"/>
              <w:ind w:firstLine="482" w:firstLineChars="200"/>
              <w:jc w:val="left"/>
              <w:rPr>
                <w:rFonts w:hint="default" w:ascii="宋体" w:hAnsi="宋体" w:eastAsia="宋体" w:cs="宋体"/>
                <w:b/>
                <w:bCs/>
                <w:sz w:val="24"/>
                <w:szCs w:val="22"/>
                <w:lang w:val="en-US" w:bidi="zh-CN"/>
              </w:rPr>
            </w:pPr>
            <w:r>
              <w:rPr>
                <w:rFonts w:hint="eastAsia" w:ascii="宋体" w:hAnsi="宋体" w:eastAsia="宋体" w:cs="宋体"/>
                <w:b/>
                <w:bCs/>
                <w:sz w:val="24"/>
                <w:szCs w:val="22"/>
                <w:lang w:val="en-US" w:bidi="zh-CN"/>
              </w:rPr>
              <w:t>1.公司2023年上半年的经营情况。</w:t>
            </w:r>
          </w:p>
          <w:p>
            <w:pPr>
              <w:widowControl/>
              <w:numPr>
                <w:ilvl w:val="255"/>
                <w:numId w:val="0"/>
              </w:numPr>
              <w:spacing w:beforeAutospacing="0" w:afterAutospacing="0" w:line="380" w:lineRule="exact"/>
              <w:ind w:firstLine="480" w:firstLineChars="200"/>
              <w:jc w:val="left"/>
              <w:rPr>
                <w:rFonts w:hint="eastAsia" w:ascii="宋体" w:hAnsi="宋体" w:eastAsia="宋体" w:cs="宋体"/>
                <w:sz w:val="24"/>
                <w:szCs w:val="22"/>
                <w:lang w:bidi="zh-CN"/>
              </w:rPr>
            </w:pPr>
            <w:r>
              <w:rPr>
                <w:rFonts w:hint="eastAsia" w:ascii="宋体" w:hAnsi="宋体" w:eastAsia="宋体" w:cs="宋体"/>
                <w:sz w:val="24"/>
                <w:szCs w:val="22"/>
                <w:lang w:val="en-US" w:eastAsia="zh-CN" w:bidi="zh-CN"/>
              </w:rPr>
              <w:t>答：</w:t>
            </w:r>
            <w:r>
              <w:rPr>
                <w:rFonts w:hint="default" w:ascii="宋体" w:hAnsi="宋体" w:eastAsia="宋体" w:cs="宋体"/>
                <w:sz w:val="24"/>
                <w:szCs w:val="22"/>
                <w:lang w:val="en-US" w:eastAsia="zh-CN" w:bidi="zh-CN"/>
              </w:rPr>
              <w:t>2023年上半年，中铁工业实现营业收入148.98亿元，同比增长8.24%；归属于上市公司股东的净利润10亿元，同比增长8.04%；归属于上市公司股东的扣除非经常性损益的净利润9.69亿元，同比增长13.46%；基本每股收益0.4元/股，同比增长8.11%；扣除非经常性损益后的加权平均净资产收益率3.55%，同比增加0.33个百分点；综合毛利率18.31%，同比增长1.29个百分点</w:t>
            </w:r>
            <w:r>
              <w:rPr>
                <w:rFonts w:hint="eastAsia" w:ascii="宋体" w:hAnsi="宋体" w:eastAsia="宋体" w:cs="宋体"/>
                <w:sz w:val="24"/>
                <w:szCs w:val="22"/>
                <w:lang w:val="en-US" w:eastAsia="zh-CN" w:bidi="zh-CN"/>
              </w:rPr>
              <w:t>，</w:t>
            </w:r>
            <w:r>
              <w:rPr>
                <w:rFonts w:hint="eastAsia" w:ascii="宋体" w:hAnsi="宋体" w:eastAsia="宋体" w:cs="宋体"/>
                <w:sz w:val="24"/>
                <w:szCs w:val="22"/>
                <w:lang w:bidi="zh-CN"/>
              </w:rPr>
              <w:t>各项主要财务指标均实现了稳步提升。</w:t>
            </w:r>
          </w:p>
          <w:p>
            <w:pPr>
              <w:widowControl/>
              <w:numPr>
                <w:ilvl w:val="255"/>
                <w:numId w:val="0"/>
              </w:numPr>
              <w:spacing w:beforeAutospacing="0" w:afterAutospacing="0" w:line="380" w:lineRule="exact"/>
              <w:ind w:firstLine="480" w:firstLineChars="200"/>
              <w:jc w:val="left"/>
              <w:rPr>
                <w:rFonts w:hint="eastAsia" w:ascii="宋体" w:hAnsi="宋体" w:eastAsia="宋体" w:cs="宋体"/>
                <w:sz w:val="24"/>
                <w:szCs w:val="22"/>
                <w:lang w:val="en-US" w:eastAsia="zh-CN" w:bidi="zh-CN"/>
              </w:rPr>
            </w:pPr>
            <w:r>
              <w:rPr>
                <w:rFonts w:hint="eastAsia" w:ascii="宋体" w:hAnsi="宋体" w:eastAsia="宋体" w:cs="宋体"/>
                <w:sz w:val="24"/>
                <w:szCs w:val="22"/>
                <w:lang w:val="en-US" w:eastAsia="zh-CN" w:bidi="zh-CN"/>
              </w:rPr>
              <w:t>在</w:t>
            </w:r>
            <w:r>
              <w:rPr>
                <w:rFonts w:hint="default" w:ascii="宋体" w:hAnsi="宋体" w:eastAsia="宋体" w:cs="宋体"/>
                <w:sz w:val="24"/>
                <w:szCs w:val="22"/>
                <w:lang w:val="en-US" w:eastAsia="zh-CN" w:bidi="zh-CN"/>
              </w:rPr>
              <w:t>新签合同额</w:t>
            </w:r>
            <w:r>
              <w:rPr>
                <w:rFonts w:hint="eastAsia" w:ascii="宋体" w:hAnsi="宋体" w:eastAsia="宋体" w:cs="宋体"/>
                <w:sz w:val="24"/>
                <w:szCs w:val="22"/>
                <w:lang w:val="en-US" w:eastAsia="zh-CN" w:bidi="zh-CN"/>
              </w:rPr>
              <w:t>方面，公司上半年完成</w:t>
            </w:r>
            <w:r>
              <w:rPr>
                <w:rFonts w:hint="default" w:ascii="宋体" w:hAnsi="宋体" w:eastAsia="宋体" w:cs="宋体"/>
                <w:sz w:val="24"/>
                <w:szCs w:val="22"/>
                <w:lang w:val="en-US" w:eastAsia="zh-CN" w:bidi="zh-CN"/>
              </w:rPr>
              <w:t>301.83亿元，同比增长3.45%</w:t>
            </w:r>
            <w:r>
              <w:rPr>
                <w:rFonts w:hint="eastAsia" w:ascii="宋体" w:hAnsi="宋体" w:eastAsia="宋体" w:cs="宋体"/>
                <w:sz w:val="24"/>
                <w:szCs w:val="22"/>
                <w:lang w:val="en-US" w:eastAsia="zh-CN" w:bidi="zh-CN"/>
              </w:rPr>
              <w:t>；其中，</w:t>
            </w:r>
            <w:r>
              <w:rPr>
                <w:rFonts w:hint="eastAsia" w:ascii="宋体" w:hAnsi="宋体" w:eastAsia="宋体" w:cs="宋体"/>
                <w:sz w:val="24"/>
                <w:szCs w:val="22"/>
                <w:lang w:bidi="zh-CN"/>
              </w:rPr>
              <w:t>隧道施工装备及相关服务业务完成</w:t>
            </w:r>
            <w:r>
              <w:rPr>
                <w:rFonts w:hint="default" w:ascii="宋体" w:hAnsi="宋体" w:eastAsia="宋体" w:cs="宋体"/>
                <w:sz w:val="24"/>
                <w:szCs w:val="22"/>
                <w:lang w:bidi="zh-CN"/>
              </w:rPr>
              <w:t>83.36</w:t>
            </w:r>
            <w:r>
              <w:rPr>
                <w:rFonts w:hint="eastAsia" w:ascii="宋体" w:hAnsi="宋体" w:eastAsia="宋体" w:cs="宋体"/>
                <w:sz w:val="24"/>
                <w:szCs w:val="22"/>
                <w:lang w:bidi="zh-CN"/>
              </w:rPr>
              <w:t>亿元，在上年同期受高原铁路TBM项目批量中标等因素影响实现</w:t>
            </w:r>
            <w:r>
              <w:rPr>
                <w:rFonts w:hint="eastAsia" w:ascii="宋体" w:hAnsi="宋体" w:eastAsia="宋体" w:cs="宋体"/>
                <w:sz w:val="24"/>
                <w:szCs w:val="22"/>
                <w:lang w:val="en-US" w:bidi="zh-CN"/>
              </w:rPr>
              <w:t>31.09</w:t>
            </w:r>
            <w:r>
              <w:rPr>
                <w:rFonts w:hint="eastAsia" w:ascii="宋体" w:hAnsi="宋体" w:eastAsia="宋体" w:cs="宋体"/>
                <w:sz w:val="24"/>
                <w:szCs w:val="22"/>
                <w:lang w:bidi="zh-CN"/>
              </w:rPr>
              <w:t>%大幅增长的高基数之上，实现了</w:t>
            </w:r>
            <w:r>
              <w:rPr>
                <w:rFonts w:hint="default" w:ascii="宋体" w:hAnsi="宋体" w:eastAsia="宋体" w:cs="宋体"/>
                <w:sz w:val="24"/>
                <w:szCs w:val="22"/>
                <w:lang w:bidi="zh-CN"/>
              </w:rPr>
              <w:t>9.90</w:t>
            </w:r>
            <w:r>
              <w:rPr>
                <w:rFonts w:hint="eastAsia" w:ascii="宋体" w:hAnsi="宋体" w:eastAsia="宋体" w:cs="宋体"/>
                <w:sz w:val="24"/>
                <w:szCs w:val="22"/>
                <w:lang w:bidi="zh-CN"/>
              </w:rPr>
              <w:t>%的同比增幅；上半年公司盾构机/TBM产品在国内中标了广东、浙江等地</w:t>
            </w:r>
            <w:r>
              <w:rPr>
                <w:rFonts w:hint="eastAsia" w:ascii="宋体" w:hAnsi="宋体" w:eastAsia="宋体" w:cs="宋体"/>
                <w:sz w:val="24"/>
                <w:szCs w:val="22"/>
                <w:lang w:eastAsia="zh-CN" w:bidi="zh-CN"/>
              </w:rPr>
              <w:t>的</w:t>
            </w:r>
            <w:r>
              <w:rPr>
                <w:rFonts w:hint="eastAsia" w:ascii="宋体" w:hAnsi="宋体" w:eastAsia="宋体" w:cs="宋体"/>
                <w:sz w:val="24"/>
                <w:szCs w:val="22"/>
                <w:lang w:bidi="zh-CN"/>
              </w:rPr>
              <w:t>水利工程项目订单，在新疆、山东等地</w:t>
            </w:r>
            <w:r>
              <w:rPr>
                <w:rFonts w:hint="eastAsia" w:ascii="宋体" w:hAnsi="宋体" w:eastAsia="宋体" w:cs="宋体"/>
                <w:sz w:val="24"/>
                <w:szCs w:val="22"/>
                <w:lang w:eastAsia="zh-CN" w:bidi="zh-CN"/>
              </w:rPr>
              <w:t>中标</w:t>
            </w:r>
            <w:r>
              <w:rPr>
                <w:rFonts w:hint="eastAsia" w:ascii="宋体" w:hAnsi="宋体" w:eastAsia="宋体" w:cs="宋体"/>
                <w:sz w:val="24"/>
                <w:szCs w:val="22"/>
                <w:lang w:bidi="zh-CN"/>
              </w:rPr>
              <w:t>了抽水蓄能项目订单</w:t>
            </w:r>
            <w:r>
              <w:rPr>
                <w:rFonts w:hint="eastAsia" w:ascii="宋体" w:hAnsi="宋体" w:eastAsia="宋体" w:cs="宋体"/>
                <w:sz w:val="24"/>
                <w:szCs w:val="22"/>
                <w:lang w:eastAsia="zh-CN" w:bidi="zh-CN"/>
              </w:rPr>
              <w:t>，</w:t>
            </w:r>
            <w:r>
              <w:rPr>
                <w:rFonts w:hint="eastAsia" w:ascii="宋体" w:hAnsi="宋体" w:eastAsia="宋体" w:cs="宋体"/>
                <w:sz w:val="24"/>
                <w:szCs w:val="22"/>
                <w:lang w:bidi="zh-CN"/>
              </w:rPr>
              <w:t>在甘肃、贵州等地</w:t>
            </w:r>
            <w:r>
              <w:rPr>
                <w:rFonts w:hint="eastAsia" w:ascii="宋体" w:hAnsi="宋体" w:eastAsia="宋体" w:cs="宋体"/>
                <w:sz w:val="24"/>
                <w:szCs w:val="22"/>
                <w:lang w:eastAsia="zh-CN" w:bidi="zh-CN"/>
              </w:rPr>
              <w:t>中标</w:t>
            </w:r>
            <w:r>
              <w:rPr>
                <w:rFonts w:hint="eastAsia" w:ascii="宋体" w:hAnsi="宋体" w:eastAsia="宋体" w:cs="宋体"/>
                <w:sz w:val="24"/>
                <w:szCs w:val="22"/>
                <w:lang w:bidi="zh-CN"/>
              </w:rPr>
              <w:t>了矿山建设项目订单</w:t>
            </w:r>
            <w:r>
              <w:rPr>
                <w:rFonts w:hint="eastAsia" w:ascii="宋体" w:hAnsi="宋体" w:eastAsia="宋体" w:cs="宋体"/>
                <w:sz w:val="24"/>
                <w:szCs w:val="22"/>
                <w:lang w:eastAsia="zh-CN" w:bidi="zh-CN"/>
              </w:rPr>
              <w:t>，</w:t>
            </w:r>
            <w:r>
              <w:rPr>
                <w:rFonts w:hint="eastAsia" w:ascii="宋体" w:hAnsi="宋体" w:eastAsia="宋体" w:cs="宋体"/>
                <w:sz w:val="24"/>
                <w:szCs w:val="22"/>
                <w:lang w:bidi="zh-CN"/>
              </w:rPr>
              <w:t>在海外中标了应用于西欧、东南亚和中东区域铁路、地铁、高速公路等建设项目订单</w:t>
            </w:r>
            <w:r>
              <w:rPr>
                <w:rFonts w:hint="eastAsia" w:ascii="宋体" w:hAnsi="宋体" w:eastAsia="宋体" w:cs="宋体"/>
                <w:sz w:val="24"/>
                <w:szCs w:val="22"/>
                <w:lang w:eastAsia="zh-CN" w:bidi="zh-CN"/>
              </w:rPr>
              <w:t>，</w:t>
            </w:r>
            <w:r>
              <w:rPr>
                <w:rFonts w:hint="eastAsia" w:ascii="宋体" w:hAnsi="宋体" w:eastAsia="宋体" w:cs="宋体"/>
                <w:sz w:val="24"/>
                <w:szCs w:val="22"/>
                <w:lang w:bidi="zh-CN"/>
              </w:rPr>
              <w:t>在城轨、铁路、水利、抽水蓄能、矿山等各领域持续保持领先优势</w:t>
            </w:r>
            <w:r>
              <w:rPr>
                <w:rFonts w:hint="eastAsia" w:ascii="宋体" w:hAnsi="宋体" w:eastAsia="宋体" w:cs="宋体"/>
                <w:sz w:val="24"/>
                <w:szCs w:val="22"/>
                <w:lang w:val="en-US" w:eastAsia="zh-CN" w:bidi="zh-CN"/>
              </w:rPr>
              <w:t>。</w:t>
            </w:r>
          </w:p>
          <w:p>
            <w:pPr>
              <w:widowControl/>
              <w:numPr>
                <w:ilvl w:val="255"/>
                <w:numId w:val="0"/>
              </w:numPr>
              <w:spacing w:beforeAutospacing="0" w:afterAutospacing="0" w:line="380" w:lineRule="exact"/>
              <w:ind w:firstLine="480" w:firstLineChars="200"/>
              <w:jc w:val="left"/>
              <w:rPr>
                <w:rFonts w:hint="eastAsia" w:ascii="宋体" w:hAnsi="宋体" w:eastAsia="宋体" w:cs="宋体"/>
                <w:sz w:val="24"/>
                <w:szCs w:val="22"/>
                <w:lang w:val="en-US" w:bidi="zh-CN"/>
              </w:rPr>
            </w:pPr>
          </w:p>
          <w:p>
            <w:pPr>
              <w:widowControl/>
              <w:numPr>
                <w:ilvl w:val="255"/>
                <w:numId w:val="0"/>
              </w:numPr>
              <w:spacing w:beforeAutospacing="0" w:afterAutospacing="0" w:line="380" w:lineRule="exact"/>
              <w:ind w:firstLine="482" w:firstLineChars="200"/>
              <w:jc w:val="left"/>
              <w:rPr>
                <w:rFonts w:hint="eastAsia" w:ascii="宋体" w:hAnsi="宋体" w:eastAsia="宋体" w:cs="宋体"/>
                <w:b/>
                <w:bCs/>
                <w:sz w:val="24"/>
                <w:szCs w:val="22"/>
                <w:lang w:bidi="zh-CN"/>
              </w:rPr>
            </w:pPr>
            <w:r>
              <w:rPr>
                <w:rFonts w:hint="eastAsia" w:ascii="宋体" w:hAnsi="宋体" w:eastAsia="宋体" w:cs="宋体"/>
                <w:b/>
                <w:bCs/>
                <w:sz w:val="24"/>
                <w:szCs w:val="22"/>
                <w:lang w:val="en-US" w:bidi="zh-CN"/>
              </w:rPr>
              <w:t>2.</w:t>
            </w:r>
            <w:r>
              <w:rPr>
                <w:rFonts w:hint="eastAsia" w:ascii="宋体" w:hAnsi="宋体" w:eastAsia="宋体" w:cs="宋体"/>
                <w:b/>
                <w:bCs/>
                <w:sz w:val="24"/>
                <w:szCs w:val="22"/>
                <w:lang w:bidi="zh-CN"/>
              </w:rPr>
              <w:t>公司隧道掘进机产品的技术优势。</w:t>
            </w:r>
          </w:p>
          <w:p>
            <w:pPr>
              <w:widowControl/>
              <w:numPr>
                <w:ilvl w:val="255"/>
                <w:numId w:val="0"/>
              </w:numPr>
              <w:spacing w:beforeAutospacing="0" w:afterAutospacing="0" w:line="380" w:lineRule="exact"/>
              <w:ind w:firstLine="480" w:firstLineChars="200"/>
              <w:jc w:val="left"/>
              <w:rPr>
                <w:rFonts w:hint="eastAsia" w:ascii="宋体" w:hAnsi="宋体" w:eastAsia="宋体" w:cs="宋体"/>
                <w:sz w:val="24"/>
                <w:szCs w:val="22"/>
                <w:lang w:bidi="zh-CN"/>
              </w:rPr>
            </w:pPr>
            <w:r>
              <w:rPr>
                <w:rFonts w:hint="eastAsia" w:ascii="宋体" w:hAnsi="宋体" w:eastAsia="宋体" w:cs="宋体"/>
                <w:sz w:val="24"/>
                <w:szCs w:val="22"/>
                <w:lang w:bidi="zh-CN"/>
              </w:rPr>
              <w:t>答：公司作为中国盾构机行业的开拓者和领军者，在实现隧道掘进机产销量连续十一年国内第一、连续六年世界第一的同时，不断推动我国隧道掘进机产品的自主化和智能化步伐，是业内“最懂施工的装备制造商”和“最会制造的综合服务商”，2017年公司所属主营全断面隧道掘进机的中铁装备被工信部认定为制造业单项冠军示范企业。主要技术优势方面：一是具备直径2-18米隧道掘进机研发制造能力，并逐渐向微型化和超大型化方向扩展，公司整机技术实现了多个国内乃至世界之最；二是具备研发、制造、再制造、工程服务、配套产品等全产业链环节，可为客户提供多样化、成套化和智能化的隧道施工装备及全方位的技术支持；三是关键技术不断实现创新突破，“卡脖子”技术成果持续巩固，自主创新水平不断提升，渣土改良技术、泥水盾构承压能力、常压换刀技术与补偿式高承压技术、刀具材料和工艺技术均实现了突破，特别是公司联合研发的核心零部件主轴承已经实现成功应用；四是智能化水平不断提升，自主开发了刀具状态智能监测与诊断技术、开挖仓可视化监控系统等，目前正致力于开发智能掘进系统，逐步构建盾构掘进过程信息化智能化整体技术架构；五是衍生机型逐渐增多，在常规掘进机技术基础之上，逐渐衍生出了多种模式的掘进机，包括土压-泥水双模式盾构机、土压-TBM双模盾构、泥水-敞开双模TBM等产品，提升了掘进机地质适应能力。</w:t>
            </w:r>
          </w:p>
          <w:p>
            <w:pPr>
              <w:widowControl/>
              <w:numPr>
                <w:ilvl w:val="255"/>
                <w:numId w:val="0"/>
              </w:numPr>
              <w:spacing w:beforeAutospacing="0" w:afterAutospacing="0" w:line="380" w:lineRule="exact"/>
              <w:ind w:firstLine="480" w:firstLineChars="200"/>
              <w:jc w:val="left"/>
              <w:rPr>
                <w:rFonts w:hint="eastAsia" w:ascii="宋体" w:hAnsi="宋体" w:eastAsia="宋体" w:cs="宋体"/>
                <w:sz w:val="24"/>
                <w:szCs w:val="22"/>
                <w:lang w:val="en-US" w:bidi="zh-CN"/>
              </w:rPr>
            </w:pPr>
          </w:p>
          <w:p>
            <w:pPr>
              <w:widowControl/>
              <w:numPr>
                <w:ilvl w:val="255"/>
                <w:numId w:val="0"/>
              </w:numPr>
              <w:spacing w:beforeAutospacing="0" w:afterAutospacing="0" w:line="380" w:lineRule="exact"/>
              <w:ind w:firstLine="482" w:firstLineChars="200"/>
              <w:jc w:val="left"/>
              <w:rPr>
                <w:rFonts w:hint="eastAsia" w:ascii="宋体" w:hAnsi="宋体" w:eastAsia="宋体" w:cs="宋体"/>
                <w:b/>
                <w:bCs/>
                <w:sz w:val="24"/>
                <w:szCs w:val="22"/>
                <w:lang w:val="en-US" w:bidi="zh-CN"/>
              </w:rPr>
            </w:pPr>
            <w:r>
              <w:rPr>
                <w:rFonts w:hint="eastAsia" w:ascii="宋体" w:hAnsi="宋体" w:eastAsia="宋体" w:cs="宋体"/>
                <w:b/>
                <w:bCs/>
                <w:sz w:val="24"/>
                <w:szCs w:val="22"/>
                <w:lang w:val="en-US" w:bidi="zh-CN"/>
              </w:rPr>
              <w:t>3.公司在地下空间开发领域市场的进展和未来空间。</w:t>
            </w:r>
          </w:p>
          <w:p>
            <w:pPr>
              <w:widowControl/>
              <w:numPr>
                <w:ilvl w:val="255"/>
                <w:numId w:val="0"/>
              </w:numPr>
              <w:spacing w:beforeAutospacing="0" w:afterAutospacing="0" w:line="380" w:lineRule="exact"/>
              <w:ind w:firstLine="480" w:firstLineChars="200"/>
              <w:jc w:val="left"/>
              <w:rPr>
                <w:rFonts w:hint="eastAsia" w:ascii="宋体" w:hAnsi="宋体" w:eastAsia="宋体" w:cs="宋体"/>
                <w:sz w:val="24"/>
                <w:szCs w:val="22"/>
                <w:lang w:val="en-US" w:bidi="zh-CN"/>
              </w:rPr>
            </w:pPr>
            <w:r>
              <w:rPr>
                <w:rFonts w:hint="eastAsia" w:ascii="宋体" w:hAnsi="宋体" w:eastAsia="宋体" w:cs="宋体"/>
                <w:sz w:val="24"/>
                <w:szCs w:val="22"/>
                <w:lang w:val="en-US" w:bidi="zh-CN"/>
              </w:rPr>
              <w:t>答：随着</w:t>
            </w:r>
            <w:r>
              <w:rPr>
                <w:rFonts w:hint="eastAsia" w:ascii="宋体" w:hAnsi="宋体" w:eastAsia="宋体" w:cs="宋体"/>
                <w:sz w:val="24"/>
                <w:szCs w:val="22"/>
                <w:lang w:bidi="zh-CN"/>
              </w:rPr>
              <w:t>城市建设</w:t>
            </w:r>
            <w:r>
              <w:rPr>
                <w:rFonts w:hint="eastAsia" w:ascii="宋体" w:hAnsi="宋体" w:eastAsia="宋体" w:cs="宋体"/>
                <w:sz w:val="24"/>
                <w:szCs w:val="22"/>
                <w:lang w:eastAsia="zh-CN" w:bidi="zh-CN"/>
              </w:rPr>
              <w:t>对</w:t>
            </w:r>
            <w:r>
              <w:rPr>
                <w:rFonts w:hint="eastAsia" w:ascii="宋体" w:hAnsi="宋体" w:eastAsia="宋体" w:cs="宋体"/>
                <w:sz w:val="24"/>
                <w:szCs w:val="22"/>
                <w:lang w:bidi="zh-CN"/>
              </w:rPr>
              <w:t>地下空间开发的需求提升，中铁工业作为我国盾构机行业的开拓者和领军者，多年来积极布局并致力于应用于地下空间开发的矩形盾构技术研发，实现了在矩形盾构领域的国际领先地位，尤其是在超大断面矩形盾构领域优势更加明显，已获得相关授权国家发明专利38项，实用新型专利超过50项，牵头制定国家标准2项，获得国家科学技术进步二等奖等省部级以上重大科技奖励6项。在不断推动装备技术提升的同时，公司将装备制造与工法推广高度融合，推动形成“绿色、环保、安全、高效”地下空间开发新模式。2017年5月，公司使用自主研制的组合式矩形盾构建成了我国首个采用盾构法施工的地下停车场，开创了矩形盾构应用于地下停车场施工先例。</w:t>
            </w:r>
            <w:r>
              <w:rPr>
                <w:rFonts w:hint="eastAsia" w:ascii="宋体" w:hAnsi="宋体" w:eastAsia="宋体" w:cs="宋体"/>
                <w:sz w:val="24"/>
                <w:szCs w:val="22"/>
                <w:lang w:val="en-US" w:bidi="zh-CN"/>
              </w:rPr>
              <w:t>2023年1月，公司</w:t>
            </w:r>
            <w:r>
              <w:rPr>
                <w:rFonts w:hint="eastAsia" w:ascii="宋体" w:hAnsi="宋体" w:eastAsia="宋体" w:cs="宋体"/>
                <w:sz w:val="24"/>
                <w:szCs w:val="22"/>
                <w:lang w:bidi="zh-CN"/>
              </w:rPr>
              <w:t>研制的世界首台硬岩泥水平衡顶盾机“中铁1268 号”下线，首次创新采用“顶管+盾构”的设计理念，有效满足了城市地下管网建设中非开挖、小直径、长距离、曲线顶进等特殊需求，为未来我国海绵城市、城市更新改造等建设工程提供了极有价值的借鉴与解决思路；2023年4月，公司研制的世界最大断面组合式矩形盾构“大禹·掘进号”成功应用于深圳地铁12号线二期沙三站项目建设，首次将超大断面组合式矩形盾构引入地铁车站建设领域，形成地铁车站新型暗挖技术。预计随着城市下穿隧道、地铁出入口、地下停车场、综合管廊</w:t>
            </w:r>
            <w:r>
              <w:rPr>
                <w:rFonts w:hint="eastAsia" w:ascii="宋体" w:hAnsi="宋体" w:eastAsia="宋体" w:cs="宋体"/>
                <w:sz w:val="24"/>
                <w:szCs w:val="22"/>
                <w:lang w:eastAsia="zh-CN" w:bidi="zh-CN"/>
              </w:rPr>
              <w:t>等地下空间开发领域需求的提升，公司产品在</w:t>
            </w:r>
            <w:r>
              <w:rPr>
                <w:rFonts w:hint="eastAsia" w:ascii="宋体" w:hAnsi="宋体" w:eastAsia="宋体" w:cs="宋体"/>
                <w:sz w:val="24"/>
                <w:szCs w:val="22"/>
                <w:lang w:val="en-US" w:bidi="zh-CN"/>
              </w:rPr>
              <w:t>地下空间开发领域将得到更多应用。</w:t>
            </w:r>
          </w:p>
          <w:p>
            <w:pPr>
              <w:widowControl/>
              <w:numPr>
                <w:ilvl w:val="255"/>
                <w:numId w:val="0"/>
              </w:numPr>
              <w:spacing w:beforeAutospacing="0" w:afterAutospacing="0" w:line="380" w:lineRule="exact"/>
              <w:ind w:firstLine="482" w:firstLineChars="200"/>
              <w:jc w:val="left"/>
              <w:rPr>
                <w:rFonts w:hint="eastAsia" w:ascii="宋体" w:hAnsi="宋体" w:eastAsia="宋体" w:cs="宋体"/>
                <w:b/>
                <w:bCs/>
                <w:sz w:val="24"/>
                <w:szCs w:val="22"/>
                <w:lang w:val="en-US" w:eastAsia="zh-CN" w:bidi="zh-CN"/>
              </w:rPr>
            </w:pPr>
          </w:p>
          <w:p>
            <w:pPr>
              <w:keepNext w:val="0"/>
              <w:keepLines w:val="0"/>
              <w:pageBreakBefore w:val="0"/>
              <w:widowControl/>
              <w:numPr>
                <w:ilvl w:val="255"/>
                <w:numId w:val="0"/>
              </w:numPr>
              <w:kinsoku/>
              <w:wordWrap/>
              <w:overflowPunct/>
              <w:topLinePunct w:val="0"/>
              <w:autoSpaceDE/>
              <w:autoSpaceDN/>
              <w:bidi w:val="0"/>
              <w:adjustRightInd/>
              <w:snapToGrid/>
              <w:spacing w:beforeAutospacing="0" w:afterAutospacing="0" w:line="380" w:lineRule="exact"/>
              <w:ind w:firstLine="482" w:firstLineChars="200"/>
              <w:jc w:val="left"/>
              <w:textAlignment w:val="auto"/>
              <w:rPr>
                <w:rFonts w:hint="eastAsia" w:ascii="宋体" w:hAnsi="宋体" w:eastAsia="宋体" w:cs="宋体"/>
                <w:b/>
                <w:bCs/>
                <w:sz w:val="24"/>
                <w:szCs w:val="22"/>
                <w:lang w:val="en-US" w:bidi="zh-CN"/>
              </w:rPr>
            </w:pPr>
            <w:r>
              <w:rPr>
                <w:rFonts w:hint="eastAsia" w:ascii="宋体" w:hAnsi="宋体" w:eastAsia="宋体" w:cs="宋体"/>
                <w:b/>
                <w:bCs/>
                <w:sz w:val="24"/>
                <w:szCs w:val="22"/>
                <w:lang w:val="en-US" w:eastAsia="zh-CN" w:bidi="zh-CN"/>
              </w:rPr>
              <w:t>4.</w:t>
            </w:r>
            <w:r>
              <w:rPr>
                <w:rFonts w:hint="default" w:ascii="宋体" w:hAnsi="宋体" w:eastAsia="宋体" w:cs="宋体"/>
                <w:b/>
                <w:bCs/>
                <w:sz w:val="24"/>
                <w:szCs w:val="22"/>
                <w:lang w:val="en-US" w:bidi="zh-CN"/>
              </w:rPr>
              <w:t>公司近年在智能装备制造方面有哪些新投入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80" w:lineRule="exact"/>
              <w:ind w:left="0" w:right="0" w:firstLine="480" w:firstLineChars="200"/>
              <w:textAlignment w:val="auto"/>
              <w:rPr>
                <w:rFonts w:hint="eastAsia" w:ascii="宋体" w:hAnsi="宋体" w:eastAsia="宋体" w:cs="宋体"/>
                <w:kern w:val="2"/>
                <w:sz w:val="24"/>
                <w:szCs w:val="22"/>
                <w:lang w:val="en-US" w:eastAsia="zh-CN" w:bidi="zh-CN"/>
              </w:rPr>
            </w:pPr>
            <w:r>
              <w:rPr>
                <w:rFonts w:hint="eastAsia" w:ascii="宋体" w:hAnsi="宋体" w:eastAsia="宋体" w:cs="宋体"/>
                <w:kern w:val="2"/>
                <w:sz w:val="24"/>
                <w:szCs w:val="22"/>
                <w:lang w:val="en-US" w:eastAsia="zh-CN" w:bidi="zh-CN"/>
              </w:rPr>
              <w:t>答：</w:t>
            </w:r>
            <w:r>
              <w:rPr>
                <w:rFonts w:hint="default" w:ascii="宋体" w:hAnsi="宋体" w:eastAsia="宋体" w:cs="宋体"/>
                <w:kern w:val="2"/>
                <w:sz w:val="24"/>
                <w:szCs w:val="22"/>
                <w:lang w:val="en-US" w:eastAsia="zh-CN" w:bidi="zh-CN"/>
              </w:rPr>
              <w:t>近年来，中铁工业依托数智升级工程加快对生产单元/产线进行自动化、数字化、智能化改造提高两化融合（信息化+工业化）水平，隧道掘进机、钢桥梁、道岔、工程施工装备、隧道配套5个领域7家单位的智能制造信息系统稳定运行。在隧道施工装备及相关服务业务领域，建成了智能化高端装备产业园，建立并进一步完善产业发展基础能力和核心部件自制能力，大幅提升了隧道掘进机智能化制造水平和工艺技术水平；“产品数字研发与设计”项目已构建数字化协同研发体系，成功入选2022年度国家智能制造优秀场景。在工程施工机械及相关服务业务领域，建立了数字化智慧生产管理平台，打通了生产现场各种生产要素信息桥梁，被认定为国家级“绿色工厂”。在道岔业务领域，建成的重载高锰钢辙叉生产基地达到国内一流、世界领先水平，实现了全工序链的智能制造。在钢结构制造与安装业务领域，在国内率先建成了首</w:t>
            </w:r>
            <w:r>
              <w:rPr>
                <w:rFonts w:hint="eastAsia" w:cs="宋体"/>
                <w:kern w:val="2"/>
                <w:sz w:val="24"/>
                <w:szCs w:val="22"/>
                <w:lang w:val="en-US" w:eastAsia="zh-CN" w:bidi="zh-CN"/>
              </w:rPr>
              <w:t>条</w:t>
            </w:r>
            <w:r>
              <w:rPr>
                <w:rFonts w:hint="default" w:ascii="宋体" w:hAnsi="宋体" w:eastAsia="宋体" w:cs="宋体"/>
                <w:kern w:val="2"/>
                <w:sz w:val="24"/>
                <w:szCs w:val="22"/>
                <w:lang w:val="en-US" w:eastAsia="zh-CN" w:bidi="zh-CN"/>
              </w:rPr>
              <w:t>钢结构智能生产示范线，搭建了国内首个钢桁梁数字化建造平台，完成了钢结构智能拼接板检测系统开发，可实现制造车间生产过程的自动化、信息化、网络化、数字化的管理与控制。截至2023年6月末，公司累计荣获信息化类省部级（含国家认可的社会力量奖）荣誉37项，获得省部级认定的信息化示范试点项目14项，承接国家工业和信息化部、科学技术部等信息化项目11项。</w:t>
            </w:r>
            <w:r>
              <w:rPr>
                <w:rFonts w:hint="eastAsia" w:cs="宋体"/>
                <w:kern w:val="2"/>
                <w:sz w:val="24"/>
                <w:szCs w:val="22"/>
                <w:lang w:val="en-US" w:eastAsia="zh-CN" w:bidi="zh-CN"/>
              </w:rPr>
              <w:t>2017年以来，公司累计投入研发费用超70亿元，年复合增长率近20%。</w:t>
            </w:r>
            <w:r>
              <w:rPr>
                <w:rFonts w:hint="default" w:ascii="宋体" w:hAnsi="宋体" w:eastAsia="宋体" w:cs="宋体"/>
                <w:kern w:val="2"/>
                <w:sz w:val="24"/>
                <w:szCs w:val="22"/>
                <w:lang w:val="en-US" w:eastAsia="zh-CN" w:bidi="zh-CN"/>
              </w:rPr>
              <w:t>未来，中铁工业将继续坚持创新发展，持续用数字化赋能智造，打造国内领先、世界一流的生产基地，为盾构机、铁路道岔、钢桥梁、工程机械制造行业数字化提供最佳解决方案。</w:t>
            </w:r>
          </w:p>
          <w:p>
            <w:pPr>
              <w:widowControl/>
              <w:numPr>
                <w:ilvl w:val="255"/>
                <w:numId w:val="0"/>
              </w:numPr>
              <w:spacing w:beforeAutospacing="0" w:afterAutospacing="0" w:line="380" w:lineRule="exact"/>
              <w:ind w:firstLine="482" w:firstLineChars="200"/>
              <w:jc w:val="left"/>
              <w:rPr>
                <w:rFonts w:hint="eastAsia" w:ascii="宋体" w:hAnsi="宋体" w:eastAsia="宋体" w:cs="宋体"/>
                <w:b/>
                <w:bCs/>
                <w:sz w:val="24"/>
                <w:szCs w:val="22"/>
                <w:lang w:val="en-US" w:bidi="zh-CN"/>
              </w:rPr>
            </w:pPr>
          </w:p>
          <w:p>
            <w:pPr>
              <w:widowControl/>
              <w:numPr>
                <w:ilvl w:val="255"/>
                <w:numId w:val="0"/>
              </w:numPr>
              <w:spacing w:beforeAutospacing="0" w:afterAutospacing="0" w:line="380" w:lineRule="exact"/>
              <w:ind w:firstLine="482" w:firstLineChars="200"/>
              <w:jc w:val="left"/>
              <w:rPr>
                <w:rFonts w:hint="eastAsia" w:ascii="宋体" w:hAnsi="宋体" w:eastAsia="宋体" w:cs="宋体"/>
                <w:b/>
                <w:bCs/>
                <w:sz w:val="24"/>
                <w:szCs w:val="22"/>
                <w:lang w:val="en-US" w:bidi="zh-CN"/>
              </w:rPr>
            </w:pPr>
            <w:r>
              <w:rPr>
                <w:rFonts w:hint="eastAsia" w:ascii="宋体" w:hAnsi="宋体" w:eastAsia="宋体" w:cs="宋体"/>
                <w:b/>
                <w:bCs/>
                <w:sz w:val="24"/>
                <w:szCs w:val="22"/>
                <w:lang w:val="en-US" w:bidi="zh-CN"/>
              </w:rPr>
              <w:t>5.公司在</w:t>
            </w:r>
            <w:r>
              <w:rPr>
                <w:rFonts w:hint="eastAsia" w:ascii="宋体" w:hAnsi="宋体" w:eastAsia="宋体" w:cs="宋体"/>
                <w:b/>
                <w:bCs/>
                <w:sz w:val="24"/>
                <w:szCs w:val="22"/>
                <w:lang w:bidi="zh-CN"/>
              </w:rPr>
              <w:t>海外市场的业务拓展情况。</w:t>
            </w:r>
          </w:p>
          <w:p>
            <w:pPr>
              <w:widowControl/>
              <w:spacing w:beforeAutospacing="0" w:afterAutospacing="0" w:line="360" w:lineRule="exact"/>
              <w:ind w:firstLine="480" w:firstLineChars="200"/>
              <w:rPr>
                <w:rFonts w:hint="eastAsia" w:ascii="宋体" w:hAnsi="宋体" w:eastAsia="宋体" w:cs="宋体"/>
                <w:sz w:val="24"/>
                <w:szCs w:val="22"/>
                <w:lang w:val="en-US" w:eastAsia="zh-CN" w:bidi="zh-CN"/>
              </w:rPr>
            </w:pPr>
            <w:r>
              <w:rPr>
                <w:rFonts w:hint="eastAsia" w:ascii="宋体" w:hAnsi="宋体" w:eastAsia="宋体" w:cs="宋体"/>
                <w:sz w:val="24"/>
                <w:szCs w:val="22"/>
                <w:lang w:bidi="zh-CN"/>
              </w:rPr>
              <w:t>答：公司作为全球领先的地下工程装备和轨道交通装备大规模定制化企业，生产的盾构机/TBM、铁路道岔、钢桥梁、工程机械等产品均达到了世界领先水平，产品和服务已遍及全球六大洲40多个国家和地区</w:t>
            </w:r>
            <w:r>
              <w:rPr>
                <w:rFonts w:hint="eastAsia" w:ascii="宋体" w:hAnsi="宋体" w:eastAsia="宋体" w:cs="宋体"/>
                <w:sz w:val="24"/>
                <w:szCs w:val="22"/>
                <w:lang w:eastAsia="zh-CN" w:bidi="zh-CN"/>
              </w:rPr>
              <w:t>，尤其是</w:t>
            </w:r>
            <w:r>
              <w:rPr>
                <w:rFonts w:hint="eastAsia" w:ascii="宋体" w:hAnsi="宋体" w:eastAsia="宋体" w:cs="宋体"/>
                <w:sz w:val="24"/>
                <w:szCs w:val="22"/>
                <w:lang w:bidi="zh-CN"/>
              </w:rPr>
              <w:t>作为“中国名片”的盾构机/TBM产销量连续6年世界第一，是我国出口海外盾构机/TBM数量最多、市场占有率最高、品牌知名度最强的企业；</w:t>
            </w:r>
            <w:r>
              <w:rPr>
                <w:rFonts w:hint="eastAsia" w:ascii="宋体" w:hAnsi="宋体" w:eastAsia="宋体" w:cs="宋体"/>
                <w:sz w:val="24"/>
                <w:szCs w:val="22"/>
                <w:lang w:val="en-US" w:bidi="zh-CN"/>
              </w:rPr>
              <w:t>2023年上半年</w:t>
            </w:r>
            <w:r>
              <w:rPr>
                <w:rFonts w:hint="eastAsia" w:ascii="宋体" w:hAnsi="宋体" w:eastAsia="宋体" w:cs="宋体"/>
                <w:sz w:val="24"/>
                <w:szCs w:val="22"/>
                <w:lang w:bidi="zh-CN"/>
              </w:rPr>
              <w:t>，公司</w:t>
            </w:r>
            <w:r>
              <w:rPr>
                <w:rFonts w:hint="eastAsia" w:ascii="宋体" w:hAnsi="宋体" w:eastAsia="宋体" w:cs="宋体"/>
                <w:sz w:val="24"/>
                <w:szCs w:val="22"/>
                <w:lang w:eastAsia="zh-CN" w:bidi="zh-CN"/>
              </w:rPr>
              <w:t>海外新签合同额完成</w:t>
            </w:r>
            <w:r>
              <w:rPr>
                <w:rFonts w:hint="eastAsia" w:ascii="宋体" w:hAnsi="宋体" w:eastAsia="宋体" w:cs="宋体"/>
                <w:sz w:val="24"/>
                <w:szCs w:val="22"/>
                <w:lang w:val="en-US" w:eastAsia="zh-CN" w:bidi="zh-CN"/>
              </w:rPr>
              <w:t>16.31亿元，同比增长53.78%，其中，隧道施工装备及相关服务业务</w:t>
            </w:r>
            <w:r>
              <w:rPr>
                <w:rFonts w:hint="eastAsia" w:ascii="宋体" w:hAnsi="宋体" w:eastAsia="宋体" w:cs="宋体"/>
                <w:sz w:val="24"/>
                <w:szCs w:val="22"/>
                <w:lang w:eastAsia="zh-CN" w:bidi="zh-CN"/>
              </w:rPr>
              <w:t>新签合同额</w:t>
            </w:r>
            <w:r>
              <w:rPr>
                <w:rFonts w:hint="eastAsia" w:ascii="宋体" w:hAnsi="宋体" w:eastAsia="宋体" w:cs="宋体"/>
                <w:sz w:val="24"/>
                <w:szCs w:val="22"/>
                <w:lang w:val="en-US" w:eastAsia="zh-CN" w:bidi="zh-CN"/>
              </w:rPr>
              <w:t>完成8.54亿元，同比增长51.25%；</w:t>
            </w:r>
            <w:r>
              <w:rPr>
                <w:rFonts w:hint="eastAsia" w:ascii="宋体" w:hAnsi="宋体" w:eastAsia="宋体" w:cs="宋体"/>
                <w:sz w:val="24"/>
                <w:szCs w:val="22"/>
                <w:lang w:bidi="zh-CN"/>
              </w:rPr>
              <w:t>在国外中标了城市轨道交通、高速铁路、高速公路等大直径</w:t>
            </w:r>
            <w:r>
              <w:rPr>
                <w:rFonts w:hint="eastAsia" w:ascii="宋体" w:hAnsi="宋体" w:eastAsia="宋体" w:cs="宋体"/>
                <w:sz w:val="24"/>
                <w:szCs w:val="22"/>
                <w:lang w:eastAsia="zh-CN" w:bidi="zh-CN"/>
              </w:rPr>
              <w:t>盾构机</w:t>
            </w:r>
            <w:r>
              <w:rPr>
                <w:rFonts w:hint="eastAsia" w:ascii="宋体" w:hAnsi="宋体" w:eastAsia="宋体" w:cs="宋体"/>
                <w:sz w:val="24"/>
                <w:szCs w:val="22"/>
                <w:lang w:bidi="zh-CN"/>
              </w:rPr>
              <w:t>订单</w:t>
            </w:r>
            <w:r>
              <w:rPr>
                <w:rFonts w:hint="eastAsia" w:ascii="宋体" w:hAnsi="宋体" w:eastAsia="宋体" w:cs="宋体"/>
                <w:sz w:val="24"/>
                <w:szCs w:val="22"/>
                <w:lang w:val="en-US" w:eastAsia="zh-CN" w:bidi="zh-CN"/>
              </w:rPr>
              <w:t>，在</w:t>
            </w:r>
            <w:r>
              <w:rPr>
                <w:rFonts w:hint="eastAsia" w:ascii="宋体" w:hAnsi="宋体" w:eastAsia="宋体"/>
                <w:sz w:val="24"/>
                <w:szCs w:val="24"/>
              </w:rPr>
              <w:t>北美、北非</w:t>
            </w:r>
            <w:r>
              <w:rPr>
                <w:rFonts w:hint="eastAsia" w:ascii="宋体" w:hAnsi="宋体" w:eastAsia="宋体"/>
                <w:sz w:val="24"/>
                <w:szCs w:val="24"/>
                <w:lang w:eastAsia="zh-CN"/>
              </w:rPr>
              <w:t>、东南亚等</w:t>
            </w:r>
            <w:r>
              <w:rPr>
                <w:rFonts w:hint="eastAsia" w:ascii="宋体" w:hAnsi="宋体" w:eastAsia="宋体"/>
                <w:sz w:val="24"/>
                <w:szCs w:val="24"/>
              </w:rPr>
              <w:t>区域承揽了道岔订单</w:t>
            </w:r>
            <w:r>
              <w:rPr>
                <w:rFonts w:hint="eastAsia" w:ascii="宋体" w:hAnsi="宋体" w:eastAsia="宋体"/>
                <w:sz w:val="24"/>
                <w:szCs w:val="24"/>
                <w:lang w:eastAsia="zh-CN"/>
              </w:rPr>
              <w:t>。</w:t>
            </w:r>
          </w:p>
          <w:p>
            <w:pPr>
              <w:widowControl/>
              <w:numPr>
                <w:ilvl w:val="255"/>
                <w:numId w:val="0"/>
              </w:numPr>
              <w:spacing w:beforeAutospacing="0" w:afterAutospacing="0" w:line="380" w:lineRule="exact"/>
              <w:ind w:firstLine="480" w:firstLineChars="200"/>
              <w:jc w:val="left"/>
              <w:rPr>
                <w:rFonts w:hint="default" w:ascii="宋体" w:hAnsi="宋体" w:eastAsia="宋体" w:cs="宋体"/>
                <w:sz w:val="24"/>
                <w:szCs w:val="22"/>
                <w:lang w:val="en-US" w:bidi="zh-CN"/>
              </w:rPr>
            </w:pPr>
            <w:r>
              <w:rPr>
                <w:rFonts w:hint="eastAsia" w:ascii="宋体" w:hAnsi="宋体" w:eastAsia="宋体" w:cs="宋体"/>
                <w:sz w:val="24"/>
                <w:szCs w:val="22"/>
                <w:lang w:bidi="zh-CN"/>
              </w:rPr>
              <w:t>未来，公司将在“一带一路”倡议背景下，积极实施国际化战略，密切关注和跟踪相关项目，持续加强海外市场拓展，推动中国高端装备更多地“走出去”。</w:t>
            </w:r>
          </w:p>
          <w:p>
            <w:pPr>
              <w:widowControl/>
              <w:numPr>
                <w:ilvl w:val="255"/>
                <w:numId w:val="0"/>
              </w:numPr>
              <w:spacing w:beforeAutospacing="0" w:afterAutospacing="0" w:line="380" w:lineRule="exact"/>
              <w:jc w:val="left"/>
              <w:rPr>
                <w:rFonts w:hint="eastAsia" w:ascii="宋体" w:hAnsi="宋体" w:eastAsia="宋体" w:cs="宋体"/>
                <w:sz w:val="24"/>
                <w:szCs w:val="22"/>
                <w:lang w:bidi="zh-CN"/>
              </w:rPr>
            </w:pPr>
          </w:p>
          <w:p>
            <w:pPr>
              <w:widowControl/>
              <w:numPr>
                <w:ilvl w:val="255"/>
                <w:numId w:val="0"/>
              </w:numPr>
              <w:spacing w:beforeAutospacing="0" w:afterAutospacing="0" w:line="380" w:lineRule="exact"/>
              <w:ind w:firstLine="480" w:firstLineChars="200"/>
              <w:jc w:val="left"/>
              <w:rPr>
                <w:rFonts w:hint="default" w:ascii="宋体" w:hAnsi="宋体" w:eastAsia="宋体" w:cs="宋体"/>
                <w:sz w:val="24"/>
                <w:szCs w:val="22"/>
                <w:lang w:val="en-US" w:bidi="zh-CN"/>
              </w:rPr>
            </w:pPr>
          </w:p>
          <w:p>
            <w:pPr>
              <w:widowControl/>
              <w:numPr>
                <w:ilvl w:val="255"/>
                <w:numId w:val="0"/>
              </w:numPr>
              <w:spacing w:beforeAutospacing="0" w:afterAutospacing="0" w:line="380" w:lineRule="exact"/>
              <w:ind w:firstLine="480" w:firstLineChars="200"/>
              <w:jc w:val="left"/>
              <w:rPr>
                <w:rFonts w:hint="eastAsia" w:ascii="宋体" w:hAnsi="宋体" w:eastAsia="宋体" w:cs="宋体"/>
                <w:sz w:val="24"/>
                <w:szCs w:val="22"/>
                <w:lang w:bidi="zh-CN"/>
              </w:rPr>
            </w:pPr>
          </w:p>
        </w:tc>
      </w:tr>
    </w:tbl>
    <w:p>
      <w:pPr>
        <w:rPr>
          <w:rFonts w:ascii="Calibri" w:hAnsi="Calibri" w:eastAsia="宋体" w:cs="Times New Roman"/>
        </w:rPr>
      </w:pPr>
    </w:p>
    <w:p>
      <w:pPr>
        <w:rPr>
          <w:rFonts w:ascii="Calibri" w:hAnsi="Calibri" w:eastAsia="宋体" w:cs="Times New Roman"/>
        </w:rPr>
      </w:pPr>
    </w:p>
    <w:p/>
    <w:p/>
    <w:sectPr>
      <w:pgSz w:w="11910" w:h="16840"/>
      <w:pgMar w:top="1420" w:right="1560" w:bottom="280" w:left="1680" w:header="720" w:footer="720" w:gutter="0"/>
      <w:cols w:space="720" w:num="1"/>
      <w:docGrid w:linePitch="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icrosoft JhengHei">
    <w:panose1 w:val="020B0604030504040204"/>
    <w:charset w:val="88"/>
    <w:family w:val="swiss"/>
    <w:pitch w:val="default"/>
    <w:sig w:usb0="00000087" w:usb1="28AF4000" w:usb2="00000016" w:usb3="00000000" w:csb0="00100009" w:csb1="00000000"/>
  </w:font>
  <w:font w:name="方正小标宋简体">
    <w:panose1 w:val="03000509000000000000"/>
    <w:charset w:val="86"/>
    <w:family w:val="script"/>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k0YWY5YWNiNDE5NmI3YTYwMGE1ZGJhY2M2ODQ0MjMifQ=="/>
  </w:docVars>
  <w:rsids>
    <w:rsidRoot w:val="00172A27"/>
    <w:rsid w:val="000D59AA"/>
    <w:rsid w:val="00B84CFF"/>
    <w:rsid w:val="00E56062"/>
    <w:rsid w:val="014075AF"/>
    <w:rsid w:val="01776618"/>
    <w:rsid w:val="0204347A"/>
    <w:rsid w:val="02146827"/>
    <w:rsid w:val="02746CB9"/>
    <w:rsid w:val="029A3351"/>
    <w:rsid w:val="03351957"/>
    <w:rsid w:val="03354BA9"/>
    <w:rsid w:val="036E1AFC"/>
    <w:rsid w:val="03D913C1"/>
    <w:rsid w:val="0400177C"/>
    <w:rsid w:val="04331757"/>
    <w:rsid w:val="049B5AE0"/>
    <w:rsid w:val="05053E22"/>
    <w:rsid w:val="052B37F3"/>
    <w:rsid w:val="05415D5C"/>
    <w:rsid w:val="054F28E5"/>
    <w:rsid w:val="058853EE"/>
    <w:rsid w:val="06491895"/>
    <w:rsid w:val="06C954F9"/>
    <w:rsid w:val="06E32BC5"/>
    <w:rsid w:val="074C0946"/>
    <w:rsid w:val="07683008"/>
    <w:rsid w:val="07C82502"/>
    <w:rsid w:val="08005EC1"/>
    <w:rsid w:val="09147BD1"/>
    <w:rsid w:val="092E7E14"/>
    <w:rsid w:val="09AC3382"/>
    <w:rsid w:val="0A101979"/>
    <w:rsid w:val="0A712513"/>
    <w:rsid w:val="0B585949"/>
    <w:rsid w:val="0B8056F1"/>
    <w:rsid w:val="0C0952FA"/>
    <w:rsid w:val="0D345C5A"/>
    <w:rsid w:val="0D9C2B47"/>
    <w:rsid w:val="0E1F5F8F"/>
    <w:rsid w:val="0E737D3F"/>
    <w:rsid w:val="0E7C1566"/>
    <w:rsid w:val="0EB5409C"/>
    <w:rsid w:val="0FCD0D0C"/>
    <w:rsid w:val="102E103F"/>
    <w:rsid w:val="103079EA"/>
    <w:rsid w:val="10657B41"/>
    <w:rsid w:val="107447F0"/>
    <w:rsid w:val="116E2D11"/>
    <w:rsid w:val="11ED2806"/>
    <w:rsid w:val="121427F4"/>
    <w:rsid w:val="12215160"/>
    <w:rsid w:val="123A23FE"/>
    <w:rsid w:val="12E26E04"/>
    <w:rsid w:val="136A034F"/>
    <w:rsid w:val="14836F8F"/>
    <w:rsid w:val="14A55986"/>
    <w:rsid w:val="14B4537C"/>
    <w:rsid w:val="15312600"/>
    <w:rsid w:val="15603B98"/>
    <w:rsid w:val="15FF2F49"/>
    <w:rsid w:val="16375667"/>
    <w:rsid w:val="16486D01"/>
    <w:rsid w:val="17236F1E"/>
    <w:rsid w:val="17BB35FC"/>
    <w:rsid w:val="18020E75"/>
    <w:rsid w:val="181A3976"/>
    <w:rsid w:val="182E6B59"/>
    <w:rsid w:val="18F750BC"/>
    <w:rsid w:val="19D33519"/>
    <w:rsid w:val="19ED57B3"/>
    <w:rsid w:val="1A573973"/>
    <w:rsid w:val="1A6A04AE"/>
    <w:rsid w:val="1A7F45B8"/>
    <w:rsid w:val="1B944F1D"/>
    <w:rsid w:val="1C142612"/>
    <w:rsid w:val="1C1F5442"/>
    <w:rsid w:val="1C213964"/>
    <w:rsid w:val="1CE53D01"/>
    <w:rsid w:val="1D0C271F"/>
    <w:rsid w:val="1E166F81"/>
    <w:rsid w:val="1E4F5FBC"/>
    <w:rsid w:val="1E700E0E"/>
    <w:rsid w:val="1EF74C1E"/>
    <w:rsid w:val="1EFA7E51"/>
    <w:rsid w:val="208E18AB"/>
    <w:rsid w:val="20B724FA"/>
    <w:rsid w:val="20CB1D8C"/>
    <w:rsid w:val="21134F15"/>
    <w:rsid w:val="21720A1F"/>
    <w:rsid w:val="2219319E"/>
    <w:rsid w:val="2292398D"/>
    <w:rsid w:val="23DD70FC"/>
    <w:rsid w:val="23E256F7"/>
    <w:rsid w:val="24445BEF"/>
    <w:rsid w:val="244E4F36"/>
    <w:rsid w:val="24896AB8"/>
    <w:rsid w:val="24D153E7"/>
    <w:rsid w:val="2513542C"/>
    <w:rsid w:val="25404272"/>
    <w:rsid w:val="25444D2D"/>
    <w:rsid w:val="25947FBF"/>
    <w:rsid w:val="267B643F"/>
    <w:rsid w:val="26C72527"/>
    <w:rsid w:val="27655E70"/>
    <w:rsid w:val="276F2CB5"/>
    <w:rsid w:val="27935EA3"/>
    <w:rsid w:val="283A6AB4"/>
    <w:rsid w:val="28706B56"/>
    <w:rsid w:val="28860ECC"/>
    <w:rsid w:val="28A148D5"/>
    <w:rsid w:val="291C069D"/>
    <w:rsid w:val="293C151E"/>
    <w:rsid w:val="297943AC"/>
    <w:rsid w:val="29856BE1"/>
    <w:rsid w:val="29A82D80"/>
    <w:rsid w:val="29E45531"/>
    <w:rsid w:val="2A9F3B8D"/>
    <w:rsid w:val="2AA57B1F"/>
    <w:rsid w:val="2B154DE9"/>
    <w:rsid w:val="2B1D177E"/>
    <w:rsid w:val="2B45013E"/>
    <w:rsid w:val="2CD97EAA"/>
    <w:rsid w:val="2D484E6F"/>
    <w:rsid w:val="2D7D7AA7"/>
    <w:rsid w:val="2E493757"/>
    <w:rsid w:val="2E7815C7"/>
    <w:rsid w:val="2EA46D31"/>
    <w:rsid w:val="2EB47CF0"/>
    <w:rsid w:val="2F4534B3"/>
    <w:rsid w:val="2F510246"/>
    <w:rsid w:val="2F564BAE"/>
    <w:rsid w:val="2FBF4E5A"/>
    <w:rsid w:val="2FE166F3"/>
    <w:rsid w:val="2FE311E2"/>
    <w:rsid w:val="30295AA3"/>
    <w:rsid w:val="30E4200A"/>
    <w:rsid w:val="311C3E37"/>
    <w:rsid w:val="3151318A"/>
    <w:rsid w:val="31936F51"/>
    <w:rsid w:val="319932AE"/>
    <w:rsid w:val="327B4792"/>
    <w:rsid w:val="327F2B88"/>
    <w:rsid w:val="32B50D97"/>
    <w:rsid w:val="32B6761A"/>
    <w:rsid w:val="331645B1"/>
    <w:rsid w:val="333431EA"/>
    <w:rsid w:val="33B51B2F"/>
    <w:rsid w:val="3440562E"/>
    <w:rsid w:val="347668DA"/>
    <w:rsid w:val="34D72E0D"/>
    <w:rsid w:val="34E473AF"/>
    <w:rsid w:val="34E672F2"/>
    <w:rsid w:val="35526158"/>
    <w:rsid w:val="357E2C89"/>
    <w:rsid w:val="358E6F01"/>
    <w:rsid w:val="35B255C8"/>
    <w:rsid w:val="371C5DA4"/>
    <w:rsid w:val="379609DC"/>
    <w:rsid w:val="37D80396"/>
    <w:rsid w:val="37F84B3F"/>
    <w:rsid w:val="37FE7526"/>
    <w:rsid w:val="38041E96"/>
    <w:rsid w:val="382D23F5"/>
    <w:rsid w:val="38F2029B"/>
    <w:rsid w:val="391138B2"/>
    <w:rsid w:val="3A0A0FC6"/>
    <w:rsid w:val="3A14549A"/>
    <w:rsid w:val="3A903116"/>
    <w:rsid w:val="3AA24C9F"/>
    <w:rsid w:val="3AFE1875"/>
    <w:rsid w:val="3B29585C"/>
    <w:rsid w:val="3B3549EE"/>
    <w:rsid w:val="3B60096D"/>
    <w:rsid w:val="3C163E60"/>
    <w:rsid w:val="3C5621E1"/>
    <w:rsid w:val="3CC53C2C"/>
    <w:rsid w:val="3CE912B4"/>
    <w:rsid w:val="3E0C3A82"/>
    <w:rsid w:val="3E0D3E5B"/>
    <w:rsid w:val="3E3825F1"/>
    <w:rsid w:val="3E8D1F15"/>
    <w:rsid w:val="3EC7168E"/>
    <w:rsid w:val="3EE447D9"/>
    <w:rsid w:val="3F47085D"/>
    <w:rsid w:val="3FDA2A51"/>
    <w:rsid w:val="40BF1ED5"/>
    <w:rsid w:val="40C95A74"/>
    <w:rsid w:val="40E24008"/>
    <w:rsid w:val="40F26B35"/>
    <w:rsid w:val="421537A4"/>
    <w:rsid w:val="424051C7"/>
    <w:rsid w:val="42452805"/>
    <w:rsid w:val="42567842"/>
    <w:rsid w:val="425A5222"/>
    <w:rsid w:val="427020C1"/>
    <w:rsid w:val="449A33FE"/>
    <w:rsid w:val="44A91919"/>
    <w:rsid w:val="4530130F"/>
    <w:rsid w:val="45B82DA0"/>
    <w:rsid w:val="460D258F"/>
    <w:rsid w:val="46611D24"/>
    <w:rsid w:val="46961585"/>
    <w:rsid w:val="46B16601"/>
    <w:rsid w:val="471B0185"/>
    <w:rsid w:val="478314B3"/>
    <w:rsid w:val="486F66C7"/>
    <w:rsid w:val="488562C7"/>
    <w:rsid w:val="48B021C6"/>
    <w:rsid w:val="48CC55B6"/>
    <w:rsid w:val="495E27E0"/>
    <w:rsid w:val="496635CC"/>
    <w:rsid w:val="49A57642"/>
    <w:rsid w:val="49B2014C"/>
    <w:rsid w:val="49EC2014"/>
    <w:rsid w:val="4A1F6D47"/>
    <w:rsid w:val="4A3E3505"/>
    <w:rsid w:val="4AB96E81"/>
    <w:rsid w:val="4B6058FF"/>
    <w:rsid w:val="4B7E10D3"/>
    <w:rsid w:val="4B8868F7"/>
    <w:rsid w:val="4BEA2C60"/>
    <w:rsid w:val="4C2C2C6D"/>
    <w:rsid w:val="4C95294D"/>
    <w:rsid w:val="4D7475CF"/>
    <w:rsid w:val="4DAB14EE"/>
    <w:rsid w:val="4DC872D1"/>
    <w:rsid w:val="4DCE2C5D"/>
    <w:rsid w:val="4DF80DB9"/>
    <w:rsid w:val="4E1354F7"/>
    <w:rsid w:val="4F1C169F"/>
    <w:rsid w:val="4F5A600F"/>
    <w:rsid w:val="500A107C"/>
    <w:rsid w:val="502C7AAB"/>
    <w:rsid w:val="503A2BCA"/>
    <w:rsid w:val="504C565A"/>
    <w:rsid w:val="505F68CC"/>
    <w:rsid w:val="50701412"/>
    <w:rsid w:val="508B7B19"/>
    <w:rsid w:val="510A20CD"/>
    <w:rsid w:val="51311BD9"/>
    <w:rsid w:val="51AA1E80"/>
    <w:rsid w:val="51E16832"/>
    <w:rsid w:val="51E34174"/>
    <w:rsid w:val="533725EE"/>
    <w:rsid w:val="533F3AB3"/>
    <w:rsid w:val="53755C44"/>
    <w:rsid w:val="53B25CD5"/>
    <w:rsid w:val="53C020FC"/>
    <w:rsid w:val="543F343F"/>
    <w:rsid w:val="54460AFF"/>
    <w:rsid w:val="54552A11"/>
    <w:rsid w:val="546141A1"/>
    <w:rsid w:val="549F386A"/>
    <w:rsid w:val="55007CB9"/>
    <w:rsid w:val="55C87014"/>
    <w:rsid w:val="55D76548"/>
    <w:rsid w:val="56197FF3"/>
    <w:rsid w:val="56651060"/>
    <w:rsid w:val="569C51E4"/>
    <w:rsid w:val="572A5DFA"/>
    <w:rsid w:val="5793080B"/>
    <w:rsid w:val="57C85932"/>
    <w:rsid w:val="57E92765"/>
    <w:rsid w:val="588329AC"/>
    <w:rsid w:val="58D81AFC"/>
    <w:rsid w:val="58F454E2"/>
    <w:rsid w:val="599026A6"/>
    <w:rsid w:val="5A1102F9"/>
    <w:rsid w:val="5A583808"/>
    <w:rsid w:val="5A8C7275"/>
    <w:rsid w:val="5ABE6659"/>
    <w:rsid w:val="5B586CA2"/>
    <w:rsid w:val="5C247843"/>
    <w:rsid w:val="5C55137A"/>
    <w:rsid w:val="5C5525A0"/>
    <w:rsid w:val="5C945C52"/>
    <w:rsid w:val="5CCC3393"/>
    <w:rsid w:val="5D51749F"/>
    <w:rsid w:val="5D545C81"/>
    <w:rsid w:val="5E046864"/>
    <w:rsid w:val="5E452065"/>
    <w:rsid w:val="5ED828B4"/>
    <w:rsid w:val="5EDE5F3A"/>
    <w:rsid w:val="5EFF5A8E"/>
    <w:rsid w:val="5F2A50BF"/>
    <w:rsid w:val="5F8C52D4"/>
    <w:rsid w:val="5FA5294F"/>
    <w:rsid w:val="5FB60E80"/>
    <w:rsid w:val="5FF14891"/>
    <w:rsid w:val="5FFD7F05"/>
    <w:rsid w:val="605908A1"/>
    <w:rsid w:val="60937CF0"/>
    <w:rsid w:val="6097361E"/>
    <w:rsid w:val="60C37A33"/>
    <w:rsid w:val="60EB32BE"/>
    <w:rsid w:val="60F63018"/>
    <w:rsid w:val="6122209C"/>
    <w:rsid w:val="614C5F46"/>
    <w:rsid w:val="62051ED7"/>
    <w:rsid w:val="62E64CBC"/>
    <w:rsid w:val="630C47C7"/>
    <w:rsid w:val="63400147"/>
    <w:rsid w:val="63B46BBD"/>
    <w:rsid w:val="63C128AF"/>
    <w:rsid w:val="63F243ED"/>
    <w:rsid w:val="645C4936"/>
    <w:rsid w:val="65201F66"/>
    <w:rsid w:val="6523130F"/>
    <w:rsid w:val="66003D71"/>
    <w:rsid w:val="66D47C91"/>
    <w:rsid w:val="66E463DE"/>
    <w:rsid w:val="67AF7155"/>
    <w:rsid w:val="68281439"/>
    <w:rsid w:val="6896208D"/>
    <w:rsid w:val="68A04A58"/>
    <w:rsid w:val="68AB3DD0"/>
    <w:rsid w:val="68D832EC"/>
    <w:rsid w:val="68E81ABC"/>
    <w:rsid w:val="68E8766E"/>
    <w:rsid w:val="693C033C"/>
    <w:rsid w:val="696B4984"/>
    <w:rsid w:val="696C6056"/>
    <w:rsid w:val="6A42419F"/>
    <w:rsid w:val="6A464CB0"/>
    <w:rsid w:val="6A4E0447"/>
    <w:rsid w:val="6B24785D"/>
    <w:rsid w:val="6BDF7649"/>
    <w:rsid w:val="6CAE1317"/>
    <w:rsid w:val="6CB30B6E"/>
    <w:rsid w:val="6CBD0A9A"/>
    <w:rsid w:val="6CCF341F"/>
    <w:rsid w:val="6D0468E8"/>
    <w:rsid w:val="6DA33507"/>
    <w:rsid w:val="6DF644C8"/>
    <w:rsid w:val="6E2231D4"/>
    <w:rsid w:val="6E6F0B3C"/>
    <w:rsid w:val="6E711093"/>
    <w:rsid w:val="6F3D0C04"/>
    <w:rsid w:val="6F716CD6"/>
    <w:rsid w:val="6F7D25E3"/>
    <w:rsid w:val="6FA4432C"/>
    <w:rsid w:val="6FB8065A"/>
    <w:rsid w:val="70487187"/>
    <w:rsid w:val="70CA272F"/>
    <w:rsid w:val="70F91928"/>
    <w:rsid w:val="710C67BE"/>
    <w:rsid w:val="71A42734"/>
    <w:rsid w:val="71F16312"/>
    <w:rsid w:val="72151F22"/>
    <w:rsid w:val="72455BE8"/>
    <w:rsid w:val="73105145"/>
    <w:rsid w:val="73A2411E"/>
    <w:rsid w:val="73A609D6"/>
    <w:rsid w:val="73BF1B65"/>
    <w:rsid w:val="74057D8F"/>
    <w:rsid w:val="74171C8C"/>
    <w:rsid w:val="742A0A1E"/>
    <w:rsid w:val="75537A58"/>
    <w:rsid w:val="75A35CCF"/>
    <w:rsid w:val="75EF44B1"/>
    <w:rsid w:val="766156E5"/>
    <w:rsid w:val="76D25753"/>
    <w:rsid w:val="76DE0B94"/>
    <w:rsid w:val="776C55D6"/>
    <w:rsid w:val="78F64BF0"/>
    <w:rsid w:val="796A7452"/>
    <w:rsid w:val="79A4784C"/>
    <w:rsid w:val="79AA5EC1"/>
    <w:rsid w:val="79B4469B"/>
    <w:rsid w:val="7A1A4B8D"/>
    <w:rsid w:val="7A672CBD"/>
    <w:rsid w:val="7A8003EE"/>
    <w:rsid w:val="7A923C37"/>
    <w:rsid w:val="7AA43769"/>
    <w:rsid w:val="7B432F32"/>
    <w:rsid w:val="7C98665E"/>
    <w:rsid w:val="7C9B3495"/>
    <w:rsid w:val="7D3674C0"/>
    <w:rsid w:val="7DA85FAB"/>
    <w:rsid w:val="7DDC1A9F"/>
    <w:rsid w:val="7EA50649"/>
    <w:rsid w:val="7EAF147F"/>
    <w:rsid w:val="7F0B4D0E"/>
    <w:rsid w:val="7F8552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3447</Words>
  <Characters>3620</Characters>
  <Lines>0</Lines>
  <Paragraphs>0</Paragraphs>
  <TotalTime>21</TotalTime>
  <ScaleCrop>false</ScaleCrop>
  <LinksUpToDate>false</LinksUpToDate>
  <CharactersWithSpaces>3854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2023-09-10T07:08:00Z</dcterms:created>
  <dc:creator>WH</dc:creator>
  <cp:lastModifiedBy>WH</cp:lastModifiedBy>
  <cp:lastPrinted>2023-09-10T13:39:00Z</cp:lastPrinted>
  <dcterms:modified xsi:type="dcterms:W3CDTF">2023-09-11T03:07:58Z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5A5B96FAD743437BB1364AF5D72DEA08_11</vt:lpwstr>
  </property>
</Properties>
</file>