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64C5" w14:textId="77777777" w:rsidR="003C4839" w:rsidRPr="00F07A19" w:rsidRDefault="006F7270">
      <w:pPr>
        <w:rPr>
          <w:rFonts w:ascii="Times New Roman" w:hAnsi="Times New Roman" w:cs="Times New Roman"/>
          <w:sz w:val="24"/>
          <w:szCs w:val="24"/>
        </w:rPr>
      </w:pPr>
      <w:r w:rsidRPr="00F07A19">
        <w:rPr>
          <w:rFonts w:ascii="Times New Roman" w:hAnsi="Times New Roman" w:cs="Times New Roman"/>
          <w:sz w:val="24"/>
          <w:szCs w:val="24"/>
        </w:rPr>
        <w:t>证券代码：</w:t>
      </w:r>
      <w:r w:rsidRPr="00F07A19">
        <w:rPr>
          <w:rFonts w:ascii="Times New Roman" w:hAnsi="Times New Roman" w:cs="Times New Roman"/>
          <w:sz w:val="24"/>
          <w:szCs w:val="24"/>
        </w:rPr>
        <w:t xml:space="preserve">603657        </w:t>
      </w:r>
      <w:r w:rsidR="00F07A19" w:rsidRPr="00F07A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7A19">
        <w:rPr>
          <w:rFonts w:ascii="Times New Roman" w:hAnsi="Times New Roman" w:cs="Times New Roman"/>
          <w:sz w:val="24"/>
          <w:szCs w:val="24"/>
        </w:rPr>
        <w:t>证券简称：春光科技</w:t>
      </w:r>
    </w:p>
    <w:p w14:paraId="31C98819" w14:textId="77777777" w:rsidR="006F7270" w:rsidRDefault="006F7270"/>
    <w:p w14:paraId="1B76F935" w14:textId="77777777" w:rsidR="00F07A19" w:rsidRDefault="006F7270" w:rsidP="006F7270">
      <w:pPr>
        <w:jc w:val="center"/>
        <w:rPr>
          <w:b/>
          <w:sz w:val="30"/>
          <w:szCs w:val="30"/>
        </w:rPr>
      </w:pPr>
      <w:r w:rsidRPr="006F7270">
        <w:rPr>
          <w:rFonts w:hint="eastAsia"/>
          <w:b/>
          <w:sz w:val="30"/>
          <w:szCs w:val="30"/>
        </w:rPr>
        <w:t>金华</w:t>
      </w:r>
      <w:r w:rsidRPr="006F7270">
        <w:rPr>
          <w:b/>
          <w:sz w:val="30"/>
          <w:szCs w:val="30"/>
        </w:rPr>
        <w:t>春光橡塑科技股份有限公司</w:t>
      </w:r>
    </w:p>
    <w:p w14:paraId="3E431CBA" w14:textId="77777777" w:rsidR="006F7270" w:rsidRDefault="006F7270" w:rsidP="006F7270">
      <w:pPr>
        <w:jc w:val="center"/>
        <w:rPr>
          <w:b/>
          <w:sz w:val="30"/>
          <w:szCs w:val="30"/>
        </w:rPr>
      </w:pPr>
      <w:r w:rsidRPr="006F7270">
        <w:rPr>
          <w:b/>
          <w:sz w:val="30"/>
          <w:szCs w:val="30"/>
        </w:rPr>
        <w:t>投资者关系活动记录表</w:t>
      </w:r>
    </w:p>
    <w:p w14:paraId="2FB1E76F" w14:textId="77777777" w:rsidR="006F7270" w:rsidRDefault="006F7270" w:rsidP="006F7270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</w:t>
      </w:r>
      <w:r w:rsidRPr="006F7270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</w:t>
      </w:r>
      <w:r w:rsidRPr="006F7270">
        <w:rPr>
          <w:rFonts w:hint="eastAsia"/>
          <w:sz w:val="30"/>
          <w:szCs w:val="30"/>
        </w:rPr>
        <w:t>编号</w:t>
      </w:r>
      <w:r w:rsidRPr="006F7270">
        <w:rPr>
          <w:sz w:val="30"/>
          <w:szCs w:val="30"/>
        </w:rPr>
        <w:t>：</w:t>
      </w:r>
      <w:r w:rsidRPr="00F07A19">
        <w:rPr>
          <w:rFonts w:ascii="Times New Roman" w:eastAsiaTheme="majorEastAsia" w:hAnsi="Times New Roman" w:cs="Times New Roman"/>
          <w:sz w:val="30"/>
          <w:szCs w:val="30"/>
        </w:rPr>
        <w:t>202</w:t>
      </w:r>
      <w:r w:rsidR="00097964" w:rsidRPr="00F07A19">
        <w:rPr>
          <w:rFonts w:ascii="Times New Roman" w:eastAsiaTheme="majorEastAsia" w:hAnsi="Times New Roman" w:cs="Times New Roman"/>
          <w:sz w:val="30"/>
          <w:szCs w:val="30"/>
        </w:rPr>
        <w:t>3</w:t>
      </w:r>
      <w:r w:rsidRPr="00F07A19">
        <w:rPr>
          <w:rFonts w:ascii="Times New Roman" w:eastAsiaTheme="majorEastAsia" w:hAnsi="Times New Roman" w:cs="Times New Roman"/>
          <w:sz w:val="30"/>
          <w:szCs w:val="30"/>
        </w:rPr>
        <w:t>-001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6F7270" w14:paraId="1CC6F326" w14:textId="77777777" w:rsidTr="00F07A19">
        <w:trPr>
          <w:trHeight w:val="1612"/>
        </w:trPr>
        <w:tc>
          <w:tcPr>
            <w:tcW w:w="2269" w:type="dxa"/>
            <w:vAlign w:val="center"/>
          </w:tcPr>
          <w:p w14:paraId="57085B53" w14:textId="77777777" w:rsidR="00F07A19" w:rsidRPr="00F07A19" w:rsidRDefault="006F7270" w:rsidP="00F07A19">
            <w:pPr>
              <w:spacing w:line="440" w:lineRule="exact"/>
              <w:ind w:leftChars="50" w:left="225" w:hangingChars="50" w:hanging="12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投资者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关系</w:t>
            </w:r>
          </w:p>
          <w:p w14:paraId="76A45C5C" w14:textId="77777777" w:rsidR="006F7270" w:rsidRPr="00F07A19" w:rsidRDefault="006F7270" w:rsidP="00F07A19">
            <w:pPr>
              <w:spacing w:line="440" w:lineRule="exact"/>
              <w:ind w:leftChars="50" w:left="225" w:hangingChars="50" w:hanging="12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活动类别</w:t>
            </w:r>
          </w:p>
        </w:tc>
        <w:tc>
          <w:tcPr>
            <w:tcW w:w="7229" w:type="dxa"/>
          </w:tcPr>
          <w:p w14:paraId="1A783421" w14:textId="77777777" w:rsidR="006F7270" w:rsidRPr="00F07A19" w:rsidRDefault="00CC2C05" w:rsidP="00F07A1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F052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特定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对象调研</w:t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  <w:r w:rsidR="00D90EEE"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分析师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会议</w:t>
            </w:r>
          </w:p>
          <w:p w14:paraId="10748F76" w14:textId="77777777" w:rsidR="006F7270" w:rsidRPr="00F07A19" w:rsidRDefault="00D90EEE" w:rsidP="00F07A1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媒体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采访</w:t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业绩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说明会</w:t>
            </w:r>
          </w:p>
          <w:p w14:paraId="62B0618E" w14:textId="77777777" w:rsidR="006F7270" w:rsidRPr="00F07A19" w:rsidRDefault="00D90EEE" w:rsidP="00F07A1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新闻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发布会</w:t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>路演</w:t>
            </w:r>
            <w:r w:rsidR="006F7270" w:rsidRPr="00F07A19">
              <w:rPr>
                <w:rFonts w:asciiTheme="minorEastAsia" w:hAnsiTheme="minorEastAsia"/>
                <w:sz w:val="24"/>
                <w:szCs w:val="24"/>
              </w:rPr>
              <w:t>活动</w:t>
            </w:r>
          </w:p>
          <w:p w14:paraId="239B6D90" w14:textId="7221DDAE" w:rsidR="00F07A19" w:rsidRPr="00F07A19" w:rsidRDefault="00BC0D21" w:rsidP="00F07A1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F052"/>
            </w:r>
            <w:r w:rsidR="006F7270" w:rsidRPr="00F07A19">
              <w:rPr>
                <w:rFonts w:asciiTheme="minorEastAsia" w:hAnsiTheme="minorEastAsia" w:hint="eastAsia"/>
                <w:sz w:val="24"/>
                <w:szCs w:val="24"/>
              </w:rPr>
              <w:t xml:space="preserve">现场参观                     </w:t>
            </w:r>
            <w:r w:rsidR="00F07A19" w:rsidRPr="00F07A19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="00F07A19" w:rsidRPr="00F07A19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6F7270" w14:paraId="69513717" w14:textId="77777777" w:rsidTr="00CC2C05">
        <w:tc>
          <w:tcPr>
            <w:tcW w:w="2269" w:type="dxa"/>
            <w:vAlign w:val="center"/>
          </w:tcPr>
          <w:p w14:paraId="176AB75F" w14:textId="77777777" w:rsidR="00F07A19" w:rsidRPr="00F07A19" w:rsidRDefault="00D90EEE" w:rsidP="00D90EEE">
            <w:pPr>
              <w:spacing w:line="440" w:lineRule="exact"/>
              <w:ind w:left="120" w:hangingChars="50" w:hanging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参与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单位名称及</w:t>
            </w:r>
          </w:p>
          <w:p w14:paraId="740984AF" w14:textId="77777777" w:rsidR="006F7270" w:rsidRPr="00F07A19" w:rsidRDefault="00D90EEE" w:rsidP="00D90EEE">
            <w:pPr>
              <w:spacing w:line="440" w:lineRule="exact"/>
              <w:ind w:left="120" w:hangingChars="50" w:hanging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人员姓名</w:t>
            </w:r>
          </w:p>
        </w:tc>
        <w:tc>
          <w:tcPr>
            <w:tcW w:w="7229" w:type="dxa"/>
            <w:vAlign w:val="center"/>
          </w:tcPr>
          <w:p w14:paraId="01220EA6" w14:textId="77777777" w:rsidR="006F7270" w:rsidRDefault="00CB1F4C" w:rsidP="00CB1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F4C">
              <w:rPr>
                <w:rFonts w:ascii="Times New Roman" w:hAnsi="Times New Roman" w:cs="Times New Roman" w:hint="eastAsia"/>
                <w:sz w:val="24"/>
                <w:szCs w:val="24"/>
              </w:rPr>
              <w:t>申万宏源证券有限公司：</w:t>
            </w:r>
            <w:r w:rsidR="00CC2C05" w:rsidRPr="00CB1F4C">
              <w:rPr>
                <w:rFonts w:ascii="Times New Roman" w:hAnsi="Times New Roman" w:cs="Times New Roman"/>
                <w:sz w:val="24"/>
                <w:szCs w:val="24"/>
              </w:rPr>
              <w:t>詹应财、钱</w:t>
            </w:r>
            <w:r w:rsidR="00CC2C05" w:rsidRPr="00CB1F4C">
              <w:rPr>
                <w:rFonts w:ascii="Times New Roman" w:hAnsi="Times New Roman" w:cs="Times New Roman" w:hint="eastAsia"/>
                <w:sz w:val="24"/>
                <w:szCs w:val="24"/>
              </w:rPr>
              <w:t>永</w:t>
            </w:r>
            <w:r w:rsidR="00CC2C05" w:rsidRPr="00CB1F4C">
              <w:rPr>
                <w:rFonts w:ascii="Times New Roman" w:hAnsi="Times New Roman" w:cs="Times New Roman"/>
                <w:sz w:val="24"/>
                <w:szCs w:val="24"/>
              </w:rPr>
              <w:t>珂</w:t>
            </w:r>
          </w:p>
          <w:p w14:paraId="2C34313A" w14:textId="06264A4A" w:rsidR="00CB1F4C" w:rsidRPr="00CB1F4C" w:rsidRDefault="00CB1F4C" w:rsidP="00CB1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F4C">
              <w:rPr>
                <w:rFonts w:ascii="Times New Roman" w:hAnsi="Times New Roman" w:cs="Times New Roman" w:hint="eastAsia"/>
                <w:sz w:val="24"/>
                <w:szCs w:val="24"/>
              </w:rPr>
              <w:t>上海申银万国证券研究所有限公司：刘</w:t>
            </w:r>
            <w:r w:rsidRPr="00CB1F4C">
              <w:rPr>
                <w:rFonts w:ascii="Times New Roman" w:hAnsi="Times New Roman" w:cs="Times New Roman"/>
                <w:sz w:val="24"/>
                <w:szCs w:val="24"/>
              </w:rPr>
              <w:t>正</w:t>
            </w:r>
            <w:r w:rsidRPr="00CB1F4C">
              <w:rPr>
                <w:rFonts w:ascii="Times New Roman" w:hAnsi="Times New Roman" w:cs="Times New Roman" w:hint="eastAsia"/>
                <w:sz w:val="24"/>
                <w:szCs w:val="24"/>
              </w:rPr>
              <w:t>、程</w:t>
            </w:r>
            <w:r w:rsidRPr="00CB1F4C">
              <w:rPr>
                <w:rFonts w:ascii="Times New Roman" w:hAnsi="Times New Roman" w:cs="Times New Roman"/>
                <w:sz w:val="24"/>
                <w:szCs w:val="24"/>
              </w:rPr>
              <w:t>恺雯</w:t>
            </w:r>
          </w:p>
        </w:tc>
      </w:tr>
      <w:tr w:rsidR="006F7270" w14:paraId="2DEBC26A" w14:textId="77777777" w:rsidTr="00D90EEE">
        <w:tc>
          <w:tcPr>
            <w:tcW w:w="2269" w:type="dxa"/>
            <w:vAlign w:val="center"/>
          </w:tcPr>
          <w:p w14:paraId="6BBB4FF5" w14:textId="77777777" w:rsidR="006F7270" w:rsidRPr="00F07A19" w:rsidRDefault="00D90EEE" w:rsidP="00F07A19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29" w:type="dxa"/>
          </w:tcPr>
          <w:p w14:paraId="0BF76BB5" w14:textId="12413743" w:rsidR="006F7270" w:rsidRPr="00C462BB" w:rsidRDefault="00CC2C05" w:rsidP="006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2023</w:t>
            </w: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C462BB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F7270" w14:paraId="520A7A8D" w14:textId="77777777" w:rsidTr="00D90EEE">
        <w:tc>
          <w:tcPr>
            <w:tcW w:w="2269" w:type="dxa"/>
            <w:vAlign w:val="center"/>
          </w:tcPr>
          <w:p w14:paraId="488E372C" w14:textId="77777777" w:rsidR="006F7270" w:rsidRPr="00F07A19" w:rsidRDefault="00D90EEE" w:rsidP="00F07A19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29" w:type="dxa"/>
          </w:tcPr>
          <w:p w14:paraId="12E76496" w14:textId="77777777" w:rsidR="006F7270" w:rsidRPr="00C462BB" w:rsidRDefault="00CC2C05" w:rsidP="006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BB">
              <w:rPr>
                <w:rFonts w:ascii="Times New Roman" w:hAnsi="Times New Roman" w:cs="Times New Roman"/>
                <w:sz w:val="24"/>
                <w:szCs w:val="24"/>
              </w:rPr>
              <w:t>公司会议室</w:t>
            </w:r>
          </w:p>
        </w:tc>
      </w:tr>
      <w:tr w:rsidR="006F7270" w14:paraId="34195BA5" w14:textId="77777777" w:rsidTr="00D90EEE">
        <w:tc>
          <w:tcPr>
            <w:tcW w:w="2269" w:type="dxa"/>
            <w:vAlign w:val="center"/>
          </w:tcPr>
          <w:p w14:paraId="770C4591" w14:textId="77777777" w:rsidR="00F07A19" w:rsidRPr="00F07A19" w:rsidRDefault="00D90EEE" w:rsidP="00F07A19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上市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公司</w:t>
            </w: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接待 </w:t>
            </w:r>
          </w:p>
          <w:p w14:paraId="2CD5BD6B" w14:textId="77777777" w:rsidR="006F7270" w:rsidRPr="00F07A19" w:rsidRDefault="00D90EEE" w:rsidP="00F07A19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人员姓名</w:t>
            </w:r>
          </w:p>
        </w:tc>
        <w:tc>
          <w:tcPr>
            <w:tcW w:w="7229" w:type="dxa"/>
          </w:tcPr>
          <w:p w14:paraId="1ED08186" w14:textId="77777777" w:rsidR="006F7270" w:rsidRPr="001B2A71" w:rsidRDefault="00CC2C05" w:rsidP="001B2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1">
              <w:rPr>
                <w:rFonts w:ascii="Times New Roman" w:hAnsi="Times New Roman" w:cs="Times New Roman"/>
                <w:sz w:val="24"/>
                <w:szCs w:val="24"/>
              </w:rPr>
              <w:t>董事会秘书：翁永华</w:t>
            </w:r>
          </w:p>
          <w:p w14:paraId="4005A861" w14:textId="77777777" w:rsidR="00CC2C05" w:rsidRPr="00C462BB" w:rsidRDefault="00CC2C05" w:rsidP="001B2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1">
              <w:rPr>
                <w:rFonts w:ascii="Times New Roman" w:hAnsi="Times New Roman" w:cs="Times New Roman"/>
                <w:sz w:val="24"/>
                <w:szCs w:val="24"/>
              </w:rPr>
              <w:t>证券事务代表：杨勤娟</w:t>
            </w:r>
          </w:p>
        </w:tc>
      </w:tr>
      <w:tr w:rsidR="006F7270" w14:paraId="5EBA3B12" w14:textId="77777777" w:rsidTr="00617E8A">
        <w:trPr>
          <w:trHeight w:val="5235"/>
        </w:trPr>
        <w:tc>
          <w:tcPr>
            <w:tcW w:w="2269" w:type="dxa"/>
            <w:vAlign w:val="center"/>
          </w:tcPr>
          <w:p w14:paraId="4BDD8A94" w14:textId="77777777" w:rsidR="006F7270" w:rsidRPr="00F07A19" w:rsidRDefault="00D90EEE" w:rsidP="00D90EE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投资者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7229" w:type="dxa"/>
          </w:tcPr>
          <w:p w14:paraId="40676939" w14:textId="1397389D" w:rsidR="00F07A19" w:rsidRPr="00DC6399" w:rsidRDefault="00F07A19" w:rsidP="00CF0E33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问：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近年来公司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营业收入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快速增长的原因？</w:t>
            </w:r>
          </w:p>
          <w:p w14:paraId="5A3C7803" w14:textId="15FDBE77" w:rsidR="00F07A19" w:rsidRDefault="00F07A19" w:rsidP="00CF0E33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公司于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初收购</w:t>
            </w:r>
            <w:r w:rsidR="001C24A1">
              <w:rPr>
                <w:rFonts w:ascii="Times New Roman" w:hAnsi="Times New Roman" w:cs="Times New Roman" w:hint="eastAsia"/>
                <w:sz w:val="24"/>
                <w:szCs w:val="24"/>
              </w:rPr>
              <w:t>控股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了苏州尚腾和越南尚腾两家吸尘器整机代工厂，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开始切入整机代工业务，整机</w:t>
            </w:r>
            <w:r w:rsidR="001C24A1">
              <w:rPr>
                <w:rFonts w:ascii="Times New Roman" w:hAnsi="Times New Roman" w:cs="Times New Roman" w:hint="eastAsia"/>
                <w:sz w:val="24"/>
                <w:szCs w:val="24"/>
              </w:rPr>
              <w:t>代工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业务规模</w:t>
            </w:r>
            <w:r w:rsidR="00A1592F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扩大拉动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了公司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整体</w:t>
            </w:r>
            <w:r w:rsidR="00F97A3E">
              <w:rPr>
                <w:rFonts w:ascii="Times New Roman" w:hAnsi="Times New Roman" w:cs="Times New Roman" w:hint="eastAsia"/>
                <w:sz w:val="24"/>
                <w:szCs w:val="24"/>
              </w:rPr>
              <w:t>营业收入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规模</w:t>
            </w:r>
            <w:r w:rsidR="00F97A3E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CF0E33">
              <w:rPr>
                <w:rFonts w:ascii="Times New Roman" w:hAnsi="Times New Roman" w:cs="Times New Roman" w:hint="eastAsia"/>
                <w:sz w:val="24"/>
                <w:szCs w:val="24"/>
              </w:rPr>
              <w:t>增长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，从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562C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年和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562C8B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年上半年</w:t>
            </w:r>
            <w:r w:rsidR="00F83990">
              <w:rPr>
                <w:rFonts w:ascii="Times New Roman" w:hAnsi="Times New Roman" w:cs="Times New Roman" w:hint="eastAsia"/>
                <w:sz w:val="24"/>
                <w:szCs w:val="24"/>
              </w:rPr>
              <w:t>收入</w:t>
            </w:r>
            <w:r w:rsidR="00562C8B">
              <w:rPr>
                <w:rFonts w:ascii="Times New Roman" w:hAnsi="Times New Roman" w:cs="Times New Roman" w:hint="eastAsia"/>
                <w:sz w:val="24"/>
                <w:szCs w:val="24"/>
              </w:rPr>
              <w:t>情况来看整机代工业务的收入规模已经超过软管配件的收入规模</w:t>
            </w:r>
            <w:r w:rsidR="00A66C28">
              <w:rPr>
                <w:rFonts w:ascii="Times New Roman" w:hAnsi="Times New Roman" w:cs="Times New Roman" w:hint="eastAsia"/>
                <w:sz w:val="24"/>
                <w:szCs w:val="24"/>
              </w:rPr>
              <w:t>，如</w:t>
            </w:r>
            <w:r w:rsidR="00A66C2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A66C2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A66C28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度</w:t>
            </w:r>
            <w:r w:rsidR="00A66C28">
              <w:rPr>
                <w:rFonts w:ascii="Times New Roman" w:hAnsi="Times New Roman" w:cs="Times New Roman" w:hint="eastAsia"/>
                <w:sz w:val="24"/>
                <w:szCs w:val="24"/>
              </w:rPr>
              <w:t>公司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软管配件收入约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亿元，吸尘器整机代工业务收入约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A5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FD9">
              <w:rPr>
                <w:rFonts w:ascii="Times New Roman" w:hAnsi="Times New Roman" w:cs="Times New Roman" w:hint="eastAsia"/>
                <w:sz w:val="24"/>
                <w:szCs w:val="24"/>
              </w:rPr>
              <w:t>亿元</w:t>
            </w:r>
            <w:r w:rsidR="00CC2C05" w:rsidRPr="00DC6399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14:paraId="082BFA64" w14:textId="77777777" w:rsidR="00CF6718" w:rsidRPr="00C644B0" w:rsidRDefault="00CF6718" w:rsidP="00CF6718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问：公司软管的技术优势？</w:t>
            </w:r>
          </w:p>
          <w:p w14:paraId="1A319417" w14:textId="7A0A5FD2" w:rsidR="00CF6718" w:rsidRPr="00C644B0" w:rsidRDefault="00CF6718" w:rsidP="00CF6718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答：公司</w:t>
            </w:r>
            <w:r w:rsidR="00CF517F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深耕软管行业</w:t>
            </w: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三十多年，</w:t>
            </w:r>
            <w:r w:rsidR="007E636F">
              <w:rPr>
                <w:rFonts w:ascii="Times New Roman" w:hAnsi="Times New Roman" w:cs="Times New Roman" w:hint="eastAsia"/>
                <w:sz w:val="24"/>
                <w:szCs w:val="24"/>
              </w:rPr>
              <w:t>主要</w:t>
            </w: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在原料开发、成型工艺、专用设备研制和模具开发等方面积累了丰富的</w:t>
            </w:r>
            <w:r w:rsidR="00A26BAF">
              <w:rPr>
                <w:rFonts w:ascii="Times New Roman" w:hAnsi="Times New Roman" w:cs="Times New Roman" w:hint="eastAsia"/>
                <w:sz w:val="24"/>
                <w:szCs w:val="24"/>
              </w:rPr>
              <w:t>技术</w:t>
            </w: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经验，拥有较强的软管</w:t>
            </w:r>
            <w:r w:rsidR="00855653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持续</w:t>
            </w:r>
            <w:r w:rsidR="0071352C">
              <w:rPr>
                <w:rFonts w:ascii="Times New Roman" w:hAnsi="Times New Roman" w:cs="Times New Roman" w:hint="eastAsia"/>
                <w:sz w:val="24"/>
                <w:szCs w:val="24"/>
              </w:rPr>
              <w:t>开发</w:t>
            </w: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创新能力。</w:t>
            </w:r>
          </w:p>
          <w:p w14:paraId="70001D61" w14:textId="685C0F61" w:rsidR="00CC2C05" w:rsidRPr="00DC6399" w:rsidRDefault="00CC2C05" w:rsidP="00CF0E33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问：近年来公司</w:t>
            </w:r>
            <w:r w:rsidR="00C74EE4">
              <w:rPr>
                <w:rFonts w:ascii="Times New Roman" w:hAnsi="Times New Roman" w:cs="Times New Roman" w:hint="eastAsia"/>
                <w:sz w:val="24"/>
                <w:szCs w:val="24"/>
              </w:rPr>
              <w:t>整体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毛利率下降的主要原因？</w:t>
            </w:r>
            <w:r w:rsidR="007E484B" w:rsidRPr="00DC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2032E" w14:textId="6D3A9962" w:rsidR="004223DF" w:rsidRDefault="00CC2C05" w:rsidP="00CF0E33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答：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主要公司自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562EFE">
              <w:rPr>
                <w:rFonts w:ascii="Times New Roman" w:hAnsi="Times New Roman" w:cs="Times New Roman" w:hint="eastAsia"/>
                <w:sz w:val="24"/>
                <w:szCs w:val="24"/>
              </w:rPr>
              <w:t>开始进入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吸尘器</w:t>
            </w:r>
            <w:r w:rsidR="00562EFE">
              <w:rPr>
                <w:rFonts w:ascii="Times New Roman" w:hAnsi="Times New Roman" w:cs="Times New Roman" w:hint="eastAsia"/>
                <w:sz w:val="24"/>
                <w:szCs w:val="24"/>
              </w:rPr>
              <w:t>整机代工业务，新增了整机代工业务收入，而整机代工毛利率相对于软管配件较低，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近两年整机代工业务收入规模</w:t>
            </w:r>
            <w:r w:rsidR="0033384B">
              <w:rPr>
                <w:rFonts w:ascii="Times New Roman" w:hAnsi="Times New Roman" w:cs="Times New Roman" w:hint="eastAsia"/>
                <w:sz w:val="24"/>
                <w:szCs w:val="24"/>
              </w:rPr>
              <w:t>持续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扩大，稀释了公司</w:t>
            </w:r>
            <w:r w:rsidR="00562EFE">
              <w:rPr>
                <w:rFonts w:ascii="Times New Roman" w:hAnsi="Times New Roman" w:cs="Times New Roman" w:hint="eastAsia"/>
                <w:sz w:val="24"/>
                <w:szCs w:val="24"/>
              </w:rPr>
              <w:t>整体毛利率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水平。</w:t>
            </w:r>
            <w:r w:rsidR="00BA2E20">
              <w:rPr>
                <w:rFonts w:ascii="Times New Roman" w:hAnsi="Times New Roman" w:cs="Times New Roman" w:hint="eastAsia"/>
                <w:sz w:val="24"/>
                <w:szCs w:val="24"/>
              </w:rPr>
              <w:t>另外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BA2E20">
              <w:rPr>
                <w:rFonts w:ascii="Times New Roman" w:hAnsi="Times New Roman" w:cs="Times New Roman" w:hint="eastAsia"/>
                <w:sz w:val="24"/>
                <w:szCs w:val="24"/>
              </w:rPr>
              <w:t>受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原材料价格</w:t>
            </w:r>
            <w:r w:rsidR="00562EFE">
              <w:rPr>
                <w:rFonts w:ascii="Times New Roman" w:hAnsi="Times New Roman" w:cs="Times New Roman" w:hint="eastAsia"/>
                <w:sz w:val="24"/>
                <w:szCs w:val="24"/>
              </w:rPr>
              <w:t>大幅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上涨，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BA2E20">
              <w:rPr>
                <w:rFonts w:ascii="Times New Roman" w:hAnsi="Times New Roman" w:cs="Times New Roman" w:hint="eastAsia"/>
                <w:sz w:val="24"/>
                <w:szCs w:val="24"/>
              </w:rPr>
              <w:t>受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国际经济环境低迷，消费疲软，软管配件收入规模下降，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6F4E1D">
              <w:rPr>
                <w:rFonts w:ascii="Times New Roman" w:hAnsi="Times New Roman" w:cs="Times New Roman" w:hint="eastAsia"/>
                <w:sz w:val="24"/>
                <w:szCs w:val="24"/>
              </w:rPr>
              <w:t>上半年受</w:t>
            </w:r>
            <w:r w:rsidR="004C5DF3">
              <w:rPr>
                <w:rFonts w:ascii="Times New Roman" w:hAnsi="Times New Roman" w:cs="Times New Roman" w:hint="eastAsia"/>
                <w:sz w:val="24"/>
                <w:szCs w:val="24"/>
              </w:rPr>
              <w:t>国际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经济环境</w:t>
            </w:r>
            <w:r w:rsidR="00AD0D39">
              <w:rPr>
                <w:rFonts w:ascii="Times New Roman" w:hAnsi="Times New Roman" w:cs="Times New Roman" w:hint="eastAsia"/>
                <w:sz w:val="24"/>
                <w:szCs w:val="24"/>
              </w:rPr>
              <w:t>持续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影响，</w:t>
            </w:r>
            <w:r w:rsidR="00567A9E">
              <w:rPr>
                <w:rFonts w:ascii="Times New Roman" w:hAnsi="Times New Roman" w:cs="Times New Roman" w:hint="eastAsia"/>
                <w:sz w:val="24"/>
                <w:szCs w:val="24"/>
              </w:rPr>
              <w:t>下游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终端市场竞争加剧降本需求传递，以及折旧和人工成本增加等因素影响，使得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公司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近</w:t>
            </w:r>
            <w:r w:rsidR="000D423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整体</w:t>
            </w:r>
            <w:r w:rsidR="001E2FD6">
              <w:rPr>
                <w:rFonts w:ascii="Times New Roman" w:hAnsi="Times New Roman" w:cs="Times New Roman" w:hint="eastAsia"/>
                <w:sz w:val="24"/>
                <w:szCs w:val="24"/>
              </w:rPr>
              <w:t>毛利率水平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有所下降</w:t>
            </w:r>
            <w:r w:rsidRPr="007E484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 w:rsidR="00102A59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公司整机代工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业务</w:t>
            </w:r>
            <w:r w:rsidR="00D20D45">
              <w:rPr>
                <w:rFonts w:ascii="Times New Roman" w:hAnsi="Times New Roman" w:cs="Times New Roman" w:hint="eastAsia"/>
                <w:sz w:val="24"/>
                <w:szCs w:val="24"/>
              </w:rPr>
              <w:t>统计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102A59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毛利率</w:t>
            </w:r>
            <w:r w:rsidR="009F642F">
              <w:rPr>
                <w:rFonts w:ascii="Times New Roman" w:hAnsi="Times New Roman" w:cs="Times New Roman" w:hint="eastAsia"/>
                <w:sz w:val="24"/>
                <w:szCs w:val="24"/>
              </w:rPr>
              <w:t>未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包含自给部件的毛利率，</w:t>
            </w:r>
            <w:r w:rsidR="007E484B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公司自给部件的毛利率包含在软管配件当中，未来公司</w:t>
            </w:r>
            <w:r w:rsidR="00D20D45">
              <w:rPr>
                <w:rFonts w:ascii="Times New Roman" w:hAnsi="Times New Roman" w:cs="Times New Roman" w:hint="eastAsia"/>
                <w:sz w:val="24"/>
                <w:szCs w:val="24"/>
              </w:rPr>
              <w:t>仍</w:t>
            </w:r>
            <w:r w:rsidR="007E484B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将继续提高</w:t>
            </w:r>
            <w:r w:rsidR="00866B6C">
              <w:rPr>
                <w:rFonts w:ascii="Times New Roman" w:hAnsi="Times New Roman" w:cs="Times New Roman" w:hint="eastAsia"/>
                <w:sz w:val="24"/>
                <w:szCs w:val="24"/>
              </w:rPr>
              <w:t>整机代工</w:t>
            </w:r>
            <w:r w:rsidR="007E484B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部件的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自给率，这也是</w:t>
            </w:r>
            <w:r w:rsidR="007C68F4">
              <w:rPr>
                <w:rFonts w:ascii="Times New Roman" w:hAnsi="Times New Roman" w:cs="Times New Roman" w:hint="eastAsia"/>
                <w:sz w:val="24"/>
                <w:szCs w:val="24"/>
              </w:rPr>
              <w:t>今后</w:t>
            </w:r>
            <w:r w:rsidR="007E484B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公司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努力的主要方向之一</w:t>
            </w:r>
            <w:r w:rsidR="007B0B52">
              <w:rPr>
                <w:rFonts w:ascii="Times New Roman" w:hAnsi="Times New Roman" w:cs="Times New Roman" w:hint="eastAsia"/>
                <w:sz w:val="24"/>
                <w:szCs w:val="24"/>
              </w:rPr>
              <w:t>，从而提升协同效益</w:t>
            </w:r>
            <w:r w:rsidR="002F4628" w:rsidRPr="007E484B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C60951C" w14:textId="7265CD3A" w:rsidR="00B15341" w:rsidRPr="00DC6399" w:rsidRDefault="00B15341" w:rsidP="00B15341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问：</w:t>
            </w:r>
            <w:r w:rsidR="00E54DE5">
              <w:rPr>
                <w:rFonts w:ascii="Times New Roman" w:hAnsi="Times New Roman" w:cs="Times New Roman" w:hint="eastAsia"/>
                <w:sz w:val="24"/>
                <w:szCs w:val="24"/>
              </w:rPr>
              <w:t>公司现在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整体战略规划</w:t>
            </w:r>
            <w:r w:rsidR="00E54DE5"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？</w:t>
            </w:r>
          </w:p>
          <w:p w14:paraId="20453B8D" w14:textId="7C657CEA" w:rsidR="00B15341" w:rsidRDefault="00B15341" w:rsidP="00B15341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答：公司将继续借助春光科技在清洁电器行业的良好口碑和资源优势，积极引入新的客户，努力做大做强整机代工业务。同时也将通过整机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代工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业务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扩大来进一步拉动软管配件业务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的增长</w:t>
            </w: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，从而形成良好的协同效益，提升公司的竞争力。</w:t>
            </w:r>
          </w:p>
          <w:p w14:paraId="502F0784" w14:textId="77777777" w:rsidR="00CC2C05" w:rsidRPr="00DC6399" w:rsidRDefault="00CC2C05" w:rsidP="003507B2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问：未来吸尘器等清洁电器市场情况如何？</w:t>
            </w:r>
          </w:p>
          <w:p w14:paraId="0C876F5C" w14:textId="406F9860" w:rsidR="00800B84" w:rsidRPr="00C644B0" w:rsidRDefault="00DC6399" w:rsidP="003507B2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="00CC2C05" w:rsidRPr="00C644B0">
              <w:rPr>
                <w:rFonts w:ascii="Times New Roman" w:hAnsi="Times New Roman" w:cs="Times New Roman"/>
                <w:sz w:val="24"/>
                <w:szCs w:val="24"/>
              </w:rPr>
              <w:t>目前全球吸尘器消费和使用主要集中于欧美、日本等发达国家，其对吸尘器的使用习惯和更新换代需求奠定了全球吸尘器需求基础。同时，随着国内越来越多的消费者开始关注家庭</w:t>
            </w:r>
            <w:r w:rsidR="003507B2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室内</w:t>
            </w:r>
            <w:r w:rsidR="00CC2C05" w:rsidRPr="00C644B0">
              <w:rPr>
                <w:rFonts w:ascii="Times New Roman" w:hAnsi="Times New Roman" w:cs="Times New Roman"/>
                <w:sz w:val="24"/>
                <w:szCs w:val="24"/>
              </w:rPr>
              <w:t>清洁卫生和空气质量，</w:t>
            </w:r>
            <w:r w:rsidR="00F72305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形成了</w:t>
            </w:r>
            <w:r w:rsidR="00B008AB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清洁电器的</w:t>
            </w:r>
            <w:r w:rsidR="00CB4E01">
              <w:rPr>
                <w:rFonts w:ascii="Times New Roman" w:hAnsi="Times New Roman" w:cs="Times New Roman" w:hint="eastAsia"/>
                <w:sz w:val="24"/>
                <w:szCs w:val="24"/>
              </w:rPr>
              <w:t>国内</w:t>
            </w:r>
            <w:r w:rsidR="00613521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增量</w:t>
            </w:r>
            <w:r w:rsidR="00CB4E01">
              <w:rPr>
                <w:rFonts w:ascii="Times New Roman" w:hAnsi="Times New Roman" w:cs="Times New Roman" w:hint="eastAsia"/>
                <w:sz w:val="24"/>
                <w:szCs w:val="24"/>
              </w:rPr>
              <w:t>需求</w:t>
            </w:r>
            <w:r w:rsidR="00644E9E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CC2C05" w:rsidRPr="00C644B0">
              <w:rPr>
                <w:rFonts w:ascii="Times New Roman" w:hAnsi="Times New Roman" w:cs="Times New Roman"/>
                <w:sz w:val="24"/>
                <w:szCs w:val="24"/>
              </w:rPr>
              <w:t>以上为清洁电器的发展提供了巨大的市场需求。</w:t>
            </w:r>
            <w:r w:rsidR="004223DF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公司对未来吸尘器等清洁电器的市场</w:t>
            </w:r>
            <w:r w:rsidR="002D75EA">
              <w:rPr>
                <w:rFonts w:ascii="Times New Roman" w:hAnsi="Times New Roman" w:cs="Times New Roman" w:hint="eastAsia"/>
                <w:sz w:val="24"/>
                <w:szCs w:val="24"/>
              </w:rPr>
              <w:t>发展</w:t>
            </w:r>
            <w:r w:rsidR="004223DF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还是有信心的。</w:t>
            </w:r>
          </w:p>
          <w:p w14:paraId="4DEDA632" w14:textId="6B582DE3" w:rsidR="00CC2C05" w:rsidRPr="00C644B0" w:rsidRDefault="00CC2C05" w:rsidP="004223DF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问：公司与客户定价采用哪种机制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，协议如何签订，签订多久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t>，调价机制是如何的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？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2422C" w14:textId="7D0E630C" w:rsidR="00800B84" w:rsidRPr="00C644B0" w:rsidRDefault="00CC2C05" w:rsidP="003D1DC0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答：公司主要采用成本加成法定价机制。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具体还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要分客户</w:t>
            </w:r>
            <w:r w:rsidR="00C4678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分单量。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例如：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单量大的</w:t>
            </w:r>
            <w:r w:rsidR="00AA5DC7">
              <w:rPr>
                <w:rFonts w:ascii="Times New Roman" w:hAnsi="Times New Roman" w:cs="Times New Roman" w:hint="eastAsia"/>
                <w:sz w:val="24"/>
                <w:szCs w:val="24"/>
              </w:rPr>
              <w:t>一般会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和客户初步协商目标价后，</w:t>
            </w:r>
            <w:r w:rsidR="00800B84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根据具体</w:t>
            </w:r>
            <w:r w:rsidR="000156D6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给与一定优惠</w:t>
            </w:r>
            <w:r w:rsidR="00C4678B">
              <w:rPr>
                <w:rFonts w:ascii="Times New Roman" w:hAnsi="Times New Roman" w:cs="Times New Roman" w:hint="eastAsia"/>
                <w:sz w:val="24"/>
                <w:szCs w:val="24"/>
              </w:rPr>
              <w:t>并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最终确定价格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185980">
              <w:rPr>
                <w:rFonts w:ascii="Times New Roman" w:hAnsi="Times New Roman" w:cs="Times New Roman" w:hint="eastAsia"/>
                <w:sz w:val="24"/>
                <w:szCs w:val="24"/>
              </w:rPr>
              <w:t>单量少的客户</w:t>
            </w:r>
            <w:r w:rsidR="00AA5DC7">
              <w:rPr>
                <w:rFonts w:ascii="Times New Roman" w:hAnsi="Times New Roman" w:cs="Times New Roman" w:hint="eastAsia"/>
                <w:sz w:val="24"/>
                <w:szCs w:val="24"/>
              </w:rPr>
              <w:t>一般会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根据成本费用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加上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合理利润原则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直接</w:t>
            </w:r>
            <w:r w:rsidR="00873864">
              <w:rPr>
                <w:rFonts w:ascii="Times New Roman" w:hAnsi="Times New Roman" w:cs="Times New Roman" w:hint="eastAsia"/>
                <w:sz w:val="24"/>
                <w:szCs w:val="24"/>
              </w:rPr>
              <w:t>定价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。一般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和客户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签订框架协议，有些客户只签一次，有些客户每年</w:t>
            </w:r>
            <w:r w:rsidR="003D1DC0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签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一次。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t>调价主要还是看市场</w:t>
            </w:r>
            <w:r w:rsidR="00A20F7F">
              <w:rPr>
                <w:rFonts w:ascii="Times New Roman" w:hAnsi="Times New Roman" w:cs="Times New Roman" w:hint="eastAsia"/>
                <w:sz w:val="24"/>
                <w:szCs w:val="24"/>
              </w:rPr>
              <w:t>或者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t>原料波动情况</w:t>
            </w:r>
            <w:r w:rsidR="003A019D">
              <w:rPr>
                <w:rFonts w:ascii="Times New Roman" w:hAnsi="Times New Roman" w:cs="Times New Roman" w:hint="eastAsia"/>
                <w:sz w:val="24"/>
                <w:szCs w:val="24"/>
              </w:rPr>
              <w:t>而定，</w:t>
            </w:r>
            <w:r w:rsidR="006E3564">
              <w:rPr>
                <w:rFonts w:ascii="Times New Roman" w:hAnsi="Times New Roman" w:cs="Times New Roman" w:hint="eastAsia"/>
                <w:sz w:val="24"/>
                <w:szCs w:val="24"/>
              </w:rPr>
              <w:t>具体</w:t>
            </w:r>
            <w:r w:rsidR="003A019D">
              <w:rPr>
                <w:rFonts w:ascii="Times New Roman" w:hAnsi="Times New Roman" w:cs="Times New Roman" w:hint="eastAsia"/>
                <w:sz w:val="24"/>
                <w:szCs w:val="24"/>
              </w:rPr>
              <w:t>由双方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t>协商</w:t>
            </w:r>
            <w:r w:rsidR="005F7F00">
              <w:rPr>
                <w:rFonts w:ascii="Times New Roman" w:hAnsi="Times New Roman" w:cs="Times New Roman" w:hint="eastAsia"/>
                <w:sz w:val="24"/>
                <w:szCs w:val="24"/>
              </w:rPr>
              <w:t>调整</w:t>
            </w:r>
            <w:r w:rsidR="0003383B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2A99476B" w14:textId="77777777" w:rsidR="00E06FEB" w:rsidRPr="00C644B0" w:rsidRDefault="00E06FEB" w:rsidP="003D1DC0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问：公司外贸出口以哪种币种结算为主？</w:t>
            </w:r>
          </w:p>
          <w:p w14:paraId="55559548" w14:textId="0E828D78" w:rsidR="00E06FEB" w:rsidRPr="00C644B0" w:rsidRDefault="00E06FEB" w:rsidP="00665BF7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="00DF7B65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目前是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以美元</w:t>
            </w:r>
            <w:r w:rsidR="00DC6399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结算</w:t>
            </w:r>
            <w:r w:rsidRPr="00C644B0">
              <w:rPr>
                <w:rFonts w:ascii="Times New Roman" w:hAnsi="Times New Roman" w:cs="Times New Roman"/>
                <w:sz w:val="24"/>
                <w:szCs w:val="24"/>
              </w:rPr>
              <w:t>为主。</w:t>
            </w:r>
          </w:p>
          <w:p w14:paraId="271A5014" w14:textId="61F3412A" w:rsidR="003F4240" w:rsidRPr="00C644B0" w:rsidRDefault="003F4240" w:rsidP="003F4240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问：公司收购苏州尚腾</w:t>
            </w:r>
            <w:r w:rsidR="00107A43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07A43" w:rsidRPr="00C644B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107A43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股权</w:t>
            </w: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是不是已经交割完成了？</w:t>
            </w:r>
          </w:p>
          <w:p w14:paraId="377ED2B4" w14:textId="33FFF792" w:rsidR="003F4240" w:rsidRPr="00C644B0" w:rsidRDefault="003F4240" w:rsidP="003F4240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答：是的，已经完成交割了。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公司收购苏州尚腾</w:t>
            </w:r>
            <w:r w:rsidR="00012AF6">
              <w:rPr>
                <w:rFonts w:ascii="Times New Roman" w:hAnsi="Times New Roman" w:cs="Times New Roman" w:hint="eastAsia"/>
                <w:sz w:val="24"/>
                <w:szCs w:val="24"/>
              </w:rPr>
              <w:t>主要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一是看好这个行业的发展</w:t>
            </w:r>
            <w:r w:rsidR="00834B1C">
              <w:rPr>
                <w:rFonts w:ascii="Times New Roman" w:hAnsi="Times New Roman" w:cs="Times New Roman" w:hint="eastAsia"/>
                <w:sz w:val="24"/>
                <w:szCs w:val="24"/>
              </w:rPr>
              <w:t>前景</w:t>
            </w:r>
            <w:r w:rsidR="00E42F7B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二是标的公司本身具有较好的积累，</w:t>
            </w:r>
            <w:r w:rsidR="00C1206F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已经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拥有</w:t>
            </w:r>
            <w:r w:rsidR="008801F3">
              <w:rPr>
                <w:rFonts w:ascii="Times New Roman" w:hAnsi="Times New Roman" w:cs="Times New Roman" w:hint="eastAsia"/>
                <w:sz w:val="24"/>
                <w:szCs w:val="24"/>
              </w:rPr>
              <w:t>成熟</w:t>
            </w:r>
            <w:r w:rsidR="00710AAA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客户、技术</w:t>
            </w:r>
            <w:r w:rsidR="00B77E1E">
              <w:rPr>
                <w:rFonts w:ascii="Times New Roman" w:hAnsi="Times New Roman" w:cs="Times New Roman" w:hint="eastAsia"/>
                <w:sz w:val="24"/>
                <w:szCs w:val="24"/>
              </w:rPr>
              <w:t>、团队</w:t>
            </w:r>
            <w:r w:rsidR="00710AAA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资源</w:t>
            </w:r>
            <w:r w:rsidR="00012AF6">
              <w:rPr>
                <w:rFonts w:ascii="Times New Roman" w:hAnsi="Times New Roman" w:cs="Times New Roman" w:hint="eastAsia"/>
                <w:sz w:val="24"/>
                <w:szCs w:val="24"/>
              </w:rPr>
              <w:t>，可以让公司快速切入整机代工业务</w:t>
            </w:r>
            <w:r w:rsidR="00501F0C">
              <w:rPr>
                <w:rFonts w:ascii="Times New Roman" w:hAnsi="Times New Roman" w:cs="Times New Roman" w:hint="eastAsia"/>
                <w:sz w:val="24"/>
                <w:szCs w:val="24"/>
              </w:rPr>
              <w:t>领域</w:t>
            </w:r>
            <w:r w:rsidR="00E42F7B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三是公司</w:t>
            </w:r>
            <w:r w:rsidR="00C93008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本身是做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清洁电器</w:t>
            </w:r>
            <w:r w:rsidR="00C93008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软管配件的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，与</w:t>
            </w:r>
            <w:r w:rsidR="00C93008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吸尘器</w:t>
            </w:r>
            <w:r w:rsidR="00AC756A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整机代工业务是上下游关系，能够和整机代工业务形成协同互补</w:t>
            </w:r>
            <w:r w:rsidR="008801F3">
              <w:rPr>
                <w:rFonts w:ascii="Times New Roman" w:hAnsi="Times New Roman" w:cs="Times New Roman" w:hint="eastAsia"/>
                <w:sz w:val="24"/>
                <w:szCs w:val="24"/>
              </w:rPr>
              <w:t>的作用</w:t>
            </w:r>
            <w:r w:rsidR="00C93008" w:rsidRPr="00C644B0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51917FD" w14:textId="43EBCB53" w:rsidR="00CC2C05" w:rsidRPr="00B15341" w:rsidRDefault="00116456" w:rsidP="00CF6718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</w:t>
            </w:r>
            <w:r w:rsidR="00617E8A">
              <w:rPr>
                <w:rFonts w:ascii="Times New Roman" w:hAnsi="Times New Roman" w:cs="Times New Roman" w:hint="eastAsia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上述参与人员参观了公司</w:t>
            </w:r>
            <w:r w:rsidR="00BC0D21">
              <w:rPr>
                <w:rFonts w:ascii="Times New Roman" w:hAnsi="Times New Roman" w:cs="Times New Roman" w:hint="eastAsia"/>
                <w:sz w:val="24"/>
                <w:szCs w:val="24"/>
              </w:rPr>
              <w:t>展厅和</w:t>
            </w:r>
            <w:r w:rsidR="00617E8A">
              <w:rPr>
                <w:rFonts w:ascii="Times New Roman" w:hAnsi="Times New Roman" w:cs="Times New Roman" w:hint="eastAsia"/>
                <w:sz w:val="24"/>
                <w:szCs w:val="24"/>
              </w:rPr>
              <w:t>生产车间现场。</w:t>
            </w:r>
          </w:p>
        </w:tc>
      </w:tr>
      <w:tr w:rsidR="006F7270" w14:paraId="3D0AABE3" w14:textId="77777777" w:rsidTr="00097964">
        <w:trPr>
          <w:trHeight w:val="47"/>
        </w:trPr>
        <w:tc>
          <w:tcPr>
            <w:tcW w:w="2269" w:type="dxa"/>
            <w:vAlign w:val="center"/>
          </w:tcPr>
          <w:p w14:paraId="29790C9D" w14:textId="77777777" w:rsidR="006F7270" w:rsidRPr="00F07A19" w:rsidRDefault="00D90EEE" w:rsidP="00D90EEE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附件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清单（</w:t>
            </w:r>
            <w:r w:rsidRPr="00F07A19">
              <w:rPr>
                <w:rFonts w:asciiTheme="minorEastAsia" w:hAnsiTheme="minorEastAsia" w:hint="eastAsia"/>
                <w:b/>
                <w:sz w:val="24"/>
                <w:szCs w:val="24"/>
              </w:rPr>
              <w:t>如有</w:t>
            </w:r>
            <w:r w:rsidRPr="00F07A19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14:paraId="23E5AC2B" w14:textId="77777777" w:rsidR="006F7270" w:rsidRPr="00DC6399" w:rsidRDefault="00E06FEB" w:rsidP="006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99">
              <w:rPr>
                <w:rFonts w:ascii="Times New Roman" w:hAnsi="Times New Roman" w:cs="Times New Roman"/>
                <w:sz w:val="24"/>
                <w:szCs w:val="24"/>
              </w:rPr>
              <w:t>无</w:t>
            </w:r>
          </w:p>
        </w:tc>
      </w:tr>
    </w:tbl>
    <w:p w14:paraId="7EEC083D" w14:textId="77777777" w:rsidR="006F7270" w:rsidRPr="006F7270" w:rsidRDefault="006F7270" w:rsidP="006F7270">
      <w:pPr>
        <w:rPr>
          <w:sz w:val="30"/>
          <w:szCs w:val="30"/>
        </w:rPr>
      </w:pPr>
      <w:bookmarkStart w:id="0" w:name="_GoBack"/>
      <w:bookmarkEnd w:id="0"/>
    </w:p>
    <w:sectPr w:rsidR="006F7270" w:rsidRPr="006F7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2F8C" w14:textId="77777777" w:rsidR="00E643EB" w:rsidRDefault="00E643EB" w:rsidP="008D048E">
      <w:r>
        <w:separator/>
      </w:r>
    </w:p>
  </w:endnote>
  <w:endnote w:type="continuationSeparator" w:id="0">
    <w:p w14:paraId="05E88012" w14:textId="77777777" w:rsidR="00E643EB" w:rsidRDefault="00E643EB" w:rsidP="008D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F910" w14:textId="77777777" w:rsidR="00E643EB" w:rsidRDefault="00E643EB" w:rsidP="008D048E">
      <w:r>
        <w:separator/>
      </w:r>
    </w:p>
  </w:footnote>
  <w:footnote w:type="continuationSeparator" w:id="0">
    <w:p w14:paraId="4A1E6F26" w14:textId="77777777" w:rsidR="00E643EB" w:rsidRDefault="00E643EB" w:rsidP="008D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258B"/>
    <w:multiLevelType w:val="hybridMultilevel"/>
    <w:tmpl w:val="342C0B94"/>
    <w:lvl w:ilvl="0" w:tplc="5854E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E4D3C6E"/>
    <w:multiLevelType w:val="hybridMultilevel"/>
    <w:tmpl w:val="37C8751A"/>
    <w:lvl w:ilvl="0" w:tplc="1082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0"/>
    <w:rsid w:val="00000BB5"/>
    <w:rsid w:val="00012AF6"/>
    <w:rsid w:val="00014FB3"/>
    <w:rsid w:val="000156D6"/>
    <w:rsid w:val="00022B5B"/>
    <w:rsid w:val="0003383B"/>
    <w:rsid w:val="0007390C"/>
    <w:rsid w:val="00086E26"/>
    <w:rsid w:val="00097964"/>
    <w:rsid w:val="000B4054"/>
    <w:rsid w:val="000D423E"/>
    <w:rsid w:val="000E23F3"/>
    <w:rsid w:val="000F29A4"/>
    <w:rsid w:val="000F394D"/>
    <w:rsid w:val="00102A59"/>
    <w:rsid w:val="00107A43"/>
    <w:rsid w:val="00116456"/>
    <w:rsid w:val="00121AE6"/>
    <w:rsid w:val="00157E2C"/>
    <w:rsid w:val="00160140"/>
    <w:rsid w:val="00161469"/>
    <w:rsid w:val="00175010"/>
    <w:rsid w:val="0018142F"/>
    <w:rsid w:val="00185980"/>
    <w:rsid w:val="001B2A71"/>
    <w:rsid w:val="001C24A1"/>
    <w:rsid w:val="001C5BA0"/>
    <w:rsid w:val="001E2FD6"/>
    <w:rsid w:val="00273F80"/>
    <w:rsid w:val="002A2122"/>
    <w:rsid w:val="002D75EA"/>
    <w:rsid w:val="002F4628"/>
    <w:rsid w:val="00311B1E"/>
    <w:rsid w:val="00320562"/>
    <w:rsid w:val="0033384B"/>
    <w:rsid w:val="00340C21"/>
    <w:rsid w:val="00344E8A"/>
    <w:rsid w:val="003507B2"/>
    <w:rsid w:val="00366200"/>
    <w:rsid w:val="003728D1"/>
    <w:rsid w:val="003A019D"/>
    <w:rsid w:val="003B1EB3"/>
    <w:rsid w:val="003B7FF1"/>
    <w:rsid w:val="003C4839"/>
    <w:rsid w:val="003D1DC0"/>
    <w:rsid w:val="003F4240"/>
    <w:rsid w:val="00400F98"/>
    <w:rsid w:val="004223DF"/>
    <w:rsid w:val="00433F93"/>
    <w:rsid w:val="00497E00"/>
    <w:rsid w:val="004C5DF3"/>
    <w:rsid w:val="004C7411"/>
    <w:rsid w:val="004F0392"/>
    <w:rsid w:val="00501F0C"/>
    <w:rsid w:val="005275B0"/>
    <w:rsid w:val="00556AA2"/>
    <w:rsid w:val="00562C8B"/>
    <w:rsid w:val="00562EFE"/>
    <w:rsid w:val="00567A9E"/>
    <w:rsid w:val="005741C8"/>
    <w:rsid w:val="00592B85"/>
    <w:rsid w:val="005B3193"/>
    <w:rsid w:val="005D65EE"/>
    <w:rsid w:val="005E3CD8"/>
    <w:rsid w:val="005E5AB5"/>
    <w:rsid w:val="005F7F00"/>
    <w:rsid w:val="00600AE1"/>
    <w:rsid w:val="00610DB4"/>
    <w:rsid w:val="00613521"/>
    <w:rsid w:val="00614895"/>
    <w:rsid w:val="00617E8A"/>
    <w:rsid w:val="00644E9E"/>
    <w:rsid w:val="00656040"/>
    <w:rsid w:val="00665BF7"/>
    <w:rsid w:val="00674FBF"/>
    <w:rsid w:val="00690EC7"/>
    <w:rsid w:val="006E0DFE"/>
    <w:rsid w:val="006E3564"/>
    <w:rsid w:val="006F4E1D"/>
    <w:rsid w:val="006F7270"/>
    <w:rsid w:val="00710081"/>
    <w:rsid w:val="00710AAA"/>
    <w:rsid w:val="00711AE9"/>
    <w:rsid w:val="0071352C"/>
    <w:rsid w:val="00713DC6"/>
    <w:rsid w:val="00726B28"/>
    <w:rsid w:val="0076616C"/>
    <w:rsid w:val="007A0C4C"/>
    <w:rsid w:val="007B0B52"/>
    <w:rsid w:val="007B274B"/>
    <w:rsid w:val="007C09FE"/>
    <w:rsid w:val="007C68F4"/>
    <w:rsid w:val="007E484B"/>
    <w:rsid w:val="007E636F"/>
    <w:rsid w:val="008005CD"/>
    <w:rsid w:val="00800B84"/>
    <w:rsid w:val="00834B1C"/>
    <w:rsid w:val="00844E7F"/>
    <w:rsid w:val="00855653"/>
    <w:rsid w:val="00866B6C"/>
    <w:rsid w:val="00867427"/>
    <w:rsid w:val="00873864"/>
    <w:rsid w:val="008801F3"/>
    <w:rsid w:val="008919FC"/>
    <w:rsid w:val="008C38A3"/>
    <w:rsid w:val="008D048E"/>
    <w:rsid w:val="00912782"/>
    <w:rsid w:val="009317D5"/>
    <w:rsid w:val="009467B7"/>
    <w:rsid w:val="009C5E24"/>
    <w:rsid w:val="009F642F"/>
    <w:rsid w:val="00A1592F"/>
    <w:rsid w:val="00A20F7F"/>
    <w:rsid w:val="00A26BAF"/>
    <w:rsid w:val="00A4075A"/>
    <w:rsid w:val="00A455E7"/>
    <w:rsid w:val="00A50AAB"/>
    <w:rsid w:val="00A52FD9"/>
    <w:rsid w:val="00A66C28"/>
    <w:rsid w:val="00A74741"/>
    <w:rsid w:val="00A92C4C"/>
    <w:rsid w:val="00A95BF2"/>
    <w:rsid w:val="00A968EC"/>
    <w:rsid w:val="00AA5DC7"/>
    <w:rsid w:val="00AC34EB"/>
    <w:rsid w:val="00AC756A"/>
    <w:rsid w:val="00AD0D39"/>
    <w:rsid w:val="00B008AB"/>
    <w:rsid w:val="00B15341"/>
    <w:rsid w:val="00B27BFD"/>
    <w:rsid w:val="00B368D7"/>
    <w:rsid w:val="00B45887"/>
    <w:rsid w:val="00B57CF1"/>
    <w:rsid w:val="00B77E1E"/>
    <w:rsid w:val="00B970F3"/>
    <w:rsid w:val="00BA2E20"/>
    <w:rsid w:val="00BC0D21"/>
    <w:rsid w:val="00BE7C64"/>
    <w:rsid w:val="00C018BE"/>
    <w:rsid w:val="00C1206F"/>
    <w:rsid w:val="00C163B5"/>
    <w:rsid w:val="00C35F32"/>
    <w:rsid w:val="00C462BB"/>
    <w:rsid w:val="00C4678B"/>
    <w:rsid w:val="00C5119A"/>
    <w:rsid w:val="00C5348B"/>
    <w:rsid w:val="00C644B0"/>
    <w:rsid w:val="00C74EE4"/>
    <w:rsid w:val="00C93008"/>
    <w:rsid w:val="00C969F7"/>
    <w:rsid w:val="00CB1F4C"/>
    <w:rsid w:val="00CB4E01"/>
    <w:rsid w:val="00CC2C05"/>
    <w:rsid w:val="00CF0E33"/>
    <w:rsid w:val="00CF3C08"/>
    <w:rsid w:val="00CF517F"/>
    <w:rsid w:val="00CF6718"/>
    <w:rsid w:val="00D07085"/>
    <w:rsid w:val="00D20D45"/>
    <w:rsid w:val="00D359C1"/>
    <w:rsid w:val="00D4254C"/>
    <w:rsid w:val="00D50B03"/>
    <w:rsid w:val="00D64CEE"/>
    <w:rsid w:val="00D90EEE"/>
    <w:rsid w:val="00D919F0"/>
    <w:rsid w:val="00D954F0"/>
    <w:rsid w:val="00DB4D49"/>
    <w:rsid w:val="00DB5F12"/>
    <w:rsid w:val="00DC6399"/>
    <w:rsid w:val="00DD6F2B"/>
    <w:rsid w:val="00DF7B65"/>
    <w:rsid w:val="00E03491"/>
    <w:rsid w:val="00E06FEB"/>
    <w:rsid w:val="00E24384"/>
    <w:rsid w:val="00E42F7B"/>
    <w:rsid w:val="00E54DE5"/>
    <w:rsid w:val="00E643EB"/>
    <w:rsid w:val="00E87AE5"/>
    <w:rsid w:val="00EF04E1"/>
    <w:rsid w:val="00EF54E9"/>
    <w:rsid w:val="00F07A19"/>
    <w:rsid w:val="00F176E3"/>
    <w:rsid w:val="00F54F96"/>
    <w:rsid w:val="00F72305"/>
    <w:rsid w:val="00F7424E"/>
    <w:rsid w:val="00F83990"/>
    <w:rsid w:val="00F97A3E"/>
    <w:rsid w:val="00FB3AE6"/>
    <w:rsid w:val="00FD4632"/>
    <w:rsid w:val="00FE4B5F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BCF0"/>
  <w15:chartTrackingRefBased/>
  <w15:docId w15:val="{023661BF-DB3F-4701-8022-6CE4861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4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48E"/>
    <w:rPr>
      <w:sz w:val="18"/>
      <w:szCs w:val="18"/>
    </w:rPr>
  </w:style>
  <w:style w:type="character" w:customStyle="1" w:styleId="highlight">
    <w:name w:val="highlight"/>
    <w:basedOn w:val="a0"/>
    <w:rsid w:val="00CC2C05"/>
  </w:style>
  <w:style w:type="paragraph" w:styleId="a6">
    <w:name w:val="List Paragraph"/>
    <w:basedOn w:val="a"/>
    <w:uiPriority w:val="34"/>
    <w:qFormat/>
    <w:rsid w:val="00CC2C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258</Words>
  <Characters>1472</Characters>
  <Application>Microsoft Office Word</Application>
  <DocSecurity>0</DocSecurity>
  <Lines>12</Lines>
  <Paragraphs>3</Paragraphs>
  <ScaleCrop>false</ScaleCrop>
  <Company>微软中国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146</cp:revision>
  <dcterms:created xsi:type="dcterms:W3CDTF">2020-04-17T07:37:00Z</dcterms:created>
  <dcterms:modified xsi:type="dcterms:W3CDTF">2023-09-15T01:10:00Z</dcterms:modified>
</cp:coreProperties>
</file>