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jc w:val="center"/>
        <w:outlineLvl w:val="1"/>
        <w:rPr>
          <w:rFonts w:ascii="宋体" w:hAnsi="宋体" w:eastAsia="宋体" w:cs="Times New Roman"/>
          <w:b/>
          <w:bCs/>
          <w:iCs/>
          <w:sz w:val="24"/>
          <w:szCs w:val="24"/>
        </w:rPr>
      </w:pPr>
      <w:r>
        <w:rPr>
          <w:rFonts w:hint="eastAsia" w:ascii="宋体" w:hAnsi="宋体" w:eastAsia="宋体" w:cs="Times New Roman"/>
          <w:b/>
          <w:bCs/>
          <w:iCs/>
          <w:sz w:val="24"/>
          <w:szCs w:val="24"/>
        </w:rPr>
        <w:t>证券代码：6</w:t>
      </w:r>
      <w:r>
        <w:rPr>
          <w:rFonts w:ascii="宋体" w:hAnsi="宋体" w:eastAsia="宋体" w:cs="Times New Roman"/>
          <w:b/>
          <w:bCs/>
          <w:iCs/>
          <w:sz w:val="24"/>
          <w:szCs w:val="24"/>
        </w:rPr>
        <w:t>00415</w:t>
      </w:r>
      <w:r>
        <w:rPr>
          <w:rFonts w:hint="eastAsia" w:ascii="宋体" w:hAnsi="宋体" w:eastAsia="宋体" w:cs="Times New Roman"/>
          <w:b/>
          <w:bCs/>
          <w:iCs/>
          <w:sz w:val="24"/>
          <w:szCs w:val="24"/>
        </w:rPr>
        <w:t xml:space="preserve">                                 证券简称：小商品城</w:t>
      </w:r>
      <w:r>
        <w:rPr>
          <w:rFonts w:ascii="宋体" w:hAnsi="宋体" w:eastAsia="宋体" w:cs="Times New Roman"/>
          <w:b/>
          <w:bCs/>
          <w:iCs/>
          <w:sz w:val="24"/>
          <w:szCs w:val="24"/>
        </w:rPr>
        <w:t xml:space="preserve"> </w:t>
      </w:r>
    </w:p>
    <w:p>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浙江中国小商品城集团股份有限公司</w:t>
      </w:r>
    </w:p>
    <w:p>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投资者关系活动记录表</w:t>
      </w:r>
    </w:p>
    <w:p>
      <w:pPr>
        <w:keepNext/>
        <w:keepLines/>
        <w:spacing w:before="156" w:beforeLines="50" w:after="156" w:afterLines="50" w:line="360" w:lineRule="auto"/>
        <w:jc w:val="right"/>
        <w:outlineLvl w:val="1"/>
        <w:rPr>
          <w:rFonts w:ascii="宋体" w:hAnsi="宋体" w:eastAsia="宋体" w:cs="Times New Roman"/>
          <w:b/>
          <w:bCs/>
          <w:sz w:val="24"/>
          <w:szCs w:val="24"/>
        </w:rPr>
      </w:pPr>
      <w:r>
        <w:rPr>
          <w:rFonts w:hint="eastAsia" w:ascii="宋体" w:hAnsi="宋体" w:eastAsia="宋体" w:cs="Times New Roman"/>
          <w:b/>
          <w:bCs/>
          <w:sz w:val="24"/>
          <w:szCs w:val="24"/>
        </w:rPr>
        <w:t>编号：2</w:t>
      </w:r>
      <w:r>
        <w:rPr>
          <w:rFonts w:ascii="宋体" w:hAnsi="宋体" w:eastAsia="宋体" w:cs="Times New Roman"/>
          <w:b/>
          <w:bCs/>
          <w:sz w:val="24"/>
          <w:szCs w:val="24"/>
        </w:rPr>
        <w:t>023</w:t>
      </w:r>
      <w:r>
        <w:rPr>
          <w:rFonts w:hint="eastAsia" w:ascii="宋体" w:hAnsi="宋体" w:eastAsia="宋体" w:cs="Times New Roman"/>
          <w:b/>
          <w:bCs/>
          <w:sz w:val="24"/>
          <w:szCs w:val="24"/>
        </w:rPr>
        <w:t>-</w:t>
      </w:r>
      <w:r>
        <w:rPr>
          <w:rFonts w:ascii="宋体" w:hAnsi="宋体" w:eastAsia="宋体" w:cs="Times New Roman"/>
          <w:b/>
          <w:bCs/>
          <w:sz w:val="24"/>
          <w:szCs w:val="24"/>
        </w:rPr>
        <w:t>001</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投资者关系活动类别</w:t>
            </w:r>
          </w:p>
        </w:tc>
        <w:tc>
          <w:tcPr>
            <w:tcW w:w="6379"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sz w:val="24"/>
                <w:szCs w:val="24"/>
              </w:rPr>
              <w:t xml:space="preserve">√特定对象调研        </w:t>
            </w:r>
            <w:r>
              <w:rPr>
                <w:rFonts w:hint="eastAsia" w:ascii="宋体" w:hAnsi="宋体" w:eastAsia="宋体" w:cs="Times New Roman"/>
                <w:bCs/>
                <w:iCs/>
                <w:sz w:val="24"/>
                <w:szCs w:val="24"/>
              </w:rPr>
              <w:t>□</w:t>
            </w:r>
            <w:r>
              <w:rPr>
                <w:rFonts w:hint="eastAsia" w:ascii="宋体" w:hAnsi="宋体" w:eastAsia="宋体" w:cs="Times New Roman"/>
                <w:sz w:val="24"/>
                <w:szCs w:val="24"/>
              </w:rPr>
              <w:t>分析师会议</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媒体采访            </w:t>
            </w:r>
            <w:r>
              <w:rPr>
                <w:rFonts w:hint="eastAsia" w:ascii="宋体" w:hAnsi="宋体" w:eastAsia="宋体" w:cs="Times New Roman"/>
                <w:bCs/>
                <w:iCs/>
                <w:sz w:val="24"/>
                <w:szCs w:val="24"/>
              </w:rPr>
              <w:t>□</w:t>
            </w:r>
            <w:r>
              <w:rPr>
                <w:rFonts w:hint="eastAsia" w:ascii="宋体" w:hAnsi="宋体" w:eastAsia="宋体" w:cs="Times New Roman"/>
                <w:sz w:val="24"/>
                <w:szCs w:val="24"/>
              </w:rPr>
              <w:t>业绩说明会</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新闻发布会          </w:t>
            </w:r>
            <w:r>
              <w:rPr>
                <w:rFonts w:hint="eastAsia" w:ascii="宋体" w:hAnsi="宋体" w:eastAsia="宋体" w:cs="Times New Roman"/>
                <w:bCs/>
                <w:iCs/>
                <w:sz w:val="24"/>
                <w:szCs w:val="24"/>
              </w:rPr>
              <w:t>□</w:t>
            </w:r>
            <w:r>
              <w:rPr>
                <w:rFonts w:hint="eastAsia" w:ascii="宋体" w:hAnsi="宋体" w:eastAsia="宋体" w:cs="Times New Roman"/>
                <w:sz w:val="24"/>
                <w:szCs w:val="24"/>
              </w:rPr>
              <w:t>路演活动</w:t>
            </w:r>
          </w:p>
          <w:p>
            <w:pPr>
              <w:tabs>
                <w:tab w:val="left" w:pos="2690"/>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现场参观            □电话会议</w:t>
            </w:r>
          </w:p>
          <w:p>
            <w:pPr>
              <w:tabs>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其他 （</w:t>
            </w:r>
            <w:r>
              <w:rPr>
                <w:rFonts w:hint="eastAsia" w:ascii="宋体" w:hAnsi="宋体" w:eastAsia="宋体"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参与单位名称</w:t>
            </w:r>
          </w:p>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及人员姓名</w:t>
            </w:r>
          </w:p>
        </w:tc>
        <w:tc>
          <w:tcPr>
            <w:tcW w:w="6379" w:type="dxa"/>
            <w:shd w:val="clear" w:color="auto" w:fill="auto"/>
            <w:vAlign w:val="center"/>
          </w:tcPr>
          <w:p>
            <w:pPr>
              <w:tabs>
                <w:tab w:val="center" w:pos="2798"/>
              </w:tabs>
              <w:spacing w:line="360" w:lineRule="auto"/>
              <w:rPr>
                <w:rFonts w:hint="default" w:ascii="宋体" w:hAnsi="宋体" w:eastAsia="宋体" w:cs="Times New Roman"/>
                <w:bCs/>
                <w:iCs/>
                <w:sz w:val="24"/>
                <w:szCs w:val="24"/>
                <w:lang w:val="en-US" w:eastAsia="zh-CN"/>
              </w:rPr>
            </w:pPr>
            <w:r>
              <w:rPr>
                <w:rFonts w:hint="eastAsia" w:ascii="宋体" w:hAnsi="宋体" w:eastAsia="宋体" w:cs="Times New Roman"/>
                <w:bCs/>
                <w:iCs/>
                <w:sz w:val="24"/>
                <w:szCs w:val="24"/>
              </w:rPr>
              <w:t>国泰君安</w:t>
            </w:r>
            <w:r>
              <w:rPr>
                <w:rFonts w:hint="eastAsia" w:ascii="宋体" w:hAnsi="宋体" w:eastAsia="宋体" w:cs="Times New Roman"/>
                <w:bCs/>
                <w:iCs/>
                <w:sz w:val="24"/>
                <w:szCs w:val="24"/>
                <w:lang w:val="en-US" w:eastAsia="zh-CN"/>
              </w:rPr>
              <w:t>证券、华西证券、</w:t>
            </w:r>
            <w:r>
              <w:rPr>
                <w:rFonts w:hint="eastAsia" w:ascii="宋体" w:hAnsi="宋体" w:eastAsia="宋体" w:cs="Times New Roman"/>
                <w:bCs/>
                <w:iCs/>
                <w:sz w:val="24"/>
                <w:szCs w:val="24"/>
              </w:rPr>
              <w:t>平安基金</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lang w:val="en-US" w:eastAsia="zh-CN"/>
              </w:rPr>
              <w:t>淳厚基金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会议时间</w:t>
            </w:r>
          </w:p>
        </w:tc>
        <w:tc>
          <w:tcPr>
            <w:tcW w:w="6379" w:type="dxa"/>
            <w:shd w:val="clear" w:color="auto" w:fill="auto"/>
            <w:vAlign w:val="center"/>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2</w:t>
            </w:r>
            <w:r>
              <w:rPr>
                <w:rFonts w:ascii="宋体" w:hAnsi="宋体" w:eastAsia="宋体" w:cs="Times New Roman"/>
                <w:bCs/>
                <w:iCs/>
                <w:sz w:val="24"/>
                <w:szCs w:val="24"/>
              </w:rPr>
              <w:t>023</w:t>
            </w:r>
            <w:r>
              <w:rPr>
                <w:rFonts w:hint="eastAsia" w:ascii="宋体" w:hAnsi="宋体" w:eastAsia="宋体" w:cs="Times New Roman"/>
                <w:bCs/>
                <w:iCs/>
                <w:sz w:val="24"/>
                <w:szCs w:val="24"/>
              </w:rPr>
              <w:t>年9月1</w:t>
            </w:r>
            <w:r>
              <w:rPr>
                <w:rFonts w:hint="eastAsia" w:ascii="宋体" w:hAnsi="宋体" w:eastAsia="宋体" w:cs="Times New Roman"/>
                <w:bCs/>
                <w:iCs/>
                <w:sz w:val="24"/>
                <w:szCs w:val="24"/>
                <w:lang w:val="en-US" w:eastAsia="zh-CN"/>
              </w:rPr>
              <w:t>2</w:t>
            </w:r>
            <w:r>
              <w:rPr>
                <w:rFonts w:hint="eastAsia" w:ascii="宋体" w:hAnsi="宋体" w:eastAsia="宋体" w:cs="Times New Roman"/>
                <w:bCs/>
                <w:iCs/>
                <w:sz w:val="24"/>
                <w:szCs w:val="24"/>
              </w:rPr>
              <w:t>日</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2</w:t>
            </w:r>
            <w:r>
              <w:rPr>
                <w:rFonts w:ascii="宋体" w:hAnsi="宋体" w:eastAsia="宋体" w:cs="Times New Roman"/>
                <w:bCs/>
                <w:iCs/>
                <w:sz w:val="24"/>
                <w:szCs w:val="24"/>
              </w:rPr>
              <w:t>023</w:t>
            </w:r>
            <w:r>
              <w:rPr>
                <w:rFonts w:hint="eastAsia" w:ascii="宋体" w:hAnsi="宋体" w:eastAsia="宋体" w:cs="Times New Roman"/>
                <w:bCs/>
                <w:iCs/>
                <w:sz w:val="24"/>
                <w:szCs w:val="24"/>
              </w:rPr>
              <w:t>年9月1</w:t>
            </w:r>
            <w:r>
              <w:rPr>
                <w:rFonts w:hint="eastAsia" w:ascii="宋体" w:hAnsi="宋体" w:eastAsia="宋体" w:cs="Times New Roman"/>
                <w:bCs/>
                <w:iCs/>
                <w:sz w:val="24"/>
                <w:szCs w:val="24"/>
                <w:lang w:val="en-US" w:eastAsia="zh-CN"/>
              </w:rPr>
              <w:t>3</w:t>
            </w:r>
            <w:r>
              <w:rPr>
                <w:rFonts w:hint="eastAsia" w:ascii="宋体" w:hAnsi="宋体" w:eastAsia="宋体" w:cs="Times New Roman"/>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会议地点</w:t>
            </w:r>
          </w:p>
        </w:tc>
        <w:tc>
          <w:tcPr>
            <w:tcW w:w="6379" w:type="dxa"/>
            <w:shd w:val="clear" w:color="auto" w:fill="auto"/>
            <w:vAlign w:val="center"/>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上市公司</w:t>
            </w:r>
          </w:p>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接待人员姓名</w:t>
            </w:r>
          </w:p>
        </w:tc>
        <w:tc>
          <w:tcPr>
            <w:tcW w:w="6379" w:type="dxa"/>
            <w:shd w:val="clear" w:color="auto" w:fill="auto"/>
            <w:vAlign w:val="center"/>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董事会秘书：许杭</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2411"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投资者关系活动主要内容介绍</w:t>
            </w:r>
          </w:p>
        </w:tc>
        <w:tc>
          <w:tcPr>
            <w:tcW w:w="6379" w:type="dxa"/>
            <w:shd w:val="clear" w:color="auto" w:fill="auto"/>
          </w:tcPr>
          <w:p>
            <w:pPr>
              <w:spacing w:line="360" w:lineRule="auto"/>
              <w:rPr>
                <w:rFonts w:ascii="宋体" w:hAnsi="宋体" w:eastAsia="宋体" w:cs="Times New Roman"/>
                <w:b/>
                <w:iCs/>
                <w:sz w:val="24"/>
                <w:szCs w:val="24"/>
              </w:rPr>
            </w:pPr>
            <w:r>
              <w:rPr>
                <w:rFonts w:hint="eastAsia" w:ascii="宋体" w:hAnsi="宋体" w:eastAsia="宋体" w:cs="Times New Roman"/>
                <w:b/>
                <w:iCs/>
                <w:sz w:val="24"/>
                <w:szCs w:val="24"/>
              </w:rPr>
              <w:t>1</w:t>
            </w:r>
            <w:r>
              <w:rPr>
                <w:rFonts w:ascii="宋体" w:hAnsi="宋体" w:eastAsia="宋体" w:cs="Times New Roman"/>
                <w:b/>
                <w:iCs/>
                <w:sz w:val="24"/>
                <w:szCs w:val="24"/>
              </w:rPr>
              <w:t>.</w:t>
            </w:r>
            <w:r>
              <w:rPr>
                <w:rFonts w:hint="eastAsia" w:ascii="宋体" w:hAnsi="宋体" w:eastAsia="宋体" w:cs="Times New Roman"/>
                <w:b/>
                <w:iCs/>
                <w:sz w:val="24"/>
                <w:szCs w:val="24"/>
              </w:rPr>
              <w:t>上半年，义乌市场景气度怎么样？</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答:</w:t>
            </w:r>
            <w:r>
              <w:rPr>
                <w:rFonts w:ascii="宋体" w:hAnsi="宋体" w:eastAsia="宋体" w:cs="Times New Roman"/>
                <w:bCs/>
                <w:iCs/>
                <w:sz w:val="24"/>
                <w:szCs w:val="24"/>
              </w:rPr>
              <w:t xml:space="preserve"> </w:t>
            </w:r>
            <w:r>
              <w:rPr>
                <w:rFonts w:hint="eastAsia" w:ascii="宋体" w:hAnsi="宋体" w:eastAsia="宋体" w:cs="Times New Roman"/>
                <w:bCs/>
                <w:iCs/>
                <w:sz w:val="24"/>
                <w:szCs w:val="24"/>
              </w:rPr>
              <w:t>上半年，国际商贸城日均客流量超 20 万人次，日均入场海外采购商超 2000 人，多项市场景气指标超过 2019 年同期水平，并呈现出以下几个特点：第一，义乌市场新能源类产业拓展带来的结构升级。第二，义乌市场中自主研发的产品日益增多，更创新更智能，加速由产品出海向品牌出海转型。第三，义乌市场的线上化程度不断提高，贸易履约能力越来越强。以上因素不断提升义乌市场“高性价比”内涵，义乌市场在国际上的综合竞争力越来越强。</w:t>
            </w:r>
          </w:p>
          <w:p>
            <w:pPr>
              <w:spacing w:line="360" w:lineRule="auto"/>
              <w:rPr>
                <w:rFonts w:ascii="宋体" w:hAnsi="宋体" w:eastAsia="宋体" w:cs="Times New Roman"/>
                <w:b/>
                <w:iCs/>
                <w:sz w:val="24"/>
                <w:szCs w:val="24"/>
              </w:rPr>
            </w:pPr>
            <w:r>
              <w:rPr>
                <w:rFonts w:ascii="宋体" w:hAnsi="宋体" w:eastAsia="宋体" w:cs="Times New Roman"/>
                <w:b/>
                <w:iCs/>
                <w:sz w:val="24"/>
                <w:szCs w:val="24"/>
              </w:rPr>
              <w:t>2.</w:t>
            </w:r>
            <w:r>
              <w:rPr>
                <w:rFonts w:hint="eastAsia"/>
                <w:sz w:val="24"/>
                <w:szCs w:val="24"/>
              </w:rPr>
              <w:t xml:space="preserve"> </w:t>
            </w:r>
            <w:r>
              <w:rPr>
                <w:rFonts w:hint="eastAsia" w:ascii="宋体" w:hAnsi="宋体" w:eastAsia="宋体" w:cs="Times New Roman"/>
                <w:b/>
                <w:iCs/>
                <w:sz w:val="24"/>
                <w:szCs w:val="24"/>
              </w:rPr>
              <w:t>chinagoods平台经营情况怎么样，加大投入主要是投入哪些，未来的收入模式大概是什么。</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答:</w:t>
            </w:r>
            <w:r>
              <w:rPr>
                <w:rFonts w:ascii="宋体" w:hAnsi="宋体" w:eastAsia="宋体" w:cs="Times New Roman"/>
                <w:bCs/>
                <w:iCs/>
                <w:sz w:val="24"/>
                <w:szCs w:val="24"/>
              </w:rPr>
              <w:t xml:space="preserve"> </w:t>
            </w:r>
            <w:r>
              <w:rPr>
                <w:rFonts w:hint="eastAsia" w:ascii="宋体" w:hAnsi="宋体" w:eastAsia="宋体" w:cs="Times New Roman"/>
                <w:bCs/>
                <w:iCs/>
                <w:sz w:val="24"/>
                <w:szCs w:val="24"/>
              </w:rPr>
              <w:t>大数据公司（chinagoods 平台运营主体）上半年净利润 4639.89 万元，去年同期为-557.87 万元，在上半年 chinagoods 平台加大技术研发投入的情况下，净利润仍然取得较大幅度增长。加大投入一方面是吸引互联网专家人才，另一方面是平台系统的迭代、部分新兴方向的投入。未来chinagoods平台收入和利润的主要增长预计来自通过提供多种贸易服务带来的服务费。</w:t>
            </w:r>
          </w:p>
          <w:p>
            <w:pPr>
              <w:spacing w:line="360" w:lineRule="auto"/>
              <w:rPr>
                <w:rFonts w:ascii="宋体" w:hAnsi="宋体" w:eastAsia="宋体" w:cs="Times New Roman"/>
                <w:b/>
                <w:bCs/>
                <w:iCs/>
                <w:sz w:val="24"/>
                <w:szCs w:val="24"/>
              </w:rPr>
            </w:pPr>
            <w:r>
              <w:rPr>
                <w:rFonts w:ascii="宋体" w:hAnsi="宋体" w:eastAsia="宋体" w:cs="Times New Roman"/>
                <w:b/>
                <w:bCs/>
                <w:iCs/>
                <w:sz w:val="24"/>
                <w:szCs w:val="24"/>
              </w:rPr>
              <w:t>3.</w:t>
            </w:r>
            <w:r>
              <w:rPr>
                <w:rFonts w:hint="eastAsia" w:ascii="宋体" w:hAnsi="宋体" w:eastAsia="宋体" w:cs="Times New Roman"/>
                <w:b/>
                <w:bCs/>
                <w:iCs/>
                <w:sz w:val="24"/>
                <w:szCs w:val="24"/>
              </w:rPr>
              <w:t>今年义乌市场哪些行业比较景气？</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答：今年</w:t>
            </w:r>
            <w:r>
              <w:rPr>
                <w:rFonts w:hint="eastAsia" w:ascii="宋体" w:hAnsi="宋体" w:eastAsia="宋体" w:cs="Times New Roman"/>
                <w:iCs/>
                <w:sz w:val="24"/>
                <w:szCs w:val="24"/>
                <w:lang w:val="en-US" w:eastAsia="zh-CN"/>
              </w:rPr>
              <w:t>上半年</w:t>
            </w:r>
            <w:r>
              <w:rPr>
                <w:rFonts w:hint="eastAsia" w:ascii="宋体" w:hAnsi="宋体" w:eastAsia="宋体" w:cs="Times New Roman"/>
                <w:iCs/>
                <w:sz w:val="24"/>
                <w:szCs w:val="24"/>
              </w:rPr>
              <w:t>义乌市场呈现“强复苏”状态，多个行业景气度较高，如玩具、视频、美妆、帽子、寺庙用品、旅游工艺品、新能源用品、雨具、文具、宠物、箱包、防晒用品等。</w:t>
            </w:r>
          </w:p>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4</w:t>
            </w:r>
            <w:r>
              <w:rPr>
                <w:rFonts w:ascii="宋体" w:hAnsi="宋体" w:eastAsia="宋体" w:cs="Times New Roman"/>
                <w:b/>
                <w:bCs/>
                <w:iCs/>
                <w:sz w:val="24"/>
                <w:szCs w:val="24"/>
              </w:rPr>
              <w:t>.</w:t>
            </w:r>
            <w:r>
              <w:rPr>
                <w:rFonts w:hint="eastAsia" w:ascii="宋体" w:hAnsi="宋体" w:eastAsia="宋体" w:cs="Times New Roman"/>
                <w:b/>
                <w:bCs/>
                <w:iCs/>
                <w:sz w:val="24"/>
                <w:szCs w:val="24"/>
              </w:rPr>
              <w:t>全球数贸中心数字市场部分预计什么时间招商投用？</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答：全球数贸中心数字市场部分预计在2025年3季度招商投用。</w:t>
            </w:r>
          </w:p>
          <w:p>
            <w:pPr>
              <w:spacing w:line="360" w:lineRule="auto"/>
              <w:rPr>
                <w:rFonts w:ascii="宋体" w:hAnsi="宋体" w:eastAsia="宋体" w:cs="Times New Roman"/>
                <w:b/>
                <w:bCs/>
                <w:iCs/>
                <w:sz w:val="24"/>
                <w:szCs w:val="24"/>
              </w:rPr>
            </w:pPr>
            <w:r>
              <w:rPr>
                <w:rFonts w:ascii="宋体" w:hAnsi="宋体" w:eastAsia="宋体" w:cs="Times New Roman"/>
                <w:b/>
                <w:bCs/>
                <w:iCs/>
                <w:sz w:val="24"/>
                <w:szCs w:val="24"/>
              </w:rPr>
              <w:t>5.</w:t>
            </w:r>
            <w:r>
              <w:rPr>
                <w:rFonts w:hint="eastAsia" w:ascii="宋体" w:hAnsi="宋体" w:eastAsia="宋体" w:cs="Times New Roman"/>
                <w:b/>
                <w:bCs/>
                <w:iCs/>
                <w:sz w:val="24"/>
                <w:szCs w:val="24"/>
              </w:rPr>
              <w:t>“Yiwu</w:t>
            </w:r>
            <w:r>
              <w:rPr>
                <w:rFonts w:ascii="宋体" w:hAnsi="宋体" w:eastAsia="宋体" w:cs="Times New Roman"/>
                <w:b/>
                <w:bCs/>
                <w:iCs/>
                <w:sz w:val="24"/>
                <w:szCs w:val="24"/>
              </w:rPr>
              <w:t xml:space="preserve"> </w:t>
            </w:r>
            <w:r>
              <w:rPr>
                <w:rFonts w:hint="eastAsia" w:ascii="宋体" w:hAnsi="宋体" w:eastAsia="宋体" w:cs="Times New Roman"/>
                <w:b/>
                <w:bCs/>
                <w:iCs/>
                <w:sz w:val="24"/>
                <w:szCs w:val="24"/>
              </w:rPr>
              <w:t>Pay”跨境人民币业务经营情况怎么样？</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答：截至报告期末，与全球 400 多家银行达成合作，业务覆盖 100 多个国家和地区，国际收付主流币种达 20 种。公司自有支付品牌“义支付 Yiwu Pay”自 2023 年 2 月 21 日正式上线以来，实现跨境人民币业务服务客户数 1.57万余户，跨境清算资金超人民币 16 亿元。</w:t>
            </w:r>
          </w:p>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6</w:t>
            </w:r>
            <w:r>
              <w:rPr>
                <w:rFonts w:ascii="宋体" w:hAnsi="宋体" w:eastAsia="宋体" w:cs="Times New Roman"/>
                <w:b/>
                <w:bCs/>
                <w:iCs/>
                <w:sz w:val="24"/>
                <w:szCs w:val="24"/>
              </w:rPr>
              <w:t>.</w:t>
            </w:r>
            <w:r>
              <w:rPr>
                <w:rFonts w:hint="eastAsia" w:ascii="宋体" w:hAnsi="宋体" w:eastAsia="宋体" w:cs="Times New Roman"/>
                <w:b/>
                <w:bCs/>
                <w:iCs/>
                <w:sz w:val="24"/>
                <w:szCs w:val="24"/>
              </w:rPr>
              <w:t>公司在“一带一路”方向上近期有哪些布局？</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9月5日，公司在二区东新能源市场举行了“义乌中国小商品城”品牌出海全球发布仪式，围绕着供应链服务打出一系列组合拳，做全球一流国际贸易综合服务商。此次发布会上，深圳传音控股集团与浙江中国小商品城集团股份有限公司签订Yiwu Selection海外展厅战略框架协议；中国小商品城日用百货商会与浙江中国小商品城集团股份有限公司市场运营分公司签订“出海一盘好货”战略合作协议；上海格林福德国际货物运输代理有限公司与义乌中国小商品城大数据有限公司签订“Chinagoods沙特阿拉伯国家站”战略合作协议；中东国际展览与义乌中国小商品城展览股份有限公司签订“2024年沙特贸易周（CTW)&amp;智能家居展”战略合作协议等。</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在当前形势下，中国企业开始升级自身产品力和品牌力，力求在不断升级的国际化中抓住发展机遇。企业出海地域结构变化，也带来了需求的转变，中国企业出海业务正从传统欧美等成熟地区，以及东南亚等周边市场，逐步扩散到中东、非洲等新兴区域。亚非拉和中东地区成为中企出海热点。</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9月6日，义乌到菲律宾马尼拉航线的“小商品城号”杨帆起航，马来西亚巴生海外仓开仓运营，Yiwu Selection海外展厅逐步在东南亚、南美等“一带一路”国家落地。义乌已提出“统一名称、标识、标准、服务”，打好“海外分市场、海外仓、海外站、海外展厅、海外展会”等品牌出海，推动义乌小商品“触达”更大市场。</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总之，公司将发挥自身优势，积极拓宽“一带一路”方向的贸易布局，特别是在中东和东南亚区域，争取更多“一带一路”方向贸易增量和话语权，助力中国小商品贸易流通和人民币出海。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2411"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关于本次活动是否涉及应披露重大信息的说明</w:t>
            </w:r>
          </w:p>
        </w:tc>
        <w:tc>
          <w:tcPr>
            <w:tcW w:w="6379" w:type="dxa"/>
            <w:shd w:val="clear" w:color="auto" w:fill="auto"/>
            <w:vAlign w:val="center"/>
          </w:tcPr>
          <w:p>
            <w:pPr>
              <w:spacing w:line="360" w:lineRule="auto"/>
              <w:jc w:val="center"/>
              <w:rPr>
                <w:rFonts w:ascii="宋体" w:hAnsi="宋体" w:eastAsia="宋体" w:cs="Times New Roman"/>
                <w:bCs/>
                <w:iCs/>
                <w:sz w:val="24"/>
                <w:szCs w:val="24"/>
              </w:rPr>
            </w:pPr>
            <w:r>
              <w:rPr>
                <w:rFonts w:hint="eastAsia" w:ascii="宋体" w:hAnsi="宋体" w:eastAsia="宋体" w:cs="Times New Roman"/>
                <w:bCs/>
                <w:i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411"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活动过程中所使用的演示文稿、提供的文档等附件(如有，可作为附件)</w:t>
            </w:r>
          </w:p>
        </w:tc>
        <w:tc>
          <w:tcPr>
            <w:tcW w:w="6379" w:type="dxa"/>
            <w:shd w:val="clear" w:color="auto" w:fill="auto"/>
            <w:vAlign w:val="center"/>
          </w:tcPr>
          <w:p>
            <w:pPr>
              <w:spacing w:line="360" w:lineRule="auto"/>
              <w:jc w:val="center"/>
              <w:rPr>
                <w:rFonts w:ascii="宋体" w:hAnsi="宋体" w:eastAsia="宋体" w:cs="Times New Roman"/>
                <w:bCs/>
                <w:iCs/>
                <w:sz w:val="24"/>
                <w:szCs w:val="24"/>
              </w:rPr>
            </w:pPr>
            <w:r>
              <w:rPr>
                <w:rFonts w:hint="eastAsia" w:ascii="宋体" w:hAnsi="宋体" w:eastAsia="宋体" w:cs="Times New Roman"/>
                <w:bCs/>
                <w:iCs/>
                <w:sz w:val="24"/>
                <w:szCs w:val="24"/>
              </w:rPr>
              <w:t>无</w:t>
            </w:r>
          </w:p>
        </w:tc>
      </w:tr>
    </w:tbl>
    <w:p>
      <w:pPr>
        <w:spacing w:line="360"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81B36"/>
    <w:rsid w:val="000828F8"/>
    <w:rsid w:val="00086C90"/>
    <w:rsid w:val="000A65EF"/>
    <w:rsid w:val="000B6FFD"/>
    <w:rsid w:val="000C2F52"/>
    <w:rsid w:val="000F6BEB"/>
    <w:rsid w:val="00103C4E"/>
    <w:rsid w:val="00111EF4"/>
    <w:rsid w:val="00113C72"/>
    <w:rsid w:val="00114CEA"/>
    <w:rsid w:val="001221B8"/>
    <w:rsid w:val="001304EB"/>
    <w:rsid w:val="001334C1"/>
    <w:rsid w:val="00136BC5"/>
    <w:rsid w:val="00143A57"/>
    <w:rsid w:val="00151B55"/>
    <w:rsid w:val="001672FF"/>
    <w:rsid w:val="001819EF"/>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44D9"/>
    <w:rsid w:val="001F5B62"/>
    <w:rsid w:val="002118DC"/>
    <w:rsid w:val="00214C8F"/>
    <w:rsid w:val="002278FB"/>
    <w:rsid w:val="00232813"/>
    <w:rsid w:val="00234237"/>
    <w:rsid w:val="00234D03"/>
    <w:rsid w:val="00251EF8"/>
    <w:rsid w:val="002525E9"/>
    <w:rsid w:val="0025271B"/>
    <w:rsid w:val="00255B4A"/>
    <w:rsid w:val="00256250"/>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508D5"/>
    <w:rsid w:val="003524BC"/>
    <w:rsid w:val="0035572A"/>
    <w:rsid w:val="00362CD0"/>
    <w:rsid w:val="00363384"/>
    <w:rsid w:val="0037038A"/>
    <w:rsid w:val="003722F1"/>
    <w:rsid w:val="0037245D"/>
    <w:rsid w:val="00376EB2"/>
    <w:rsid w:val="0038034C"/>
    <w:rsid w:val="00386F86"/>
    <w:rsid w:val="00397642"/>
    <w:rsid w:val="003A2EB2"/>
    <w:rsid w:val="003B13A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67B9C"/>
    <w:rsid w:val="00470346"/>
    <w:rsid w:val="00472F77"/>
    <w:rsid w:val="00473F91"/>
    <w:rsid w:val="00482D5D"/>
    <w:rsid w:val="004859A7"/>
    <w:rsid w:val="00495655"/>
    <w:rsid w:val="004A58CB"/>
    <w:rsid w:val="004B500C"/>
    <w:rsid w:val="004C2002"/>
    <w:rsid w:val="004C3E41"/>
    <w:rsid w:val="004C6956"/>
    <w:rsid w:val="004D4156"/>
    <w:rsid w:val="004D614E"/>
    <w:rsid w:val="004E25DD"/>
    <w:rsid w:val="004E4CBB"/>
    <w:rsid w:val="004F5C3F"/>
    <w:rsid w:val="00504DF9"/>
    <w:rsid w:val="00507071"/>
    <w:rsid w:val="00510286"/>
    <w:rsid w:val="00524D04"/>
    <w:rsid w:val="00534D66"/>
    <w:rsid w:val="0054404C"/>
    <w:rsid w:val="00572A6D"/>
    <w:rsid w:val="00582D78"/>
    <w:rsid w:val="00584526"/>
    <w:rsid w:val="00584D8F"/>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E4F20"/>
    <w:rsid w:val="005E5F7A"/>
    <w:rsid w:val="005E602E"/>
    <w:rsid w:val="005F2C62"/>
    <w:rsid w:val="005F3897"/>
    <w:rsid w:val="005F7318"/>
    <w:rsid w:val="006016A0"/>
    <w:rsid w:val="00605119"/>
    <w:rsid w:val="00606A42"/>
    <w:rsid w:val="00623855"/>
    <w:rsid w:val="00626FB3"/>
    <w:rsid w:val="0063129A"/>
    <w:rsid w:val="006323B5"/>
    <w:rsid w:val="00642382"/>
    <w:rsid w:val="00643F90"/>
    <w:rsid w:val="0064637F"/>
    <w:rsid w:val="00653A71"/>
    <w:rsid w:val="00655835"/>
    <w:rsid w:val="00667FB5"/>
    <w:rsid w:val="00672C00"/>
    <w:rsid w:val="00686E4C"/>
    <w:rsid w:val="0069619A"/>
    <w:rsid w:val="006A2E11"/>
    <w:rsid w:val="006A3184"/>
    <w:rsid w:val="006E3B82"/>
    <w:rsid w:val="006E7372"/>
    <w:rsid w:val="006F32A2"/>
    <w:rsid w:val="006F438E"/>
    <w:rsid w:val="00701E34"/>
    <w:rsid w:val="007118F2"/>
    <w:rsid w:val="00713A75"/>
    <w:rsid w:val="00733488"/>
    <w:rsid w:val="00735F4D"/>
    <w:rsid w:val="00746249"/>
    <w:rsid w:val="00751592"/>
    <w:rsid w:val="00756A97"/>
    <w:rsid w:val="00757362"/>
    <w:rsid w:val="0076183F"/>
    <w:rsid w:val="00770B3F"/>
    <w:rsid w:val="00771A91"/>
    <w:rsid w:val="00773213"/>
    <w:rsid w:val="00785284"/>
    <w:rsid w:val="0079430A"/>
    <w:rsid w:val="00794C8B"/>
    <w:rsid w:val="00795940"/>
    <w:rsid w:val="007A4905"/>
    <w:rsid w:val="007B196F"/>
    <w:rsid w:val="007C39F3"/>
    <w:rsid w:val="007C7447"/>
    <w:rsid w:val="007C7D09"/>
    <w:rsid w:val="007E1F58"/>
    <w:rsid w:val="007F2176"/>
    <w:rsid w:val="00806573"/>
    <w:rsid w:val="00814484"/>
    <w:rsid w:val="008160A1"/>
    <w:rsid w:val="00816CED"/>
    <w:rsid w:val="00821685"/>
    <w:rsid w:val="00827C6C"/>
    <w:rsid w:val="00836E8C"/>
    <w:rsid w:val="008453D5"/>
    <w:rsid w:val="00857E84"/>
    <w:rsid w:val="00873293"/>
    <w:rsid w:val="00875E95"/>
    <w:rsid w:val="008914C8"/>
    <w:rsid w:val="00894406"/>
    <w:rsid w:val="008A120E"/>
    <w:rsid w:val="008B4886"/>
    <w:rsid w:val="008C04C9"/>
    <w:rsid w:val="008C4D32"/>
    <w:rsid w:val="008C6B72"/>
    <w:rsid w:val="008C7588"/>
    <w:rsid w:val="008D2B96"/>
    <w:rsid w:val="008D3726"/>
    <w:rsid w:val="008E245B"/>
    <w:rsid w:val="008F5F3A"/>
    <w:rsid w:val="00900BAF"/>
    <w:rsid w:val="009108F5"/>
    <w:rsid w:val="0091400E"/>
    <w:rsid w:val="009157EF"/>
    <w:rsid w:val="009224F5"/>
    <w:rsid w:val="00924412"/>
    <w:rsid w:val="0092574C"/>
    <w:rsid w:val="00941808"/>
    <w:rsid w:val="00942951"/>
    <w:rsid w:val="009457DF"/>
    <w:rsid w:val="0095035C"/>
    <w:rsid w:val="009553B1"/>
    <w:rsid w:val="0096018C"/>
    <w:rsid w:val="00966C22"/>
    <w:rsid w:val="009678BF"/>
    <w:rsid w:val="009776A7"/>
    <w:rsid w:val="00980694"/>
    <w:rsid w:val="009868C0"/>
    <w:rsid w:val="00991961"/>
    <w:rsid w:val="009C06A4"/>
    <w:rsid w:val="009C63B1"/>
    <w:rsid w:val="009E0B46"/>
    <w:rsid w:val="009E3D68"/>
    <w:rsid w:val="00A03AA1"/>
    <w:rsid w:val="00A04996"/>
    <w:rsid w:val="00A05042"/>
    <w:rsid w:val="00A10F5B"/>
    <w:rsid w:val="00A16F6F"/>
    <w:rsid w:val="00A31B20"/>
    <w:rsid w:val="00A32B73"/>
    <w:rsid w:val="00A32ED1"/>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45D6"/>
    <w:rsid w:val="00AD237A"/>
    <w:rsid w:val="00AD445E"/>
    <w:rsid w:val="00AD4B08"/>
    <w:rsid w:val="00AE00B6"/>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20B3"/>
    <w:rsid w:val="00BE0789"/>
    <w:rsid w:val="00BE20BB"/>
    <w:rsid w:val="00BE277C"/>
    <w:rsid w:val="00BE54C4"/>
    <w:rsid w:val="00BE5D9C"/>
    <w:rsid w:val="00BF1133"/>
    <w:rsid w:val="00C001F3"/>
    <w:rsid w:val="00C104B8"/>
    <w:rsid w:val="00C1636B"/>
    <w:rsid w:val="00C207C2"/>
    <w:rsid w:val="00C32714"/>
    <w:rsid w:val="00C37AAB"/>
    <w:rsid w:val="00C40B1A"/>
    <w:rsid w:val="00C42788"/>
    <w:rsid w:val="00C47614"/>
    <w:rsid w:val="00C5254A"/>
    <w:rsid w:val="00C52F40"/>
    <w:rsid w:val="00C531CC"/>
    <w:rsid w:val="00C55E93"/>
    <w:rsid w:val="00C56171"/>
    <w:rsid w:val="00C70DF2"/>
    <w:rsid w:val="00C7174C"/>
    <w:rsid w:val="00C860DF"/>
    <w:rsid w:val="00C91519"/>
    <w:rsid w:val="00C9168C"/>
    <w:rsid w:val="00C91FD9"/>
    <w:rsid w:val="00C951AA"/>
    <w:rsid w:val="00CA1877"/>
    <w:rsid w:val="00CC092E"/>
    <w:rsid w:val="00CC4FD6"/>
    <w:rsid w:val="00CC6538"/>
    <w:rsid w:val="00CC78CC"/>
    <w:rsid w:val="00CD419D"/>
    <w:rsid w:val="00CD5CAD"/>
    <w:rsid w:val="00CD65D6"/>
    <w:rsid w:val="00CD66E0"/>
    <w:rsid w:val="00CE6D72"/>
    <w:rsid w:val="00CF6F6C"/>
    <w:rsid w:val="00D100A7"/>
    <w:rsid w:val="00D12BD7"/>
    <w:rsid w:val="00D13CFA"/>
    <w:rsid w:val="00D170E1"/>
    <w:rsid w:val="00D208A4"/>
    <w:rsid w:val="00D327C1"/>
    <w:rsid w:val="00D37CB6"/>
    <w:rsid w:val="00D40C13"/>
    <w:rsid w:val="00D41E36"/>
    <w:rsid w:val="00D5622E"/>
    <w:rsid w:val="00D7427C"/>
    <w:rsid w:val="00D76F2A"/>
    <w:rsid w:val="00D84DF8"/>
    <w:rsid w:val="00D93D53"/>
    <w:rsid w:val="00D96FB9"/>
    <w:rsid w:val="00DA3342"/>
    <w:rsid w:val="00DA4962"/>
    <w:rsid w:val="00DA5894"/>
    <w:rsid w:val="00DB1D3C"/>
    <w:rsid w:val="00DD2242"/>
    <w:rsid w:val="00DD27C7"/>
    <w:rsid w:val="00DE31A5"/>
    <w:rsid w:val="00DE7F6D"/>
    <w:rsid w:val="00E0172D"/>
    <w:rsid w:val="00E07C47"/>
    <w:rsid w:val="00E24E41"/>
    <w:rsid w:val="00E32A31"/>
    <w:rsid w:val="00E53347"/>
    <w:rsid w:val="00E53783"/>
    <w:rsid w:val="00E61A61"/>
    <w:rsid w:val="00E64488"/>
    <w:rsid w:val="00E668C5"/>
    <w:rsid w:val="00E803AB"/>
    <w:rsid w:val="00E93DA5"/>
    <w:rsid w:val="00EA3651"/>
    <w:rsid w:val="00EA6288"/>
    <w:rsid w:val="00EC10E4"/>
    <w:rsid w:val="00EC1ED4"/>
    <w:rsid w:val="00EC28FD"/>
    <w:rsid w:val="00ED3AB2"/>
    <w:rsid w:val="00ED53EA"/>
    <w:rsid w:val="00EE02A6"/>
    <w:rsid w:val="00EE16DD"/>
    <w:rsid w:val="00EE26CD"/>
    <w:rsid w:val="00EE7C85"/>
    <w:rsid w:val="00EF4863"/>
    <w:rsid w:val="00F06B8F"/>
    <w:rsid w:val="00F1256C"/>
    <w:rsid w:val="00F142F3"/>
    <w:rsid w:val="00F32FC6"/>
    <w:rsid w:val="00F42E00"/>
    <w:rsid w:val="00F50F83"/>
    <w:rsid w:val="00F51380"/>
    <w:rsid w:val="00F5385A"/>
    <w:rsid w:val="00F60682"/>
    <w:rsid w:val="00F6394E"/>
    <w:rsid w:val="00F66E15"/>
    <w:rsid w:val="00F743F0"/>
    <w:rsid w:val="00F744EC"/>
    <w:rsid w:val="00F74675"/>
    <w:rsid w:val="00F76634"/>
    <w:rsid w:val="00F870FA"/>
    <w:rsid w:val="00F87C66"/>
    <w:rsid w:val="00F93AD8"/>
    <w:rsid w:val="00F9738B"/>
    <w:rsid w:val="00FA5092"/>
    <w:rsid w:val="00FA56AE"/>
    <w:rsid w:val="00FB28D9"/>
    <w:rsid w:val="00FB28F5"/>
    <w:rsid w:val="00FB4A0F"/>
    <w:rsid w:val="00FC12C0"/>
    <w:rsid w:val="00FC19DF"/>
    <w:rsid w:val="00FC2937"/>
    <w:rsid w:val="00FC55FE"/>
    <w:rsid w:val="00FD225E"/>
    <w:rsid w:val="00FE33A1"/>
    <w:rsid w:val="00FE6D51"/>
    <w:rsid w:val="00FE6ED9"/>
    <w:rsid w:val="00FF291F"/>
    <w:rsid w:val="00FF4F78"/>
    <w:rsid w:val="15152076"/>
    <w:rsid w:val="2F064DB0"/>
    <w:rsid w:val="32242D99"/>
    <w:rsid w:val="34650269"/>
    <w:rsid w:val="444C06CA"/>
    <w:rsid w:val="467F0394"/>
    <w:rsid w:val="4CF7225E"/>
    <w:rsid w:val="5E151E13"/>
    <w:rsid w:val="685428D3"/>
    <w:rsid w:val="72731A54"/>
    <w:rsid w:val="7D983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kern w:val="2"/>
      <w:sz w:val="18"/>
      <w:szCs w:val="18"/>
    </w:rPr>
  </w:style>
  <w:style w:type="character" w:customStyle="1" w:styleId="12">
    <w:name w:val="页脚 字符"/>
    <w:basedOn w:val="9"/>
    <w:link w:val="4"/>
    <w:qFormat/>
    <w:uiPriority w:val="99"/>
    <w:rPr>
      <w:kern w:val="2"/>
      <w:sz w:val="18"/>
      <w:szCs w:val="18"/>
    </w:rPr>
  </w:style>
  <w:style w:type="paragraph" w:styleId="13">
    <w:name w:val="List Paragraph"/>
    <w:basedOn w:val="1"/>
    <w:uiPriority w:val="99"/>
    <w:pPr>
      <w:ind w:firstLine="420" w:firstLineChars="200"/>
    </w:pPr>
  </w:style>
  <w:style w:type="character" w:customStyle="1" w:styleId="14">
    <w:name w:val="批注文字 字符"/>
    <w:basedOn w:val="9"/>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 w:type="character" w:customStyle="1" w:styleId="16">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10F5-BFF1-496E-96CE-F79E3F307CAF}">
  <ds:schemaRefs/>
</ds:datastoreItem>
</file>

<file path=docProps/app.xml><?xml version="1.0" encoding="utf-8"?>
<Properties xmlns="http://schemas.openxmlformats.org/officeDocument/2006/extended-properties" xmlns:vt="http://schemas.openxmlformats.org/officeDocument/2006/docPropsVTypes">
  <Template>Normal</Template>
  <Pages>3</Pages>
  <Words>279</Words>
  <Characters>1593</Characters>
  <Lines>13</Lines>
  <Paragraphs>3</Paragraphs>
  <TotalTime>3</TotalTime>
  <ScaleCrop>false</ScaleCrop>
  <LinksUpToDate>false</LinksUpToDate>
  <CharactersWithSpaces>1869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2020-08-17T08:25:00Z</dcterms:created>
  <dc:creator>Li Xiang</dc:creator>
  <cp:lastModifiedBy>夏孝臣</cp:lastModifiedBy>
  <dcterms:modified xsi:type="dcterms:W3CDTF">2023-09-15T06:50:32Z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BE1C615CDCD2418D8A83DCE9FAADE2EE_13</vt:lpwstr>
  </property>
</Properties>
</file>