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FC" w:rsidRDefault="000E796E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>证券代码：</w:t>
      </w:r>
      <w:r w:rsidR="008F7FC1">
        <w:rPr>
          <w:rFonts w:ascii="宋体" w:eastAsia="宋体" w:hAnsi="宋体" w:cs="宋体"/>
          <w:sz w:val="20"/>
          <w:szCs w:val="20"/>
          <w:lang w:val="en-US"/>
        </w:rPr>
        <w:t>601878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</w:t>
      </w:r>
      <w:r w:rsidR="008F7FC1">
        <w:rPr>
          <w:rFonts w:ascii="宋体" w:eastAsia="宋体" w:hAnsi="宋体" w:cs="宋体" w:hint="eastAsia"/>
          <w:sz w:val="20"/>
          <w:szCs w:val="20"/>
          <w:lang w:val="en-US"/>
        </w:rPr>
        <w:t>浙商证券</w:t>
      </w:r>
    </w:p>
    <w:p w:rsidR="00AB38FC" w:rsidRDefault="00AB38FC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B38FC" w:rsidRDefault="008F7FC1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浙商证券股份</w:t>
      </w:r>
      <w:r w:rsidR="000E796E">
        <w:rPr>
          <w:rFonts w:ascii="宋体" w:eastAsia="宋体" w:hAnsi="宋体" w:cs="宋体" w:hint="eastAsia"/>
          <w:b/>
          <w:bCs/>
          <w:sz w:val="44"/>
          <w:szCs w:val="44"/>
        </w:rPr>
        <w:t>有限公司</w:t>
      </w:r>
    </w:p>
    <w:p w:rsidR="00AB38FC" w:rsidRDefault="000E796E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:rsidR="00AB38FC" w:rsidRDefault="000E796E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2023</w:t>
      </w:r>
      <w:r>
        <w:rPr>
          <w:rFonts w:ascii="宋体" w:eastAsia="宋体" w:hAnsi="宋体" w:cs="宋体" w:hint="eastAsia"/>
          <w:sz w:val="20"/>
          <w:szCs w:val="20"/>
        </w:rPr>
        <w:t>-</w:t>
      </w:r>
      <w:r>
        <w:rPr>
          <w:rFonts w:ascii="宋体" w:eastAsia="宋体" w:hAnsi="宋体" w:cs="宋体"/>
          <w:sz w:val="20"/>
          <w:szCs w:val="20"/>
        </w:rPr>
        <w:t>00</w:t>
      </w:r>
      <w:r w:rsidR="001C303B">
        <w:rPr>
          <w:rFonts w:ascii="宋体" w:eastAsia="宋体" w:hAnsi="宋体" w:cs="宋体"/>
          <w:sz w:val="20"/>
          <w:szCs w:val="20"/>
          <w:lang w:val="en-US"/>
        </w:rPr>
        <w:t>2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AB38FC">
        <w:trPr>
          <w:trHeight w:val="2801"/>
          <w:jc w:val="center"/>
        </w:trPr>
        <w:tc>
          <w:tcPr>
            <w:tcW w:w="2580" w:type="dxa"/>
          </w:tcPr>
          <w:p w:rsidR="00AB38FC" w:rsidRDefault="00AB38FC">
            <w:pPr>
              <w:pStyle w:val="TableParagraph"/>
              <w:spacing w:before="7"/>
              <w:rPr>
                <w:b/>
                <w:bCs/>
              </w:rPr>
            </w:pPr>
          </w:p>
          <w:p w:rsidR="00AB38FC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5945" w:type="dxa"/>
          </w:tcPr>
          <w:p w:rsidR="00AB38FC" w:rsidRDefault="00AB38FC">
            <w:pPr>
              <w:pStyle w:val="TableParagraph"/>
              <w:spacing w:before="7"/>
            </w:pPr>
          </w:p>
          <w:p w:rsidR="00AB38FC" w:rsidRDefault="00A676C4">
            <w:pPr>
              <w:pStyle w:val="TableParagraph"/>
              <w:tabs>
                <w:tab w:val="left" w:pos="2418"/>
              </w:tabs>
              <w:spacing w:before="1"/>
              <w:ind w:left="107"/>
            </w:pPr>
            <w:sdt>
              <w:sdtPr>
                <w:rPr>
                  <w:rFonts w:hint="eastAsia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特</w:t>
            </w:r>
            <w:r w:rsidR="000E796E">
              <w:rPr>
                <w:rFonts w:hint="eastAsia"/>
                <w:spacing w:val="-3"/>
              </w:rPr>
              <w:t>定</w:t>
            </w:r>
            <w:r w:rsidR="000E796E">
              <w:rPr>
                <w:rFonts w:hint="eastAsia"/>
              </w:rPr>
              <w:t>对</w:t>
            </w:r>
            <w:r w:rsidR="000E796E">
              <w:rPr>
                <w:rFonts w:hint="eastAsia"/>
                <w:spacing w:val="-3"/>
              </w:rPr>
              <w:t>象</w:t>
            </w:r>
            <w:r w:rsidR="000E796E">
              <w:rPr>
                <w:rFonts w:hint="eastAsia"/>
              </w:rPr>
              <w:t>调研</w:t>
            </w:r>
            <w:r w:rsidR="000E796E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分</w:t>
            </w:r>
            <w:r w:rsidR="000E796E">
              <w:rPr>
                <w:rFonts w:hint="eastAsia"/>
                <w:spacing w:val="-3"/>
              </w:rPr>
              <w:t>析</w:t>
            </w:r>
            <w:r w:rsidR="000E796E">
              <w:rPr>
                <w:rFonts w:hint="eastAsia"/>
              </w:rPr>
              <w:t>师</w:t>
            </w:r>
            <w:r w:rsidR="000E796E">
              <w:rPr>
                <w:rFonts w:hint="eastAsia"/>
                <w:spacing w:val="-3"/>
              </w:rPr>
              <w:t>会</w:t>
            </w:r>
            <w:r w:rsidR="000E796E">
              <w:rPr>
                <w:rFonts w:hint="eastAsia"/>
              </w:rPr>
              <w:t>议</w:t>
            </w:r>
          </w:p>
          <w:p w:rsidR="00AB38FC" w:rsidRDefault="00AB38FC">
            <w:pPr>
              <w:pStyle w:val="TableParagraph"/>
              <w:spacing w:before="11"/>
            </w:pPr>
          </w:p>
          <w:p w:rsidR="00AB38FC" w:rsidRDefault="00A676C4">
            <w:pPr>
              <w:pStyle w:val="TableParagraph"/>
              <w:tabs>
                <w:tab w:val="left" w:pos="2418"/>
              </w:tabs>
              <w:ind w:left="107"/>
            </w:pPr>
            <w:sdt>
              <w:sdtPr>
                <w:rPr>
                  <w:rFonts w:hint="eastAsia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媒</w:t>
            </w:r>
            <w:r w:rsidR="000E796E">
              <w:rPr>
                <w:rFonts w:hint="eastAsia"/>
                <w:spacing w:val="-3"/>
              </w:rPr>
              <w:t>体</w:t>
            </w:r>
            <w:r w:rsidR="000E796E">
              <w:rPr>
                <w:rFonts w:hint="eastAsia"/>
              </w:rPr>
              <w:t>采访</w:t>
            </w:r>
            <w:r w:rsidR="000E796E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ascii="Wingdings 2" w:hAnsi="Wingdings 2"/>
                  </w:rPr>
                  <w:t></w:t>
                </w:r>
              </w:sdtContent>
            </w:sdt>
            <w:r w:rsidR="000E796E">
              <w:rPr>
                <w:rFonts w:hint="eastAsia"/>
              </w:rPr>
              <w:t>业</w:t>
            </w:r>
            <w:r w:rsidR="000E796E">
              <w:rPr>
                <w:rFonts w:hint="eastAsia"/>
                <w:spacing w:val="-3"/>
              </w:rPr>
              <w:t>绩</w:t>
            </w:r>
            <w:r w:rsidR="000E796E">
              <w:rPr>
                <w:rFonts w:hint="eastAsia"/>
              </w:rPr>
              <w:t>说</w:t>
            </w:r>
            <w:r w:rsidR="000E796E">
              <w:rPr>
                <w:rFonts w:hint="eastAsia"/>
                <w:spacing w:val="-3"/>
              </w:rPr>
              <w:t>明</w:t>
            </w:r>
            <w:r w:rsidR="000E796E">
              <w:rPr>
                <w:rFonts w:hint="eastAsia"/>
              </w:rPr>
              <w:t>会</w:t>
            </w:r>
          </w:p>
          <w:p w:rsidR="00AB38FC" w:rsidRDefault="00AB38FC">
            <w:pPr>
              <w:pStyle w:val="TableParagraph"/>
              <w:spacing w:before="8"/>
            </w:pPr>
          </w:p>
          <w:p w:rsidR="00AB38FC" w:rsidRDefault="00A676C4">
            <w:pPr>
              <w:pStyle w:val="TableParagraph"/>
              <w:tabs>
                <w:tab w:val="left" w:pos="2418"/>
              </w:tabs>
              <w:ind w:left="107"/>
            </w:pPr>
            <w:sdt>
              <w:sdtPr>
                <w:rPr>
                  <w:rFonts w:hint="eastAsia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新</w:t>
            </w:r>
            <w:r w:rsidR="000E796E">
              <w:rPr>
                <w:rFonts w:hint="eastAsia"/>
                <w:spacing w:val="-3"/>
              </w:rPr>
              <w:t>闻</w:t>
            </w:r>
            <w:r w:rsidR="000E796E">
              <w:rPr>
                <w:rFonts w:hint="eastAsia"/>
              </w:rPr>
              <w:t>发</w:t>
            </w:r>
            <w:r w:rsidR="000E796E">
              <w:rPr>
                <w:rFonts w:hint="eastAsia"/>
                <w:spacing w:val="-3"/>
              </w:rPr>
              <w:t>布</w:t>
            </w:r>
            <w:r w:rsidR="000E796E">
              <w:rPr>
                <w:rFonts w:hint="eastAsia"/>
              </w:rPr>
              <w:t>会</w:t>
            </w:r>
            <w:r w:rsidR="000E796E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路</w:t>
            </w:r>
            <w:r w:rsidR="000E796E">
              <w:rPr>
                <w:rFonts w:hint="eastAsia"/>
                <w:spacing w:val="-3"/>
              </w:rPr>
              <w:t>演</w:t>
            </w:r>
            <w:r w:rsidR="000E796E">
              <w:rPr>
                <w:rFonts w:hint="eastAsia"/>
              </w:rPr>
              <w:t>活动</w:t>
            </w:r>
          </w:p>
          <w:p w:rsidR="00AB38FC" w:rsidRDefault="00AB38FC">
            <w:pPr>
              <w:pStyle w:val="TableParagraph"/>
              <w:spacing w:before="8"/>
            </w:pPr>
          </w:p>
          <w:p w:rsidR="00AB38FC" w:rsidRDefault="00A676C4">
            <w:pPr>
              <w:pStyle w:val="TableParagraph"/>
              <w:ind w:left="107"/>
            </w:pPr>
            <w:sdt>
              <w:sdtPr>
                <w:rPr>
                  <w:rFonts w:hint="eastAsia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现场参观</w:t>
            </w:r>
          </w:p>
          <w:p w:rsidR="00AB38FC" w:rsidRDefault="00AB38FC">
            <w:pPr>
              <w:pStyle w:val="TableParagraph"/>
              <w:spacing w:before="11"/>
            </w:pPr>
          </w:p>
          <w:p w:rsidR="00AB38FC" w:rsidRDefault="00A676C4">
            <w:pPr>
              <w:pStyle w:val="TableParagraph"/>
              <w:ind w:left="107"/>
            </w:pPr>
            <w:sdt>
              <w:sdtPr>
                <w:rPr>
                  <w:rFonts w:hint="eastAsia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>
                  <w:rPr>
                    <w:rFonts w:hint="eastAsia"/>
                  </w:rPr>
                  <w:t>☐</w:t>
                </w:r>
              </w:sdtContent>
            </w:sdt>
            <w:r w:rsidR="000E796E">
              <w:rPr>
                <w:rFonts w:hint="eastAsia"/>
              </w:rPr>
              <w:t>其他（</w:t>
            </w:r>
            <w:r w:rsidR="000E796E">
              <w:rPr>
                <w:rFonts w:hint="eastAsia"/>
                <w:u w:val="single"/>
              </w:rPr>
              <w:t>请文字说明其他活动内容）</w:t>
            </w:r>
          </w:p>
        </w:tc>
      </w:tr>
      <w:tr w:rsidR="00AB38FC">
        <w:trPr>
          <w:trHeight w:val="1120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spacing w:line="560" w:lineRule="exact"/>
              <w:ind w:left="107" w:right="9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:rsidR="00AB38FC" w:rsidRDefault="000E796E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线上参与公司</w:t>
            </w:r>
            <w:r w:rsidR="001C303B" w:rsidRPr="001C303B">
              <w:t>2023年半年度业绩说明会</w:t>
            </w:r>
            <w:r>
              <w:rPr>
                <w:rFonts w:hint="eastAsia"/>
              </w:rPr>
              <w:t>的全体投资者</w:t>
            </w:r>
          </w:p>
        </w:tc>
      </w:tr>
      <w:tr w:rsidR="00AB38FC">
        <w:trPr>
          <w:trHeight w:val="558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5945" w:type="dxa"/>
            <w:vAlign w:val="center"/>
          </w:tcPr>
          <w:p w:rsidR="00AB38FC" w:rsidRDefault="000E796E">
            <w:pPr>
              <w:spacing w:before="100" w:beforeAutospacing="1" w:line="360" w:lineRule="auto"/>
            </w:pPr>
            <w:r>
              <w:rPr>
                <w:rFonts w:hint="eastAsia"/>
              </w:rPr>
              <w:t>2023年</w:t>
            </w:r>
            <w:r w:rsidR="008F7FC1">
              <w:rPr>
                <w:rFonts w:hint="eastAsia"/>
              </w:rPr>
              <w:t>0</w:t>
            </w:r>
            <w:r w:rsidR="001C303B">
              <w:t>9</w:t>
            </w:r>
            <w:r>
              <w:rPr>
                <w:rFonts w:hint="eastAsia"/>
              </w:rPr>
              <w:t>月</w:t>
            </w:r>
            <w:r w:rsidR="001C303B">
              <w:t>19</w:t>
            </w:r>
            <w:r>
              <w:rPr>
                <w:rFonts w:hint="eastAsia"/>
              </w:rPr>
              <w:t>日 1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:00-1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:00</w:t>
            </w:r>
          </w:p>
        </w:tc>
      </w:tr>
      <w:tr w:rsidR="00AB38FC">
        <w:trPr>
          <w:trHeight w:val="561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5945" w:type="dxa"/>
            <w:vAlign w:val="center"/>
          </w:tcPr>
          <w:p w:rsidR="00AB38FC" w:rsidRDefault="000E796E">
            <w:pPr>
              <w:pStyle w:val="TableParagraph"/>
              <w:spacing w:before="100" w:beforeAutospacing="1"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上证路演中心</w:t>
            </w:r>
          </w:p>
        </w:tc>
      </w:tr>
      <w:tr w:rsidR="00AB38FC">
        <w:trPr>
          <w:trHeight w:val="558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:rsidR="001C303B" w:rsidRDefault="001C303B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董事长：吴承根</w:t>
            </w:r>
          </w:p>
          <w:p w:rsidR="008F7FC1" w:rsidRDefault="008F7FC1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独立董事：金雪军</w:t>
            </w:r>
          </w:p>
          <w:p w:rsidR="008F7FC1" w:rsidRDefault="008F7FC1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财务总监：盛建龙</w:t>
            </w:r>
          </w:p>
          <w:p w:rsidR="008F7FC1" w:rsidRDefault="008F7FC1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董事会秘书：张晖</w:t>
            </w:r>
          </w:p>
        </w:tc>
      </w:tr>
      <w:tr w:rsidR="00AB38FC">
        <w:trPr>
          <w:trHeight w:val="2800"/>
          <w:jc w:val="center"/>
        </w:trPr>
        <w:tc>
          <w:tcPr>
            <w:tcW w:w="2580" w:type="dxa"/>
          </w:tcPr>
          <w:p w:rsidR="00AB38FC" w:rsidRDefault="00AB38F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B38FC" w:rsidRDefault="00AB38F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B38FC" w:rsidRDefault="00AB38FC">
            <w:pPr>
              <w:pStyle w:val="TableParagraph"/>
              <w:spacing w:before="1"/>
              <w:ind w:left="107"/>
              <w:rPr>
                <w:b/>
                <w:bCs/>
              </w:rPr>
            </w:pPr>
          </w:p>
          <w:p w:rsidR="00AB38FC" w:rsidRDefault="000E796E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b/>
                <w:bCs/>
              </w:rPr>
              <w:t>投资者关系活动主要内容介绍</w:t>
            </w:r>
          </w:p>
        </w:tc>
        <w:tc>
          <w:tcPr>
            <w:tcW w:w="5945" w:type="dxa"/>
          </w:tcPr>
          <w:p w:rsidR="001C303B" w:rsidRDefault="001C303B" w:rsidP="001C303B">
            <w:r>
              <w:rPr>
                <w:rFonts w:hint="eastAsia"/>
              </w:rPr>
              <w:t>1、</w:t>
            </w:r>
            <w:r w:rsidRPr="00CE66CC">
              <w:rPr>
                <w:rFonts w:hint="eastAsia"/>
              </w:rPr>
              <w:t>最近看到招聘网站浙商证券在招聘算法方面的工程师，问下公司是否在进行金融领域的大模型研发？如有是考虑自建还是和金融互联网公司共建。方便能透露下研发方向是哪个领域</w:t>
            </w:r>
            <w:r>
              <w:rPr>
                <w:rFonts w:hint="eastAsia"/>
              </w:rPr>
              <w:t>？</w:t>
            </w:r>
          </w:p>
          <w:p w:rsidR="00AB38FC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答：</w:t>
            </w:r>
            <w:r w:rsidR="001C303B" w:rsidRPr="00CE66CC">
              <w:rPr>
                <w:rFonts w:hint="eastAsia"/>
              </w:rPr>
              <w:t>机构投资者在日常交易过程中会运用各类算法交易，比如</w:t>
            </w:r>
            <w:r w:rsidR="001C303B" w:rsidRPr="00CE66CC">
              <w:t>TWAP,VWAP等，以减小对市场的冲击。专业的算法工程师需协助机构投资者制定一对一专业的算法方案，帮助投资者更好地使用算法交易。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lastRenderedPageBreak/>
              <w:t>2、</w:t>
            </w:r>
            <w:r w:rsidR="001C303B" w:rsidRPr="001C303B">
              <w:rPr>
                <w:rFonts w:hint="eastAsia"/>
              </w:rPr>
              <w:t>为了更好的了解公司，近期是否有可能到公司来调研</w:t>
            </w:r>
            <w:r>
              <w:rPr>
                <w:rFonts w:hint="eastAsia"/>
              </w:rPr>
              <w:t>？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答：</w:t>
            </w:r>
            <w:r w:rsidR="001C303B" w:rsidRPr="001C303B">
              <w:rPr>
                <w:rFonts w:hint="eastAsia"/>
              </w:rPr>
              <w:t>公司始终重视投资者关系管理工作，公司欢迎各位投资者通过邮件、现场调研、上证</w:t>
            </w:r>
            <w:r w:rsidR="001C303B" w:rsidRPr="001C303B">
              <w:t>e互动、业绩说明会等多形式来公司调研。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 w:rsidRPr="00F11257">
              <w:rPr>
                <w:rFonts w:hint="eastAsia"/>
              </w:rPr>
              <w:t>3、</w:t>
            </w:r>
            <w:r w:rsidR="001C303B" w:rsidRPr="001C303B">
              <w:rPr>
                <w:rFonts w:hint="eastAsia"/>
              </w:rPr>
              <w:t>公司今年财务状况与去年相比有那些变化</w:t>
            </w:r>
            <w:r>
              <w:rPr>
                <w:rFonts w:hint="eastAsia"/>
              </w:rPr>
              <w:t>？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答：</w:t>
            </w:r>
            <w:r w:rsidR="00F21207" w:rsidRPr="00F21207">
              <w:rPr>
                <w:rFonts w:hint="eastAsia"/>
              </w:rPr>
              <w:t>公司上半年实现营业收入</w:t>
            </w:r>
            <w:r w:rsidR="00F21207" w:rsidRPr="00F21207">
              <w:t>84.56亿元，同比增长13.29%；实现净利润9.42亿，同比增长28.12%；实现归属于上市公司股东的净利润9.11亿元，同比增长25.29%。2023年6月末，公司总资产较上年末增长6.53%，归属于上市公司股东的所有者权益较上年末增长0.20%</w:t>
            </w:r>
            <w:r>
              <w:t>。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4、</w:t>
            </w:r>
            <w:r w:rsidR="00F21207" w:rsidRPr="00F21207">
              <w:rPr>
                <w:rFonts w:hint="eastAsia"/>
              </w:rPr>
              <w:t>公司股价一路下跌，公司将采取什么措施稳定股价</w:t>
            </w:r>
            <w:r>
              <w:rPr>
                <w:rFonts w:hint="eastAsia"/>
              </w:rPr>
              <w:t>？</w:t>
            </w:r>
          </w:p>
          <w:p w:rsidR="00F11257" w:rsidRDefault="00F1125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答：</w:t>
            </w:r>
            <w:r w:rsidR="00575EAD">
              <w:rPr>
                <w:rFonts w:hint="eastAsia"/>
              </w:rPr>
              <w:t>公司会致力于努力经营，并以自己的经营成果回馈股东。</w:t>
            </w:r>
          </w:p>
          <w:p w:rsidR="00F21207" w:rsidRDefault="00F2120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5、</w:t>
            </w:r>
            <w:r w:rsidRPr="00F21207">
              <w:rPr>
                <w:rFonts w:hint="eastAsia"/>
              </w:rPr>
              <w:t>对于券商而言，公司发行可转债的意义在哪？之前发的</w:t>
            </w:r>
            <w:r w:rsidRPr="00F21207">
              <w:t>70亿可转债进入转股</w:t>
            </w:r>
            <w:bookmarkStart w:id="0" w:name="_GoBack"/>
            <w:bookmarkEnd w:id="0"/>
            <w:r w:rsidRPr="00F21207">
              <w:t>期，公司在推动转股上公司有何考虑</w:t>
            </w:r>
            <w:r>
              <w:rPr>
                <w:rFonts w:hint="eastAsia"/>
              </w:rPr>
              <w:t>？</w:t>
            </w:r>
          </w:p>
          <w:p w:rsidR="00F11257" w:rsidRDefault="00F21207" w:rsidP="00F11257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答：</w:t>
            </w:r>
            <w:r w:rsidRPr="00F21207">
              <w:rPr>
                <w:rFonts w:hint="eastAsia"/>
              </w:rPr>
              <w:t>发行可转债可以解决公司的资金需求，其次有利于补充公司的权益资本，提升公司的竞争力和抗风险能力。公司将努力经营，提升公司价值，促进公司可转债的转股。</w:t>
            </w:r>
          </w:p>
        </w:tc>
      </w:tr>
      <w:tr w:rsidR="00AB38FC">
        <w:trPr>
          <w:trHeight w:val="561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:rsidR="00AB38FC" w:rsidRDefault="000E796E">
            <w:pPr>
              <w:pStyle w:val="ac"/>
              <w:widowControl/>
              <w:spacing w:line="2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无</w:t>
            </w:r>
          </w:p>
        </w:tc>
      </w:tr>
      <w:tr w:rsidR="00AB38FC">
        <w:trPr>
          <w:trHeight w:val="558"/>
          <w:jc w:val="center"/>
        </w:trPr>
        <w:tc>
          <w:tcPr>
            <w:tcW w:w="2580" w:type="dxa"/>
            <w:vAlign w:val="center"/>
          </w:tcPr>
          <w:p w:rsidR="00AB38FC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945" w:type="dxa"/>
            <w:vAlign w:val="center"/>
          </w:tcPr>
          <w:p w:rsidR="00AB38FC" w:rsidRDefault="000E796E">
            <w:pPr>
              <w:pStyle w:val="ac"/>
              <w:widowControl/>
              <w:spacing w:line="240" w:lineRule="exact"/>
            </w:pPr>
            <w:r>
              <w:rPr>
                <w:rFonts w:hint="eastAsia"/>
              </w:rPr>
              <w:t>2023年</w:t>
            </w:r>
            <w:r w:rsidR="00F11257">
              <w:rPr>
                <w:rFonts w:hint="eastAsia"/>
              </w:rPr>
              <w:t>0</w:t>
            </w:r>
            <w:r w:rsidR="00F21207">
              <w:t>9</w:t>
            </w:r>
            <w:r>
              <w:rPr>
                <w:rFonts w:hint="eastAsia"/>
              </w:rPr>
              <w:t>月</w:t>
            </w:r>
            <w:r w:rsidR="00F21207">
              <w:t>19</w:t>
            </w:r>
            <w:r>
              <w:rPr>
                <w:rFonts w:hint="eastAsia"/>
              </w:rPr>
              <w:t>日</w:t>
            </w:r>
          </w:p>
        </w:tc>
      </w:tr>
    </w:tbl>
    <w:p w:rsidR="00AB38FC" w:rsidRDefault="00AB38FC">
      <w:pPr>
        <w:rPr>
          <w:rFonts w:ascii="宋体" w:eastAsia="宋体" w:hAnsi="宋体" w:cs="宋体"/>
          <w:sz w:val="28"/>
          <w:szCs w:val="36"/>
        </w:rPr>
      </w:pPr>
    </w:p>
    <w:sectPr w:rsidR="00AB38FC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C4" w:rsidRDefault="00A676C4" w:rsidP="008F7FC1">
      <w:r>
        <w:separator/>
      </w:r>
    </w:p>
  </w:endnote>
  <w:endnote w:type="continuationSeparator" w:id="0">
    <w:p w:rsidR="00A676C4" w:rsidRDefault="00A676C4" w:rsidP="008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C4" w:rsidRDefault="00A676C4" w:rsidP="008F7FC1">
      <w:r>
        <w:separator/>
      </w:r>
    </w:p>
  </w:footnote>
  <w:footnote w:type="continuationSeparator" w:id="0">
    <w:p w:rsidR="00A676C4" w:rsidRDefault="00A676C4" w:rsidP="008F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CAE"/>
    <w:multiLevelType w:val="hybridMultilevel"/>
    <w:tmpl w:val="FB661B6C"/>
    <w:lvl w:ilvl="0" w:tplc="F47E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jcwYWNlZThiOGMwZDUyZjM5MDlmNWI1NjUzZGEifQ=="/>
  </w:docVars>
  <w:rsids>
    <w:rsidRoot w:val="00301D32"/>
    <w:rsid w:val="F7BAE3E9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0E796E"/>
    <w:rsid w:val="0011418F"/>
    <w:rsid w:val="00172C24"/>
    <w:rsid w:val="001C303B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34D97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75EAD"/>
    <w:rsid w:val="005D64CA"/>
    <w:rsid w:val="005E5717"/>
    <w:rsid w:val="005E6DB2"/>
    <w:rsid w:val="0061433E"/>
    <w:rsid w:val="0062751D"/>
    <w:rsid w:val="006354AA"/>
    <w:rsid w:val="00661807"/>
    <w:rsid w:val="00661AFA"/>
    <w:rsid w:val="006726BF"/>
    <w:rsid w:val="00677B77"/>
    <w:rsid w:val="0068718A"/>
    <w:rsid w:val="006A2739"/>
    <w:rsid w:val="006B5C95"/>
    <w:rsid w:val="006E14B0"/>
    <w:rsid w:val="006F0108"/>
    <w:rsid w:val="00703820"/>
    <w:rsid w:val="00704AE6"/>
    <w:rsid w:val="007153A2"/>
    <w:rsid w:val="00724A68"/>
    <w:rsid w:val="007271BF"/>
    <w:rsid w:val="00730DD3"/>
    <w:rsid w:val="00733224"/>
    <w:rsid w:val="007400B7"/>
    <w:rsid w:val="00764128"/>
    <w:rsid w:val="007824B8"/>
    <w:rsid w:val="007910DD"/>
    <w:rsid w:val="007A3EC1"/>
    <w:rsid w:val="007A5C6D"/>
    <w:rsid w:val="007B3368"/>
    <w:rsid w:val="007D0A69"/>
    <w:rsid w:val="007D6DC4"/>
    <w:rsid w:val="00853463"/>
    <w:rsid w:val="00861CCC"/>
    <w:rsid w:val="00893F25"/>
    <w:rsid w:val="00895035"/>
    <w:rsid w:val="008B2B14"/>
    <w:rsid w:val="008C6AED"/>
    <w:rsid w:val="008C7604"/>
    <w:rsid w:val="008E1B27"/>
    <w:rsid w:val="008F7FC1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3341B"/>
    <w:rsid w:val="00A527AA"/>
    <w:rsid w:val="00A5684D"/>
    <w:rsid w:val="00A676C4"/>
    <w:rsid w:val="00A75C61"/>
    <w:rsid w:val="00A9601B"/>
    <w:rsid w:val="00AB38FC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DE6ACD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1257"/>
    <w:rsid w:val="00F14977"/>
    <w:rsid w:val="00F2120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1831B4"/>
    <w:rsid w:val="28734C1A"/>
    <w:rsid w:val="28C72DDD"/>
    <w:rsid w:val="29EE0E64"/>
    <w:rsid w:val="2A5D7158"/>
    <w:rsid w:val="2BC4020A"/>
    <w:rsid w:val="2EF90F16"/>
    <w:rsid w:val="2F125C63"/>
    <w:rsid w:val="302C3D0A"/>
    <w:rsid w:val="3104598F"/>
    <w:rsid w:val="33DE31BB"/>
    <w:rsid w:val="378E0557"/>
    <w:rsid w:val="389C49C0"/>
    <w:rsid w:val="39BC78F4"/>
    <w:rsid w:val="3B35486F"/>
    <w:rsid w:val="3EF1250A"/>
    <w:rsid w:val="40567DB0"/>
    <w:rsid w:val="40FF5CD2"/>
    <w:rsid w:val="421C2449"/>
    <w:rsid w:val="42246753"/>
    <w:rsid w:val="42DB40B0"/>
    <w:rsid w:val="43B71B0A"/>
    <w:rsid w:val="44FA0589"/>
    <w:rsid w:val="453D6684"/>
    <w:rsid w:val="45A663E3"/>
    <w:rsid w:val="469F09AF"/>
    <w:rsid w:val="4B756271"/>
    <w:rsid w:val="4C1B2975"/>
    <w:rsid w:val="4C8E1CA8"/>
    <w:rsid w:val="4D6D36A4"/>
    <w:rsid w:val="510903EF"/>
    <w:rsid w:val="518B4DF2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0100030"/>
    <w:rsid w:val="72446028"/>
    <w:rsid w:val="73076EC0"/>
    <w:rsid w:val="74210CA6"/>
    <w:rsid w:val="746F4E76"/>
    <w:rsid w:val="74E32B01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A80AE"/>
  <w15:docId w15:val="{379E1AEB-12E7-46CE-8D64-344191E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ind w:firstLineChars="200" w:firstLine="883"/>
      <w:outlineLvl w:val="1"/>
    </w:pPr>
    <w:rPr>
      <w:rFonts w:ascii="Arial" w:eastAsia="楷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val="en-US" w:bidi="ar-SA"/>
    </w:rPr>
  </w:style>
  <w:style w:type="paragraph" w:styleId="ac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e">
    <w:name w:val="批注主题 字符"/>
    <w:basedOn w:val="a4"/>
    <w:link w:val="ad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lenovo</cp:lastModifiedBy>
  <cp:revision>17</cp:revision>
  <dcterms:created xsi:type="dcterms:W3CDTF">2022-04-12T14:10:00Z</dcterms:created>
  <dcterms:modified xsi:type="dcterms:W3CDTF">2023-09-20T08:21:00Z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BC2E84AAE0A947758240BEF62148F5AE</vt:lpwstr>
  </property>
</Properties>
</file>