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证券代码：601020                              </w:t>
      </w:r>
      <w:r>
        <w:rPr>
          <w:b/>
          <w:bCs/>
          <w:sz w:val="24"/>
          <w:szCs w:val="24"/>
        </w:rPr>
        <w:t xml:space="preserve">              </w:t>
      </w:r>
      <w:r>
        <w:rPr>
          <w:rFonts w:hint="eastAsia"/>
          <w:b/>
          <w:bCs/>
          <w:sz w:val="24"/>
          <w:szCs w:val="24"/>
        </w:rPr>
        <w:t>证券简称：华钰矿业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转债代码：</w:t>
      </w:r>
      <w:r>
        <w:rPr>
          <w:b/>
          <w:bCs/>
          <w:sz w:val="24"/>
          <w:szCs w:val="24"/>
        </w:rPr>
        <w:t xml:space="preserve">113027                                            </w:t>
      </w:r>
      <w:r>
        <w:rPr>
          <w:rFonts w:hint="eastAsia"/>
          <w:b/>
          <w:bCs/>
          <w:sz w:val="24"/>
          <w:szCs w:val="24"/>
        </w:rPr>
        <w:t>转债简称：华钰转债</w:t>
      </w:r>
    </w:p>
    <w:p>
      <w:pPr>
        <w:spacing w:line="360" w:lineRule="auto"/>
        <w:ind w:left="204"/>
        <w:jc w:val="center"/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西藏华钰矿业股份有限公司</w:t>
      </w:r>
    </w:p>
    <w:p>
      <w:pPr>
        <w:spacing w:line="360" w:lineRule="auto"/>
        <w:ind w:left="204"/>
        <w:jc w:val="center"/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投资者关系活动记录表（</w:t>
      </w:r>
      <w:r>
        <w:rPr>
          <w:b/>
          <w:bCs/>
          <w:color w:val="FF0000"/>
          <w:sz w:val="32"/>
          <w:szCs w:val="32"/>
        </w:rPr>
        <w:t>202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3</w:t>
      </w:r>
      <w:r>
        <w:rPr>
          <w:b/>
          <w:bCs/>
          <w:color w:val="FF0000"/>
          <w:sz w:val="32"/>
          <w:szCs w:val="32"/>
        </w:rPr>
        <w:t>年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半</w:t>
      </w:r>
      <w:r>
        <w:rPr>
          <w:b/>
          <w:bCs/>
          <w:color w:val="FF0000"/>
          <w:sz w:val="32"/>
          <w:szCs w:val="32"/>
        </w:rPr>
        <w:t>年度业绩说明会）</w:t>
      </w:r>
    </w:p>
    <w:p>
      <w:pPr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编号：2023—0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6"/>
        <w:gridCol w:w="6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6" w:hRule="atLeast"/>
        </w:trPr>
        <w:tc>
          <w:tcPr>
            <w:tcW w:w="1885" w:type="pct"/>
            <w:shd w:val="clear" w:color="auto" w:fill="auto"/>
          </w:tcPr>
          <w:p>
            <w:pPr>
              <w:spacing w:beforeLines="500" w:line="360" w:lineRule="auto"/>
              <w:ind w:firstLine="236" w:firstLineChars="98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3114" w:type="pct"/>
            <w:shd w:val="clear" w:color="auto" w:fill="auto"/>
          </w:tcPr>
          <w:p>
            <w:pPr>
              <w:spacing w:line="360" w:lineRule="auto"/>
              <w:ind w:left="204"/>
              <w:rPr>
                <w:rFonts w:cs="Times New Roman"/>
                <w:bCs/>
                <w:iCs/>
                <w:sz w:val="24"/>
                <w:szCs w:val="24"/>
              </w:rPr>
            </w:pPr>
          </w:p>
          <w:p>
            <w:pPr>
              <w:spacing w:line="360" w:lineRule="auto"/>
              <w:ind w:left="204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hint="eastAsia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cs="Times New Roman"/>
                <w:sz w:val="24"/>
                <w:szCs w:val="24"/>
              </w:rPr>
              <w:t xml:space="preserve">特定对象调研        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cs="Times New Roman"/>
                <w:sz w:val="24"/>
                <w:szCs w:val="24"/>
              </w:rPr>
              <w:t>分析师会议</w:t>
            </w:r>
          </w:p>
          <w:p>
            <w:pPr>
              <w:spacing w:line="360" w:lineRule="auto"/>
              <w:ind w:left="204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hint="eastAsia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cs="Times New Roman"/>
                <w:sz w:val="24"/>
                <w:szCs w:val="24"/>
              </w:rPr>
              <w:t xml:space="preserve">媒体采访            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√</w:t>
            </w:r>
            <w:r>
              <w:rPr>
                <w:rFonts w:hint="eastAsia" w:cs="Times New Roman"/>
                <w:sz w:val="24"/>
                <w:szCs w:val="24"/>
              </w:rPr>
              <w:t>业绩说明会</w:t>
            </w:r>
          </w:p>
          <w:p>
            <w:pPr>
              <w:spacing w:line="360" w:lineRule="auto"/>
              <w:ind w:left="204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hint="eastAsia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cs="Times New Roman"/>
                <w:sz w:val="24"/>
                <w:szCs w:val="24"/>
              </w:rPr>
              <w:t xml:space="preserve">新闻发布会          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cs="Times New Roman"/>
                <w:sz w:val="24"/>
                <w:szCs w:val="24"/>
              </w:rPr>
              <w:t>路演活动</w:t>
            </w:r>
          </w:p>
          <w:p>
            <w:pPr>
              <w:tabs>
                <w:tab w:val="left" w:pos="2690"/>
                <w:tab w:val="center" w:pos="3199"/>
              </w:tabs>
              <w:spacing w:line="360" w:lineRule="auto"/>
              <w:ind w:left="204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hint="eastAsia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cs="Times New Roman"/>
                <w:sz w:val="24"/>
                <w:szCs w:val="24"/>
              </w:rPr>
              <w:t>现场参观□电话会议</w:t>
            </w:r>
          </w:p>
          <w:p>
            <w:pPr>
              <w:tabs>
                <w:tab w:val="center" w:pos="3199"/>
              </w:tabs>
              <w:spacing w:line="360" w:lineRule="auto"/>
              <w:ind w:left="204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hint="eastAsia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cs="Times New Roman"/>
                <w:sz w:val="24"/>
                <w:szCs w:val="24"/>
              </w:rPr>
              <w:t>其他 （</w:t>
            </w:r>
            <w:r>
              <w:rPr>
                <w:rFonts w:hint="eastAsia" w:cs="Times New Roman"/>
                <w:sz w:val="24"/>
                <w:szCs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pct"/>
            <w:shd w:val="clear" w:color="auto" w:fill="auto"/>
            <w:vAlign w:val="center"/>
          </w:tcPr>
          <w:p>
            <w:pPr>
              <w:spacing w:line="360" w:lineRule="auto"/>
              <w:ind w:left="204"/>
              <w:jc w:val="both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3114" w:type="pct"/>
            <w:shd w:val="clear" w:color="auto" w:fill="auto"/>
          </w:tcPr>
          <w:p>
            <w:pPr>
              <w:spacing w:line="360" w:lineRule="auto"/>
              <w:ind w:firstLine="240" w:firstLineChars="100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hint="eastAsia" w:cs="Times New Roman"/>
                <w:bCs/>
                <w:iCs/>
                <w:sz w:val="24"/>
                <w:szCs w:val="24"/>
              </w:rPr>
              <w:t>2023年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月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日下午</w:t>
            </w:r>
            <w:r>
              <w:rPr>
                <w:rFonts w:hint="eastAsia"/>
                <w:sz w:val="24"/>
                <w:szCs w:val="24"/>
              </w:rPr>
              <w:t>14:00-15:00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pct"/>
            <w:shd w:val="clear" w:color="auto" w:fill="auto"/>
            <w:vAlign w:val="center"/>
          </w:tcPr>
          <w:p>
            <w:pPr>
              <w:spacing w:line="360" w:lineRule="auto"/>
              <w:ind w:left="204"/>
              <w:jc w:val="both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3114" w:type="pct"/>
            <w:shd w:val="clear" w:color="auto" w:fill="auto"/>
          </w:tcPr>
          <w:p>
            <w:pPr>
              <w:spacing w:line="360" w:lineRule="auto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hint="eastAsia" w:cs="Times New Roman"/>
                <w:bCs/>
                <w:iCs/>
                <w:sz w:val="24"/>
                <w:szCs w:val="24"/>
              </w:rPr>
              <w:t>上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证所信息网络有限公司上证路演中心平台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（网址：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http://roadshow.sseinfo.com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pct"/>
            <w:shd w:val="clear" w:color="auto" w:fill="auto"/>
            <w:vAlign w:val="center"/>
          </w:tcPr>
          <w:p>
            <w:pPr>
              <w:spacing w:line="360" w:lineRule="auto"/>
              <w:ind w:left="204"/>
              <w:jc w:val="both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3114" w:type="pct"/>
            <w:shd w:val="clear" w:color="auto" w:fill="auto"/>
          </w:tcPr>
          <w:p>
            <w:pPr>
              <w:spacing w:line="360" w:lineRule="auto"/>
              <w:ind w:left="204"/>
              <w:rPr>
                <w:rFonts w:hint="eastAsia" w:eastAsia="宋体" w:cs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董事长兼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总经理：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刘良坤</w:t>
            </w:r>
          </w:p>
          <w:p>
            <w:pPr>
              <w:spacing w:line="360" w:lineRule="auto"/>
              <w:ind w:left="204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hint="eastAsia" w:cs="Times New Roman"/>
                <w:bCs/>
                <w:iCs/>
                <w:sz w:val="24"/>
                <w:szCs w:val="24"/>
              </w:rPr>
              <w:t>独立董事：王聪</w:t>
            </w:r>
          </w:p>
          <w:p>
            <w:pPr>
              <w:spacing w:line="360" w:lineRule="auto"/>
              <w:ind w:left="204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hint="eastAsia" w:cs="Times New Roman"/>
                <w:bCs/>
                <w:iCs/>
                <w:sz w:val="24"/>
                <w:szCs w:val="24"/>
              </w:rPr>
              <w:t>财务总监：邢建军</w:t>
            </w:r>
          </w:p>
          <w:p>
            <w:pPr>
              <w:spacing w:line="360" w:lineRule="auto"/>
              <w:ind w:left="204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hint="eastAsia" w:cs="Times New Roman"/>
                <w:bCs/>
                <w:iCs/>
                <w:sz w:val="24"/>
                <w:szCs w:val="24"/>
              </w:rPr>
              <w:t>董事会秘书：孙艳春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885" w:type="pct"/>
            <w:shd w:val="clear" w:color="auto" w:fill="auto"/>
            <w:vAlign w:val="center"/>
          </w:tcPr>
          <w:p>
            <w:pPr>
              <w:spacing w:line="360" w:lineRule="auto"/>
              <w:ind w:left="204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3114" w:type="pct"/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hint="eastAsia" w:cs="Times New Roman"/>
                <w:bCs/>
                <w:iCs/>
                <w:sz w:val="24"/>
                <w:szCs w:val="24"/>
              </w:rPr>
              <w:t>在本次说明会上，公司就投资者关心的问题给予了答复，并对相关问题进行了梳理，相关问题及答复如下：</w:t>
            </w:r>
          </w:p>
          <w:p>
            <w:pPr>
              <w:spacing w:line="360" w:lineRule="auto"/>
              <w:ind w:firstLine="482" w:firstLineChars="200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hint="eastAsia" w:cs="Times New Roman"/>
                <w:b/>
                <w:iCs/>
                <w:sz w:val="24"/>
                <w:szCs w:val="24"/>
              </w:rPr>
              <w:t>1、公司发行的6.4亿元可转债还剩下2.3亿元未转</w:t>
            </w:r>
            <w:r>
              <w:rPr>
                <w:rFonts w:hint="eastAsia" w:cs="Times New Roman"/>
                <w:b/>
                <w:iCs/>
                <w:sz w:val="24"/>
                <w:szCs w:val="24"/>
                <w:lang w:val="en-US" w:eastAsia="zh-CN"/>
              </w:rPr>
              <w:t>股</w:t>
            </w:r>
            <w:r>
              <w:rPr>
                <w:rFonts w:hint="eastAsia" w:cs="Times New Roman"/>
                <w:b/>
                <w:iCs/>
                <w:sz w:val="24"/>
                <w:szCs w:val="24"/>
              </w:rPr>
              <w:t>，目前还有不到2年到期，是否公司达到强赎条件后即实施强赎？</w:t>
            </w:r>
          </w:p>
          <w:p>
            <w:pPr>
              <w:spacing w:line="360" w:lineRule="auto"/>
              <w:ind w:firstLine="482" w:firstLineChars="200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hint="eastAsia" w:cs="Times New Roman"/>
                <w:b/>
                <w:iCs/>
                <w:sz w:val="24"/>
                <w:szCs w:val="24"/>
              </w:rPr>
              <w:t>答: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/>
              </w:rPr>
              <w:t>尊敬的投资者，您好！可转债是否赎回需要董事会审议确定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/>
              </w:rPr>
              <w:t>敬请关注公司相关公告！感谢您的关注与支持。</w:t>
            </w:r>
          </w:p>
          <w:p>
            <w:pPr>
              <w:spacing w:line="360" w:lineRule="auto"/>
              <w:ind w:left="204"/>
              <w:rPr>
                <w:rFonts w:cs="Times New Roman"/>
                <w:iCs/>
                <w:sz w:val="24"/>
                <w:szCs w:val="24"/>
                <w:lang w:val="en-US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eastAsia="宋体" w:cs="Times New Roman"/>
                <w:b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iCs/>
                <w:sz w:val="24"/>
                <w:szCs w:val="24"/>
              </w:rPr>
              <w:t>2、请问塔金什么时候可以开始盈利</w:t>
            </w:r>
            <w:r>
              <w:rPr>
                <w:rFonts w:hint="eastAsia" w:cs="Times New Roman"/>
                <w:b/>
                <w:iCs/>
                <w:sz w:val="24"/>
                <w:szCs w:val="24"/>
                <w:lang w:eastAsia="zh-CN"/>
              </w:rPr>
              <w:t>？</w:t>
            </w:r>
          </w:p>
          <w:p>
            <w:pPr>
              <w:spacing w:line="360" w:lineRule="auto"/>
              <w:ind w:firstLine="480" w:firstLineChars="200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答：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尊敬的投资者，您好！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塔铝金业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主营业务已于2023年一季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度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开始盈利。塔金的记账本位币是索莫尼，对于美元等外币交易，塔金采用交易发生日的即期汇率将相关交易金额折算为索莫尼记账，同时在每个资产负债表日对外币货币性项目余额进行期末调汇，由此产生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汇兑差额。对于索莫尼报表折算为人民币报表，资产负债表中的资产和负债项目，采用资产负债表日的即期汇率折算；所有者权益项目除“未分配利润”项目外，其他项目采用发生时的即期汇率折算；利润表中的收入和费用等项目，采用交易发生日的近似即期汇率折算。 由于塔金持有的外币货币性项目金额较大，汇率波动导致折算汇兑损益金额较大。因汇兑损益影响，净利润为亏损。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感谢您的关注与支持。</w:t>
            </w:r>
          </w:p>
          <w:p>
            <w:pPr>
              <w:spacing w:line="360" w:lineRule="auto"/>
              <w:ind w:firstLine="480" w:firstLineChars="200"/>
              <w:rPr>
                <w:rFonts w:cs="Times New Roman"/>
                <w:bCs/>
                <w:i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rPr>
                <w:rFonts w:hint="eastAsia" w:cs="Times New Roman"/>
                <w:b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iCs/>
                <w:kern w:val="0"/>
                <w:sz w:val="24"/>
                <w:szCs w:val="24"/>
                <w:lang w:val="en-US" w:eastAsia="zh-CN" w:bidi="zh-CN"/>
              </w:rPr>
              <w:t>3、</w:t>
            </w:r>
            <w:r>
              <w:rPr>
                <w:rFonts w:hint="eastAsia" w:cs="Times New Roman"/>
                <w:b/>
                <w:iCs/>
                <w:sz w:val="24"/>
                <w:szCs w:val="24"/>
              </w:rPr>
              <w:t>请问第二季度生产经营数据显示金矿盈利5400多万，为何半年报显示塔金还亏损了2200多万？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hint="eastAsia" w:cs="Times New Roman"/>
                <w:b/>
                <w:i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答：</w:t>
            </w:r>
            <w:r>
              <w:rPr>
                <w:rFonts w:hint="eastAsia"/>
                <w:sz w:val="24"/>
                <w:szCs w:val="24"/>
              </w:rPr>
              <w:t>尊敬的投资者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您好</w:t>
            </w:r>
            <w:r>
              <w:rPr>
                <w:rFonts w:hint="eastAsia"/>
                <w:sz w:val="24"/>
                <w:szCs w:val="24"/>
                <w:lang w:eastAsia="zh-CN"/>
              </w:rPr>
              <w:t>！</w:t>
            </w:r>
            <w:r>
              <w:rPr>
                <w:rFonts w:hint="eastAsia"/>
                <w:sz w:val="24"/>
                <w:szCs w:val="24"/>
              </w:rPr>
              <w:t>塔金的记账本位币是索莫尼，对于美元等外币交易，塔金采用交易发生日的即期汇率将相关交易金额折算为索莫尼记账，同时在每个资产负债表日对外币货币性项目余额进行期末调汇，由此产生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/>
                <w:sz w:val="24"/>
                <w:szCs w:val="24"/>
              </w:rPr>
              <w:t>汇兑差额。对于索莫尼报表折算为人民币报表，资产负债表中的资产和负债项目，采用资产负债表日的即期汇率折算；所有者权益项目除“未分配利润”项目外，其他项目采用发生时的即期汇率折算；利润表中的收入和费用等项目，采用交易发生日的近似即期汇率折算。 由于塔金持有的外币货币性项目金额较大，汇率波动导致折算汇兑损益金额较大。</w:t>
            </w:r>
            <w:r>
              <w:rPr>
                <w:sz w:val="24"/>
                <w:szCs w:val="24"/>
              </w:rPr>
              <w:t>感谢您的关注与支持。</w:t>
            </w:r>
          </w:p>
          <w:p>
            <w:pPr>
              <w:spacing w:line="360" w:lineRule="auto"/>
              <w:ind w:firstLine="480" w:firstLineChars="200"/>
              <w:rPr>
                <w:rFonts w:cs="Times New Roman"/>
                <w:bCs/>
                <w:iCs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b/>
                <w:iCs/>
                <w:sz w:val="24"/>
                <w:szCs w:val="24"/>
              </w:rPr>
              <w:t>4、请问如何看待锑矿的应用前景？</w:t>
            </w:r>
          </w:p>
          <w:p>
            <w:pPr>
              <w:spacing w:line="360" w:lineRule="auto"/>
              <w:ind w:firstLine="480" w:firstLineChars="200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答：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尊敬的投资者，您好！因锑矿近两年产量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有所</w:t>
            </w:r>
            <w:bookmarkStart w:id="0" w:name="_GoBack"/>
            <w:bookmarkEnd w:id="0"/>
            <w:r>
              <w:rPr>
                <w:rFonts w:hint="eastAsia" w:cs="Times New Roman"/>
                <w:bCs/>
                <w:iCs/>
                <w:sz w:val="24"/>
                <w:szCs w:val="24"/>
              </w:rPr>
              <w:t>下降，需求端随着国家政策的调控，经济逐步复苏传统领域阻燃剂等需求有一定量的增加。国家实施“双碳政策”拉动光伏产业增长，锑用量每年有大幅的增加。因此锑矿的应用前景广阔，因此拉动锑价格的增长。感谢您对公司的关注与支持！</w:t>
            </w:r>
          </w:p>
          <w:p>
            <w:pPr>
              <w:spacing w:line="360" w:lineRule="auto"/>
              <w:ind w:firstLine="480" w:firstLineChars="200"/>
              <w:rPr>
                <w:rFonts w:cs="Times New Roman"/>
                <w:bCs/>
                <w:i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0" w:leftChars="0" w:firstLine="482" w:firstLineChars="200"/>
              <w:rPr>
                <w:rFonts w:hint="eastAsia" w:cs="Times New Roman"/>
                <w:b/>
                <w:iCs/>
                <w:sz w:val="24"/>
                <w:szCs w:val="24"/>
              </w:rPr>
            </w:pPr>
            <w:r>
              <w:rPr>
                <w:rFonts w:hint="eastAsia" w:cs="Times New Roman"/>
                <w:b/>
                <w:iCs/>
                <w:kern w:val="0"/>
                <w:sz w:val="24"/>
                <w:szCs w:val="24"/>
                <w:lang w:val="en-US" w:eastAsia="zh-CN" w:bidi="zh-CN"/>
              </w:rPr>
              <w:t>5</w:t>
            </w:r>
            <w:r>
              <w:rPr>
                <w:rFonts w:hint="eastAsia" w:ascii="宋体" w:hAnsi="宋体" w:eastAsia="宋体" w:cs="Times New Roman"/>
                <w:b/>
                <w:iCs/>
                <w:kern w:val="0"/>
                <w:sz w:val="24"/>
                <w:szCs w:val="24"/>
                <w:lang w:val="zh-CN" w:eastAsia="zh-CN" w:bidi="zh-CN"/>
              </w:rPr>
              <w:t>、</w:t>
            </w:r>
            <w:r>
              <w:rPr>
                <w:rFonts w:hint="eastAsia" w:cs="Times New Roman"/>
                <w:b/>
                <w:iCs/>
                <w:sz w:val="24"/>
                <w:szCs w:val="24"/>
              </w:rPr>
              <w:t>请问公司在降本增效方面都采取了哪些措施，从目前看效果如何？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答：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尊敬的投资者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您好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eastAsia="zh-CN"/>
              </w:rPr>
              <w:t>！公司在降本增效方面主要采取的措施有：1、加强人员管理，降低人工成本；2、提高生产工艺流程，降低生产成本；3、加强预算管理，合理控制日常管理费用。效果较明显。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非常感谢您对公司的关注与支持！</w:t>
            </w:r>
          </w:p>
          <w:p>
            <w:pPr>
              <w:spacing w:line="360" w:lineRule="auto"/>
              <w:ind w:firstLine="480" w:firstLineChars="200"/>
              <w:rPr>
                <w:rFonts w:cs="Times New Roman"/>
                <w:bCs/>
                <w:iCs/>
                <w:sz w:val="24"/>
                <w:szCs w:val="24"/>
                <w:lang w:val="en-US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eastAsia="宋体" w:cs="Times New Roman"/>
                <w:b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i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Times New Roman"/>
                <w:b/>
                <w:iCs/>
                <w:sz w:val="24"/>
                <w:szCs w:val="24"/>
              </w:rPr>
              <w:t>、请问泥堡金矿进度如何，半年报显示已经有部分收入</w:t>
            </w:r>
            <w:r>
              <w:rPr>
                <w:rFonts w:hint="eastAsia" w:cs="Times New Roman"/>
                <w:b/>
                <w:iCs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答：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尊敬的投资者，您好！泥堡金矿项目按计划正常推进。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非常感谢您对公司的关注与支持！</w:t>
            </w:r>
          </w:p>
          <w:p>
            <w:pPr>
              <w:spacing w:line="360" w:lineRule="auto"/>
              <w:ind w:firstLine="480" w:firstLineChars="200"/>
              <w:rPr>
                <w:rFonts w:cs="Times New Roman"/>
                <w:bCs/>
                <w:iCs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eastAsia="宋体" w:cs="Times New Roman"/>
                <w:b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i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="Times New Roman"/>
                <w:b/>
                <w:iCs/>
                <w:sz w:val="24"/>
                <w:szCs w:val="24"/>
              </w:rPr>
              <w:t>、今天公司可转债大跌，是否有什么信息未披露？</w:t>
            </w:r>
          </w:p>
          <w:p>
            <w:pPr>
              <w:spacing w:line="360" w:lineRule="auto"/>
              <w:ind w:firstLine="480" w:firstLineChars="200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答：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尊敬的投资者，您好！公司不存在应披露未披露的重大信息。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非常感谢您对公司的关注与支持！</w:t>
            </w:r>
          </w:p>
          <w:p>
            <w:pPr>
              <w:spacing w:line="360" w:lineRule="auto"/>
              <w:ind w:firstLine="480" w:firstLineChars="200"/>
              <w:rPr>
                <w:rFonts w:cs="Times New Roman"/>
                <w:bCs/>
                <w:iCs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eastAsia="宋体" w:cs="Times New Roman"/>
                <w:b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i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Times New Roman"/>
                <w:b/>
                <w:iCs/>
                <w:sz w:val="24"/>
                <w:szCs w:val="24"/>
              </w:rPr>
              <w:t>、请问公司在安全生产方面采取了哪些措施？</w:t>
            </w:r>
          </w:p>
          <w:p>
            <w:pPr>
              <w:spacing w:line="360" w:lineRule="auto"/>
              <w:ind w:firstLine="480" w:firstLineChars="200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答：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尊敬的投资者，您好！一是按照国家相关安全生产法规，公司建立了完整的安全生产管理体系；二是从人员方面配备了专业的安全管理人员。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三是加强安全培训，提升全员的安全意识。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公司自上市以来，未发生重大安全责任事故。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非常感谢您对公司的关注与支持！</w:t>
            </w:r>
          </w:p>
          <w:p>
            <w:pPr>
              <w:spacing w:line="360" w:lineRule="auto"/>
              <w:ind w:firstLine="480" w:firstLineChars="200"/>
              <w:rPr>
                <w:rFonts w:cs="Times New Roman"/>
                <w:bCs/>
                <w:iCs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eastAsia="宋体" w:cs="Times New Roman"/>
                <w:b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i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Times New Roman"/>
                <w:b/>
                <w:iCs/>
                <w:sz w:val="24"/>
                <w:szCs w:val="24"/>
              </w:rPr>
              <w:t>、请问目前扎西康出的矿和往常相比</w:t>
            </w:r>
            <w:r>
              <w:rPr>
                <w:rFonts w:hint="eastAsia" w:cs="Times New Roman"/>
                <w:b/>
                <w:iCs/>
                <w:sz w:val="24"/>
                <w:szCs w:val="24"/>
                <w:lang w:val="en-US" w:eastAsia="zh-CN"/>
              </w:rPr>
              <w:t>品位</w:t>
            </w:r>
            <w:r>
              <w:rPr>
                <w:rFonts w:hint="eastAsia" w:cs="Times New Roman"/>
                <w:b/>
                <w:iCs/>
                <w:sz w:val="24"/>
                <w:szCs w:val="24"/>
              </w:rPr>
              <w:t>如何？</w:t>
            </w:r>
          </w:p>
          <w:p>
            <w:pPr>
              <w:spacing w:line="360" w:lineRule="auto"/>
              <w:ind w:firstLine="480" w:firstLineChars="200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答：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尊敬的投资者，您好！扎西康矿山是公司国内的主力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矿山，是铅锌锑银多金属矿山，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从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生产以来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品位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一直未发生重大变化，每年圆满完成生产计划。公司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每年也在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组织相关勘探工作，每年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都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有资源量的增长，根据目前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预测，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未来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仍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可生产20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余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年。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非常感谢您对公司的关注与支持！</w:t>
            </w:r>
          </w:p>
          <w:p>
            <w:pPr>
              <w:spacing w:line="360" w:lineRule="auto"/>
              <w:ind w:firstLine="480" w:firstLineChars="200"/>
              <w:rPr>
                <w:rFonts w:cs="Times New Roman"/>
                <w:bCs/>
                <w:iCs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eastAsia="宋体" w:cs="Times New Roman"/>
                <w:b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i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b/>
                <w:iCs/>
                <w:sz w:val="24"/>
                <w:szCs w:val="24"/>
              </w:rPr>
              <w:t>、建议公司加强现金分红和回购公司股票</w:t>
            </w:r>
            <w:r>
              <w:rPr>
                <w:rFonts w:hint="eastAsia" w:cs="Times New Roman"/>
                <w:b/>
                <w:iCs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答：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尊敬的投资者，您好！公司一定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深耕主业，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做大做强公司主营业务，以优异的业绩回报投资者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您的宝贵建议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将</w:t>
            </w:r>
            <w:r>
              <w:rPr>
                <w:rFonts w:hint="eastAsia" w:cs="Times New Roman"/>
                <w:bCs/>
                <w:iCs/>
                <w:sz w:val="24"/>
                <w:szCs w:val="24"/>
              </w:rPr>
              <w:t>反馈给董事会及股东会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eastAsia="zh-CN"/>
              </w:rPr>
              <w:t>。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非常感谢您对公司的关注与支持！</w:t>
            </w:r>
          </w:p>
          <w:p>
            <w:pPr>
              <w:spacing w:line="360" w:lineRule="auto"/>
              <w:ind w:firstLine="480" w:firstLineChars="200"/>
              <w:rPr>
                <w:rFonts w:cs="Times New Roman"/>
                <w:bCs/>
                <w:iCs/>
                <w:sz w:val="24"/>
                <w:szCs w:val="24"/>
                <w:lang w:val="en-US"/>
              </w:rPr>
            </w:pPr>
          </w:p>
          <w:p>
            <w:pPr>
              <w:spacing w:line="360" w:lineRule="auto"/>
              <w:ind w:firstLine="480" w:firstLineChars="200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hint="eastAsia" w:cs="Times New Roman"/>
                <w:bCs/>
                <w:iCs/>
                <w:sz w:val="24"/>
                <w:szCs w:val="24"/>
              </w:rPr>
              <w:t>注：本次说明会如涉及对行业的预测、公司发展战略规划等相关内容，不能视作公司或管理层对行业、公司发展或业绩的承诺和保证，敬请广大投资者注意投资风险。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pct"/>
            <w:shd w:val="clear" w:color="auto" w:fill="auto"/>
            <w:vAlign w:val="center"/>
          </w:tcPr>
          <w:p>
            <w:pPr>
              <w:spacing w:line="360" w:lineRule="auto"/>
              <w:ind w:left="204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sz w:val="24"/>
                <w:szCs w:val="24"/>
              </w:rPr>
              <w:t>其他事项</w:t>
            </w:r>
          </w:p>
        </w:tc>
        <w:tc>
          <w:tcPr>
            <w:tcW w:w="3114" w:type="pct"/>
            <w:shd w:val="clear" w:color="auto" w:fill="auto"/>
          </w:tcPr>
          <w:p>
            <w:pPr>
              <w:spacing w:line="360" w:lineRule="auto"/>
              <w:ind w:left="204" w:firstLine="480" w:firstLineChars="200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hint="eastAsia" w:cs="Times New Roman"/>
                <w:bCs/>
                <w:iCs/>
                <w:sz w:val="24"/>
                <w:szCs w:val="24"/>
              </w:rPr>
              <w:t>关于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202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3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年</w:t>
            </w:r>
            <w:r>
              <w:rPr>
                <w:rFonts w:hint="eastAsia" w:cs="Times New Roman"/>
                <w:bCs/>
                <w:iCs/>
                <w:sz w:val="24"/>
                <w:szCs w:val="24"/>
                <w:lang w:val="en-US" w:eastAsia="zh-CN"/>
              </w:rPr>
              <w:t>半</w:t>
            </w:r>
            <w:r>
              <w:rPr>
                <w:rFonts w:cs="Times New Roman"/>
                <w:bCs/>
                <w:iCs/>
                <w:sz w:val="24"/>
                <w:szCs w:val="24"/>
              </w:rPr>
              <w:t>年度业绩说明会的召开情况及主要内容，投资者可登陆上证路演中心（http://roadshow.sseinfo.com/）进行查看。公司在此，对关注和支持公司发展并积极提出建议的投资者表示衷心感谢！后续欢迎大家继续通过电话、邮件、上交所e互动平台等方式与公司进行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pct"/>
            <w:shd w:val="clear" w:color="auto" w:fill="auto"/>
            <w:vAlign w:val="center"/>
          </w:tcPr>
          <w:p>
            <w:pPr>
              <w:spacing w:line="360" w:lineRule="auto"/>
              <w:ind w:left="204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3114" w:type="pct"/>
            <w:shd w:val="clear" w:color="auto" w:fill="auto"/>
          </w:tcPr>
          <w:p>
            <w:pPr>
              <w:spacing w:line="360" w:lineRule="auto"/>
              <w:ind w:left="204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5" w:type="pct"/>
            <w:shd w:val="clear" w:color="auto" w:fill="auto"/>
            <w:vAlign w:val="center"/>
          </w:tcPr>
          <w:p>
            <w:pPr>
              <w:spacing w:line="360" w:lineRule="auto"/>
              <w:ind w:left="204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311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hint="eastAsia" w:cs="Times New Roman"/>
                <w:iCs/>
                <w:sz w:val="24"/>
                <w:szCs w:val="24"/>
              </w:rPr>
              <w:t>2023年</w:t>
            </w:r>
            <w:r>
              <w:rPr>
                <w:rFonts w:hint="eastAsia" w:cs="Times New Roman"/>
                <w:i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Times New Roman"/>
                <w:iCs/>
                <w:sz w:val="24"/>
                <w:szCs w:val="24"/>
              </w:rPr>
              <w:t>月</w:t>
            </w:r>
            <w:r>
              <w:rPr>
                <w:rFonts w:hint="eastAsia" w:cs="Times New Roman"/>
                <w:i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cs="Times New Roman"/>
                <w:iCs/>
                <w:sz w:val="24"/>
                <w:szCs w:val="24"/>
              </w:rPr>
              <w:t>日</w:t>
            </w:r>
          </w:p>
        </w:tc>
      </w:tr>
    </w:tbl>
    <w:p/>
    <w:sectPr>
      <w:pgSz w:w="11910" w:h="16840"/>
      <w:pgMar w:top="1361" w:right="1202" w:bottom="1361" w:left="1202" w:header="859" w:footer="10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9637E7"/>
    <w:rsid w:val="00004E37"/>
    <w:rsid w:val="00007C24"/>
    <w:rsid w:val="00014251"/>
    <w:rsid w:val="000149EE"/>
    <w:rsid w:val="000173A4"/>
    <w:rsid w:val="00017A57"/>
    <w:rsid w:val="00024A84"/>
    <w:rsid w:val="00036BA2"/>
    <w:rsid w:val="00044565"/>
    <w:rsid w:val="00050A4B"/>
    <w:rsid w:val="00055B77"/>
    <w:rsid w:val="0006220B"/>
    <w:rsid w:val="00064E44"/>
    <w:rsid w:val="00070AF5"/>
    <w:rsid w:val="000736FE"/>
    <w:rsid w:val="00076610"/>
    <w:rsid w:val="00077034"/>
    <w:rsid w:val="00080834"/>
    <w:rsid w:val="00080F44"/>
    <w:rsid w:val="000823BE"/>
    <w:rsid w:val="000836B5"/>
    <w:rsid w:val="00083E4D"/>
    <w:rsid w:val="00085B7E"/>
    <w:rsid w:val="00086EE0"/>
    <w:rsid w:val="00093C8C"/>
    <w:rsid w:val="000A3A3D"/>
    <w:rsid w:val="000A604E"/>
    <w:rsid w:val="000A7543"/>
    <w:rsid w:val="000A7FC8"/>
    <w:rsid w:val="000B1114"/>
    <w:rsid w:val="000C07E2"/>
    <w:rsid w:val="000C0E5E"/>
    <w:rsid w:val="000C1755"/>
    <w:rsid w:val="000C29A0"/>
    <w:rsid w:val="000C5F25"/>
    <w:rsid w:val="000C6840"/>
    <w:rsid w:val="000C7F26"/>
    <w:rsid w:val="000D03B4"/>
    <w:rsid w:val="000D2025"/>
    <w:rsid w:val="000D652E"/>
    <w:rsid w:val="000E0ED1"/>
    <w:rsid w:val="000E387D"/>
    <w:rsid w:val="000E5458"/>
    <w:rsid w:val="000E67FC"/>
    <w:rsid w:val="000E6812"/>
    <w:rsid w:val="000F2F3A"/>
    <w:rsid w:val="000F31A1"/>
    <w:rsid w:val="000F330F"/>
    <w:rsid w:val="000F3B0B"/>
    <w:rsid w:val="000F41A2"/>
    <w:rsid w:val="000F4714"/>
    <w:rsid w:val="00101C27"/>
    <w:rsid w:val="00101C42"/>
    <w:rsid w:val="001049C0"/>
    <w:rsid w:val="00105767"/>
    <w:rsid w:val="001063EE"/>
    <w:rsid w:val="00112C18"/>
    <w:rsid w:val="00120347"/>
    <w:rsid w:val="00120F0C"/>
    <w:rsid w:val="00133472"/>
    <w:rsid w:val="0013396D"/>
    <w:rsid w:val="0013433B"/>
    <w:rsid w:val="00140915"/>
    <w:rsid w:val="00140CC6"/>
    <w:rsid w:val="00140D5D"/>
    <w:rsid w:val="00141B1B"/>
    <w:rsid w:val="00147F2E"/>
    <w:rsid w:val="001501DC"/>
    <w:rsid w:val="0015501E"/>
    <w:rsid w:val="001651EA"/>
    <w:rsid w:val="001701CF"/>
    <w:rsid w:val="00173F26"/>
    <w:rsid w:val="0017477F"/>
    <w:rsid w:val="001750FB"/>
    <w:rsid w:val="00175778"/>
    <w:rsid w:val="001762D2"/>
    <w:rsid w:val="00176FE7"/>
    <w:rsid w:val="00177816"/>
    <w:rsid w:val="00180744"/>
    <w:rsid w:val="00180C46"/>
    <w:rsid w:val="00183F71"/>
    <w:rsid w:val="001848CC"/>
    <w:rsid w:val="0018563C"/>
    <w:rsid w:val="00187AEB"/>
    <w:rsid w:val="001921AE"/>
    <w:rsid w:val="001A2374"/>
    <w:rsid w:val="001B0CB9"/>
    <w:rsid w:val="001C1D62"/>
    <w:rsid w:val="001C321B"/>
    <w:rsid w:val="001C46DD"/>
    <w:rsid w:val="001C52C9"/>
    <w:rsid w:val="001C5FB1"/>
    <w:rsid w:val="001C70F3"/>
    <w:rsid w:val="001D6DD7"/>
    <w:rsid w:val="001E400C"/>
    <w:rsid w:val="001F206B"/>
    <w:rsid w:val="001F58C5"/>
    <w:rsid w:val="001F78B0"/>
    <w:rsid w:val="00202369"/>
    <w:rsid w:val="00203AF9"/>
    <w:rsid w:val="00203C0A"/>
    <w:rsid w:val="00206C6D"/>
    <w:rsid w:val="00207D43"/>
    <w:rsid w:val="00211688"/>
    <w:rsid w:val="0021366D"/>
    <w:rsid w:val="00214D1F"/>
    <w:rsid w:val="00217903"/>
    <w:rsid w:val="00220B91"/>
    <w:rsid w:val="002238CC"/>
    <w:rsid w:val="00224CCD"/>
    <w:rsid w:val="00225CE6"/>
    <w:rsid w:val="002263BA"/>
    <w:rsid w:val="00230485"/>
    <w:rsid w:val="002308D7"/>
    <w:rsid w:val="00231B26"/>
    <w:rsid w:val="00233333"/>
    <w:rsid w:val="00237064"/>
    <w:rsid w:val="00242C78"/>
    <w:rsid w:val="00242E37"/>
    <w:rsid w:val="00246BFF"/>
    <w:rsid w:val="00246EE4"/>
    <w:rsid w:val="00250267"/>
    <w:rsid w:val="00250A54"/>
    <w:rsid w:val="00254377"/>
    <w:rsid w:val="00255394"/>
    <w:rsid w:val="0025664A"/>
    <w:rsid w:val="0025690D"/>
    <w:rsid w:val="00264AA3"/>
    <w:rsid w:val="00267BC2"/>
    <w:rsid w:val="00267BEB"/>
    <w:rsid w:val="00276B22"/>
    <w:rsid w:val="00282038"/>
    <w:rsid w:val="00291489"/>
    <w:rsid w:val="0029553D"/>
    <w:rsid w:val="002A07A7"/>
    <w:rsid w:val="002A5558"/>
    <w:rsid w:val="002B775C"/>
    <w:rsid w:val="002C4A5F"/>
    <w:rsid w:val="002C675A"/>
    <w:rsid w:val="002D0CAF"/>
    <w:rsid w:val="002D1E68"/>
    <w:rsid w:val="002D2128"/>
    <w:rsid w:val="002D227A"/>
    <w:rsid w:val="002D335E"/>
    <w:rsid w:val="002D5418"/>
    <w:rsid w:val="002D76FC"/>
    <w:rsid w:val="002E136A"/>
    <w:rsid w:val="002E2C8F"/>
    <w:rsid w:val="002E3BA6"/>
    <w:rsid w:val="002E4C97"/>
    <w:rsid w:val="002E4D7A"/>
    <w:rsid w:val="002E62A0"/>
    <w:rsid w:val="002E661F"/>
    <w:rsid w:val="002E69D8"/>
    <w:rsid w:val="002E76CE"/>
    <w:rsid w:val="002F1545"/>
    <w:rsid w:val="002F5067"/>
    <w:rsid w:val="002F7E36"/>
    <w:rsid w:val="00300784"/>
    <w:rsid w:val="00301ED8"/>
    <w:rsid w:val="003026F7"/>
    <w:rsid w:val="003041E3"/>
    <w:rsid w:val="00304EBD"/>
    <w:rsid w:val="00304F9A"/>
    <w:rsid w:val="0030689B"/>
    <w:rsid w:val="003113A8"/>
    <w:rsid w:val="00311683"/>
    <w:rsid w:val="00314C16"/>
    <w:rsid w:val="00315062"/>
    <w:rsid w:val="0031679F"/>
    <w:rsid w:val="00316A64"/>
    <w:rsid w:val="0032020C"/>
    <w:rsid w:val="00320F73"/>
    <w:rsid w:val="00321CBC"/>
    <w:rsid w:val="00325D67"/>
    <w:rsid w:val="00326F94"/>
    <w:rsid w:val="00333B7E"/>
    <w:rsid w:val="0033454F"/>
    <w:rsid w:val="003362EB"/>
    <w:rsid w:val="003364C6"/>
    <w:rsid w:val="003378B1"/>
    <w:rsid w:val="00344429"/>
    <w:rsid w:val="00345610"/>
    <w:rsid w:val="00346B66"/>
    <w:rsid w:val="00347640"/>
    <w:rsid w:val="00347B35"/>
    <w:rsid w:val="00350659"/>
    <w:rsid w:val="00355B9A"/>
    <w:rsid w:val="00357115"/>
    <w:rsid w:val="00362183"/>
    <w:rsid w:val="00362FF6"/>
    <w:rsid w:val="00374228"/>
    <w:rsid w:val="00375908"/>
    <w:rsid w:val="00376D4F"/>
    <w:rsid w:val="00384B14"/>
    <w:rsid w:val="0039105E"/>
    <w:rsid w:val="00391859"/>
    <w:rsid w:val="003976BD"/>
    <w:rsid w:val="00397729"/>
    <w:rsid w:val="003A25D9"/>
    <w:rsid w:val="003B7ACC"/>
    <w:rsid w:val="003C1B2A"/>
    <w:rsid w:val="003C6A2F"/>
    <w:rsid w:val="003C7A02"/>
    <w:rsid w:val="003D0503"/>
    <w:rsid w:val="003D0B45"/>
    <w:rsid w:val="003D61C0"/>
    <w:rsid w:val="003E01C6"/>
    <w:rsid w:val="003E0882"/>
    <w:rsid w:val="003E1544"/>
    <w:rsid w:val="003E1791"/>
    <w:rsid w:val="003E3560"/>
    <w:rsid w:val="003F05CA"/>
    <w:rsid w:val="003F142E"/>
    <w:rsid w:val="003F29B0"/>
    <w:rsid w:val="003F45C8"/>
    <w:rsid w:val="003F4D50"/>
    <w:rsid w:val="003F62C5"/>
    <w:rsid w:val="00400C70"/>
    <w:rsid w:val="00402658"/>
    <w:rsid w:val="00405558"/>
    <w:rsid w:val="00406782"/>
    <w:rsid w:val="00411704"/>
    <w:rsid w:val="004126C7"/>
    <w:rsid w:val="00412FF5"/>
    <w:rsid w:val="00416D77"/>
    <w:rsid w:val="00416E60"/>
    <w:rsid w:val="0042107F"/>
    <w:rsid w:val="00422023"/>
    <w:rsid w:val="00436560"/>
    <w:rsid w:val="00437DD1"/>
    <w:rsid w:val="00440683"/>
    <w:rsid w:val="004417F3"/>
    <w:rsid w:val="00444327"/>
    <w:rsid w:val="0044758B"/>
    <w:rsid w:val="00447A85"/>
    <w:rsid w:val="00454A06"/>
    <w:rsid w:val="004566CA"/>
    <w:rsid w:val="00470D54"/>
    <w:rsid w:val="00474D50"/>
    <w:rsid w:val="0047534F"/>
    <w:rsid w:val="0048371C"/>
    <w:rsid w:val="00485824"/>
    <w:rsid w:val="004873C5"/>
    <w:rsid w:val="00487A4B"/>
    <w:rsid w:val="0049314A"/>
    <w:rsid w:val="00493622"/>
    <w:rsid w:val="00493CF4"/>
    <w:rsid w:val="004961F2"/>
    <w:rsid w:val="00496C26"/>
    <w:rsid w:val="004A1C8D"/>
    <w:rsid w:val="004A2A93"/>
    <w:rsid w:val="004A2B6F"/>
    <w:rsid w:val="004B05D2"/>
    <w:rsid w:val="004B0E81"/>
    <w:rsid w:val="004B4591"/>
    <w:rsid w:val="004B69CB"/>
    <w:rsid w:val="004C2271"/>
    <w:rsid w:val="004C272E"/>
    <w:rsid w:val="004C487C"/>
    <w:rsid w:val="004D48EA"/>
    <w:rsid w:val="004D7315"/>
    <w:rsid w:val="004E310D"/>
    <w:rsid w:val="004E57AC"/>
    <w:rsid w:val="004F428B"/>
    <w:rsid w:val="004F4810"/>
    <w:rsid w:val="004F6567"/>
    <w:rsid w:val="004F72F7"/>
    <w:rsid w:val="00500AF7"/>
    <w:rsid w:val="00502374"/>
    <w:rsid w:val="00507AC1"/>
    <w:rsid w:val="00515ACC"/>
    <w:rsid w:val="00521126"/>
    <w:rsid w:val="00530E84"/>
    <w:rsid w:val="00531DE9"/>
    <w:rsid w:val="00532999"/>
    <w:rsid w:val="0053417A"/>
    <w:rsid w:val="00534DDD"/>
    <w:rsid w:val="005353D4"/>
    <w:rsid w:val="0053643E"/>
    <w:rsid w:val="00541AA3"/>
    <w:rsid w:val="005440DC"/>
    <w:rsid w:val="00547960"/>
    <w:rsid w:val="0056014B"/>
    <w:rsid w:val="0056272D"/>
    <w:rsid w:val="00566A75"/>
    <w:rsid w:val="005676E8"/>
    <w:rsid w:val="00571021"/>
    <w:rsid w:val="0057638C"/>
    <w:rsid w:val="005771A0"/>
    <w:rsid w:val="00580A8C"/>
    <w:rsid w:val="005811DE"/>
    <w:rsid w:val="00583282"/>
    <w:rsid w:val="00583367"/>
    <w:rsid w:val="005834F3"/>
    <w:rsid w:val="0058634C"/>
    <w:rsid w:val="0058735F"/>
    <w:rsid w:val="00591531"/>
    <w:rsid w:val="00593B53"/>
    <w:rsid w:val="00593DBE"/>
    <w:rsid w:val="005948BD"/>
    <w:rsid w:val="005975DF"/>
    <w:rsid w:val="005A7700"/>
    <w:rsid w:val="005B2A16"/>
    <w:rsid w:val="005B38A5"/>
    <w:rsid w:val="005C268A"/>
    <w:rsid w:val="005C6EC9"/>
    <w:rsid w:val="005D03CE"/>
    <w:rsid w:val="005D0EEF"/>
    <w:rsid w:val="005D112C"/>
    <w:rsid w:val="005D4ECF"/>
    <w:rsid w:val="005D749B"/>
    <w:rsid w:val="005E1366"/>
    <w:rsid w:val="005E34BB"/>
    <w:rsid w:val="005E4DA5"/>
    <w:rsid w:val="005F0382"/>
    <w:rsid w:val="005F0F4E"/>
    <w:rsid w:val="005F3EB1"/>
    <w:rsid w:val="005F576F"/>
    <w:rsid w:val="005F611D"/>
    <w:rsid w:val="005F71F1"/>
    <w:rsid w:val="0060032B"/>
    <w:rsid w:val="00601B8A"/>
    <w:rsid w:val="00611922"/>
    <w:rsid w:val="00611AA1"/>
    <w:rsid w:val="00615BD4"/>
    <w:rsid w:val="006166E3"/>
    <w:rsid w:val="00616FBF"/>
    <w:rsid w:val="00621683"/>
    <w:rsid w:val="006220E5"/>
    <w:rsid w:val="00630C10"/>
    <w:rsid w:val="006312CA"/>
    <w:rsid w:val="00635D23"/>
    <w:rsid w:val="00635F15"/>
    <w:rsid w:val="00641287"/>
    <w:rsid w:val="00645F3F"/>
    <w:rsid w:val="00654D16"/>
    <w:rsid w:val="006628F0"/>
    <w:rsid w:val="00663BAE"/>
    <w:rsid w:val="00664A25"/>
    <w:rsid w:val="00671DAB"/>
    <w:rsid w:val="00672CFF"/>
    <w:rsid w:val="00673E0E"/>
    <w:rsid w:val="00680594"/>
    <w:rsid w:val="00691E93"/>
    <w:rsid w:val="00692AFC"/>
    <w:rsid w:val="006971A6"/>
    <w:rsid w:val="006A0382"/>
    <w:rsid w:val="006A0425"/>
    <w:rsid w:val="006A6346"/>
    <w:rsid w:val="006B5E0E"/>
    <w:rsid w:val="006C1B15"/>
    <w:rsid w:val="006D0832"/>
    <w:rsid w:val="006D744E"/>
    <w:rsid w:val="006D7CFB"/>
    <w:rsid w:val="006E2881"/>
    <w:rsid w:val="006E2C06"/>
    <w:rsid w:val="006E6A24"/>
    <w:rsid w:val="006E709C"/>
    <w:rsid w:val="006F244E"/>
    <w:rsid w:val="006F7805"/>
    <w:rsid w:val="007051C3"/>
    <w:rsid w:val="00711BE4"/>
    <w:rsid w:val="007122C3"/>
    <w:rsid w:val="00713E91"/>
    <w:rsid w:val="00722355"/>
    <w:rsid w:val="00722ADD"/>
    <w:rsid w:val="00722F87"/>
    <w:rsid w:val="0072577A"/>
    <w:rsid w:val="00725F3C"/>
    <w:rsid w:val="00726637"/>
    <w:rsid w:val="00726BB6"/>
    <w:rsid w:val="007278C1"/>
    <w:rsid w:val="00731467"/>
    <w:rsid w:val="0073264C"/>
    <w:rsid w:val="00732D4E"/>
    <w:rsid w:val="0073322E"/>
    <w:rsid w:val="0073372F"/>
    <w:rsid w:val="00746D34"/>
    <w:rsid w:val="0075189D"/>
    <w:rsid w:val="00752D45"/>
    <w:rsid w:val="007532B1"/>
    <w:rsid w:val="0075395D"/>
    <w:rsid w:val="00754E5B"/>
    <w:rsid w:val="00760841"/>
    <w:rsid w:val="00764C4A"/>
    <w:rsid w:val="00767C7A"/>
    <w:rsid w:val="0077049B"/>
    <w:rsid w:val="007712E7"/>
    <w:rsid w:val="00771E98"/>
    <w:rsid w:val="0078023A"/>
    <w:rsid w:val="00781FB7"/>
    <w:rsid w:val="00782264"/>
    <w:rsid w:val="00782BD8"/>
    <w:rsid w:val="00784C21"/>
    <w:rsid w:val="00784F1F"/>
    <w:rsid w:val="00786186"/>
    <w:rsid w:val="007873D2"/>
    <w:rsid w:val="00787F07"/>
    <w:rsid w:val="00790056"/>
    <w:rsid w:val="00791CB2"/>
    <w:rsid w:val="00793212"/>
    <w:rsid w:val="007969CD"/>
    <w:rsid w:val="007A6AF1"/>
    <w:rsid w:val="007B1386"/>
    <w:rsid w:val="007B6417"/>
    <w:rsid w:val="007C0073"/>
    <w:rsid w:val="007C114C"/>
    <w:rsid w:val="007C175E"/>
    <w:rsid w:val="007C247A"/>
    <w:rsid w:val="007C2E29"/>
    <w:rsid w:val="007C512B"/>
    <w:rsid w:val="007C6433"/>
    <w:rsid w:val="007C6FB0"/>
    <w:rsid w:val="007C7D0C"/>
    <w:rsid w:val="007D32C9"/>
    <w:rsid w:val="007D5AC9"/>
    <w:rsid w:val="007E10AC"/>
    <w:rsid w:val="007F0987"/>
    <w:rsid w:val="007F4127"/>
    <w:rsid w:val="007F719A"/>
    <w:rsid w:val="007F7914"/>
    <w:rsid w:val="00800946"/>
    <w:rsid w:val="0080348C"/>
    <w:rsid w:val="0080686E"/>
    <w:rsid w:val="00811779"/>
    <w:rsid w:val="00813FAA"/>
    <w:rsid w:val="00815F33"/>
    <w:rsid w:val="008160D6"/>
    <w:rsid w:val="00823BBE"/>
    <w:rsid w:val="008240BE"/>
    <w:rsid w:val="0082553D"/>
    <w:rsid w:val="00826AE7"/>
    <w:rsid w:val="00837174"/>
    <w:rsid w:val="00842B28"/>
    <w:rsid w:val="00843F41"/>
    <w:rsid w:val="00845BFA"/>
    <w:rsid w:val="00846355"/>
    <w:rsid w:val="00850E9A"/>
    <w:rsid w:val="00860258"/>
    <w:rsid w:val="00860835"/>
    <w:rsid w:val="008638B6"/>
    <w:rsid w:val="00864FC4"/>
    <w:rsid w:val="00866446"/>
    <w:rsid w:val="00871271"/>
    <w:rsid w:val="00874095"/>
    <w:rsid w:val="0088309A"/>
    <w:rsid w:val="008852CF"/>
    <w:rsid w:val="00894E0F"/>
    <w:rsid w:val="008A2A28"/>
    <w:rsid w:val="008A3AF1"/>
    <w:rsid w:val="008A4344"/>
    <w:rsid w:val="008A4E96"/>
    <w:rsid w:val="008A58ED"/>
    <w:rsid w:val="008A628B"/>
    <w:rsid w:val="008A649E"/>
    <w:rsid w:val="008B7A46"/>
    <w:rsid w:val="008C09C9"/>
    <w:rsid w:val="008C1FB8"/>
    <w:rsid w:val="008C3B9E"/>
    <w:rsid w:val="008C4C50"/>
    <w:rsid w:val="008D02F0"/>
    <w:rsid w:val="008D0988"/>
    <w:rsid w:val="008D13AC"/>
    <w:rsid w:val="008D22C7"/>
    <w:rsid w:val="008D5F46"/>
    <w:rsid w:val="008D734B"/>
    <w:rsid w:val="008E37A6"/>
    <w:rsid w:val="008E5E61"/>
    <w:rsid w:val="008E6CBB"/>
    <w:rsid w:val="008E77B3"/>
    <w:rsid w:val="008F2A08"/>
    <w:rsid w:val="008F6133"/>
    <w:rsid w:val="00900875"/>
    <w:rsid w:val="00917DB6"/>
    <w:rsid w:val="00920712"/>
    <w:rsid w:val="00927B0B"/>
    <w:rsid w:val="00943EA8"/>
    <w:rsid w:val="00945663"/>
    <w:rsid w:val="0095043F"/>
    <w:rsid w:val="009509D8"/>
    <w:rsid w:val="00951769"/>
    <w:rsid w:val="00957EF4"/>
    <w:rsid w:val="009637E7"/>
    <w:rsid w:val="00964761"/>
    <w:rsid w:val="00966235"/>
    <w:rsid w:val="009722CC"/>
    <w:rsid w:val="00973BCE"/>
    <w:rsid w:val="00974084"/>
    <w:rsid w:val="0097694C"/>
    <w:rsid w:val="0098572F"/>
    <w:rsid w:val="0098677A"/>
    <w:rsid w:val="009A2F2F"/>
    <w:rsid w:val="009A4780"/>
    <w:rsid w:val="009B04A4"/>
    <w:rsid w:val="009B2540"/>
    <w:rsid w:val="009B41A5"/>
    <w:rsid w:val="009B70EB"/>
    <w:rsid w:val="009C1E1F"/>
    <w:rsid w:val="009C71DD"/>
    <w:rsid w:val="009D04A5"/>
    <w:rsid w:val="009D2EF1"/>
    <w:rsid w:val="009D3136"/>
    <w:rsid w:val="009D36F1"/>
    <w:rsid w:val="009D5F66"/>
    <w:rsid w:val="009D69B2"/>
    <w:rsid w:val="009D6BA0"/>
    <w:rsid w:val="009D7C6E"/>
    <w:rsid w:val="009E277C"/>
    <w:rsid w:val="009E37EE"/>
    <w:rsid w:val="009E503D"/>
    <w:rsid w:val="009E588C"/>
    <w:rsid w:val="009E6E73"/>
    <w:rsid w:val="00A053F4"/>
    <w:rsid w:val="00A05A38"/>
    <w:rsid w:val="00A105C8"/>
    <w:rsid w:val="00A17FF2"/>
    <w:rsid w:val="00A22167"/>
    <w:rsid w:val="00A26A1A"/>
    <w:rsid w:val="00A26FA5"/>
    <w:rsid w:val="00A33F6E"/>
    <w:rsid w:val="00A42B37"/>
    <w:rsid w:val="00A445AD"/>
    <w:rsid w:val="00A45DB7"/>
    <w:rsid w:val="00A45F15"/>
    <w:rsid w:val="00A46C77"/>
    <w:rsid w:val="00A47C6B"/>
    <w:rsid w:val="00A50B67"/>
    <w:rsid w:val="00A50ECB"/>
    <w:rsid w:val="00A555EF"/>
    <w:rsid w:val="00A55EA5"/>
    <w:rsid w:val="00A614A8"/>
    <w:rsid w:val="00A6259D"/>
    <w:rsid w:val="00A63916"/>
    <w:rsid w:val="00A7097B"/>
    <w:rsid w:val="00A84593"/>
    <w:rsid w:val="00A91865"/>
    <w:rsid w:val="00AA06C7"/>
    <w:rsid w:val="00AA6E08"/>
    <w:rsid w:val="00AB062E"/>
    <w:rsid w:val="00AB1923"/>
    <w:rsid w:val="00AB3075"/>
    <w:rsid w:val="00AB3C33"/>
    <w:rsid w:val="00AB5A2A"/>
    <w:rsid w:val="00AB7138"/>
    <w:rsid w:val="00AC016C"/>
    <w:rsid w:val="00AC0D7C"/>
    <w:rsid w:val="00AC1590"/>
    <w:rsid w:val="00AC3ACF"/>
    <w:rsid w:val="00AC6B00"/>
    <w:rsid w:val="00AD09F1"/>
    <w:rsid w:val="00AD1235"/>
    <w:rsid w:val="00AD1A15"/>
    <w:rsid w:val="00AE2F0F"/>
    <w:rsid w:val="00AE414A"/>
    <w:rsid w:val="00AF5400"/>
    <w:rsid w:val="00B00251"/>
    <w:rsid w:val="00B00D24"/>
    <w:rsid w:val="00B04C26"/>
    <w:rsid w:val="00B14731"/>
    <w:rsid w:val="00B15944"/>
    <w:rsid w:val="00B22030"/>
    <w:rsid w:val="00B3073D"/>
    <w:rsid w:val="00B364F7"/>
    <w:rsid w:val="00B45067"/>
    <w:rsid w:val="00B4786D"/>
    <w:rsid w:val="00B50481"/>
    <w:rsid w:val="00B509D6"/>
    <w:rsid w:val="00B50DE7"/>
    <w:rsid w:val="00B53091"/>
    <w:rsid w:val="00B54218"/>
    <w:rsid w:val="00B54225"/>
    <w:rsid w:val="00B54AE7"/>
    <w:rsid w:val="00B55DA2"/>
    <w:rsid w:val="00B605D2"/>
    <w:rsid w:val="00B610BC"/>
    <w:rsid w:val="00B653EE"/>
    <w:rsid w:val="00B74DDF"/>
    <w:rsid w:val="00B74E0D"/>
    <w:rsid w:val="00B75AB1"/>
    <w:rsid w:val="00B84BF7"/>
    <w:rsid w:val="00B8516A"/>
    <w:rsid w:val="00B85F77"/>
    <w:rsid w:val="00B90196"/>
    <w:rsid w:val="00B90EB4"/>
    <w:rsid w:val="00B94730"/>
    <w:rsid w:val="00BA12B8"/>
    <w:rsid w:val="00BA1481"/>
    <w:rsid w:val="00BA2410"/>
    <w:rsid w:val="00BA494E"/>
    <w:rsid w:val="00BA5AAB"/>
    <w:rsid w:val="00BB0240"/>
    <w:rsid w:val="00BB1737"/>
    <w:rsid w:val="00BB242E"/>
    <w:rsid w:val="00BB25BD"/>
    <w:rsid w:val="00BB3C56"/>
    <w:rsid w:val="00BB5265"/>
    <w:rsid w:val="00BB7B68"/>
    <w:rsid w:val="00BC3416"/>
    <w:rsid w:val="00BC379B"/>
    <w:rsid w:val="00BC7606"/>
    <w:rsid w:val="00BD003F"/>
    <w:rsid w:val="00BD01B7"/>
    <w:rsid w:val="00BD0C49"/>
    <w:rsid w:val="00BD41BB"/>
    <w:rsid w:val="00BD6B6B"/>
    <w:rsid w:val="00BE05B9"/>
    <w:rsid w:val="00BE1472"/>
    <w:rsid w:val="00BE47F7"/>
    <w:rsid w:val="00BE531C"/>
    <w:rsid w:val="00BF3830"/>
    <w:rsid w:val="00BF3CFC"/>
    <w:rsid w:val="00BF4B12"/>
    <w:rsid w:val="00C06A50"/>
    <w:rsid w:val="00C07100"/>
    <w:rsid w:val="00C07A64"/>
    <w:rsid w:val="00C07CFC"/>
    <w:rsid w:val="00C16111"/>
    <w:rsid w:val="00C16F56"/>
    <w:rsid w:val="00C20319"/>
    <w:rsid w:val="00C21B60"/>
    <w:rsid w:val="00C263DD"/>
    <w:rsid w:val="00C30E56"/>
    <w:rsid w:val="00C310F6"/>
    <w:rsid w:val="00C33F71"/>
    <w:rsid w:val="00C376AD"/>
    <w:rsid w:val="00C37A21"/>
    <w:rsid w:val="00C37AC6"/>
    <w:rsid w:val="00C41161"/>
    <w:rsid w:val="00C424B3"/>
    <w:rsid w:val="00C4606E"/>
    <w:rsid w:val="00C47670"/>
    <w:rsid w:val="00C504D7"/>
    <w:rsid w:val="00C52082"/>
    <w:rsid w:val="00C56DB3"/>
    <w:rsid w:val="00C57351"/>
    <w:rsid w:val="00C657F1"/>
    <w:rsid w:val="00C7214E"/>
    <w:rsid w:val="00C731CE"/>
    <w:rsid w:val="00C73814"/>
    <w:rsid w:val="00C753C9"/>
    <w:rsid w:val="00C76089"/>
    <w:rsid w:val="00C7757E"/>
    <w:rsid w:val="00C81BBC"/>
    <w:rsid w:val="00C9067A"/>
    <w:rsid w:val="00C93DB6"/>
    <w:rsid w:val="00CA41F2"/>
    <w:rsid w:val="00CB3448"/>
    <w:rsid w:val="00CB47D5"/>
    <w:rsid w:val="00CC2DF2"/>
    <w:rsid w:val="00CC6341"/>
    <w:rsid w:val="00CD0A55"/>
    <w:rsid w:val="00CD3361"/>
    <w:rsid w:val="00CD6C67"/>
    <w:rsid w:val="00CE2151"/>
    <w:rsid w:val="00CE2545"/>
    <w:rsid w:val="00CE3200"/>
    <w:rsid w:val="00CF2012"/>
    <w:rsid w:val="00CF4A6A"/>
    <w:rsid w:val="00CF7823"/>
    <w:rsid w:val="00D10A21"/>
    <w:rsid w:val="00D11162"/>
    <w:rsid w:val="00D14A35"/>
    <w:rsid w:val="00D272D6"/>
    <w:rsid w:val="00D40AD3"/>
    <w:rsid w:val="00D416BB"/>
    <w:rsid w:val="00D42451"/>
    <w:rsid w:val="00D42E5C"/>
    <w:rsid w:val="00D4356B"/>
    <w:rsid w:val="00D4427C"/>
    <w:rsid w:val="00D463A0"/>
    <w:rsid w:val="00D47A4A"/>
    <w:rsid w:val="00D51BAD"/>
    <w:rsid w:val="00D52CCA"/>
    <w:rsid w:val="00D5340A"/>
    <w:rsid w:val="00D62388"/>
    <w:rsid w:val="00D635A8"/>
    <w:rsid w:val="00D665A6"/>
    <w:rsid w:val="00D70E8D"/>
    <w:rsid w:val="00D71576"/>
    <w:rsid w:val="00D761BD"/>
    <w:rsid w:val="00D77492"/>
    <w:rsid w:val="00D802DC"/>
    <w:rsid w:val="00D82F93"/>
    <w:rsid w:val="00D8558F"/>
    <w:rsid w:val="00D86BC7"/>
    <w:rsid w:val="00D875A4"/>
    <w:rsid w:val="00D956CE"/>
    <w:rsid w:val="00D971FA"/>
    <w:rsid w:val="00DA24DB"/>
    <w:rsid w:val="00DA7C20"/>
    <w:rsid w:val="00DB37A7"/>
    <w:rsid w:val="00DB3918"/>
    <w:rsid w:val="00DB4057"/>
    <w:rsid w:val="00DB56F3"/>
    <w:rsid w:val="00DB60D9"/>
    <w:rsid w:val="00DB65C2"/>
    <w:rsid w:val="00DB675D"/>
    <w:rsid w:val="00DC0907"/>
    <w:rsid w:val="00DC2D1A"/>
    <w:rsid w:val="00DC31B4"/>
    <w:rsid w:val="00DC3C7A"/>
    <w:rsid w:val="00DC5D28"/>
    <w:rsid w:val="00DC7640"/>
    <w:rsid w:val="00DD4727"/>
    <w:rsid w:val="00DD694B"/>
    <w:rsid w:val="00DD7471"/>
    <w:rsid w:val="00DE20D3"/>
    <w:rsid w:val="00DE2558"/>
    <w:rsid w:val="00DE2EA0"/>
    <w:rsid w:val="00DF1A61"/>
    <w:rsid w:val="00DF525D"/>
    <w:rsid w:val="00DF7850"/>
    <w:rsid w:val="00DF7A47"/>
    <w:rsid w:val="00E0069D"/>
    <w:rsid w:val="00E030A1"/>
    <w:rsid w:val="00E0545F"/>
    <w:rsid w:val="00E11210"/>
    <w:rsid w:val="00E12E35"/>
    <w:rsid w:val="00E14960"/>
    <w:rsid w:val="00E20D8F"/>
    <w:rsid w:val="00E23887"/>
    <w:rsid w:val="00E24A03"/>
    <w:rsid w:val="00E30FFD"/>
    <w:rsid w:val="00E370CE"/>
    <w:rsid w:val="00E43EA3"/>
    <w:rsid w:val="00E45881"/>
    <w:rsid w:val="00E50626"/>
    <w:rsid w:val="00E51EF2"/>
    <w:rsid w:val="00E55DB9"/>
    <w:rsid w:val="00E612E7"/>
    <w:rsid w:val="00E648AC"/>
    <w:rsid w:val="00E658EC"/>
    <w:rsid w:val="00E6676A"/>
    <w:rsid w:val="00E67290"/>
    <w:rsid w:val="00E72833"/>
    <w:rsid w:val="00E7433C"/>
    <w:rsid w:val="00E75C84"/>
    <w:rsid w:val="00E8219D"/>
    <w:rsid w:val="00E84594"/>
    <w:rsid w:val="00E84E9A"/>
    <w:rsid w:val="00E95794"/>
    <w:rsid w:val="00E9595B"/>
    <w:rsid w:val="00EA00B4"/>
    <w:rsid w:val="00EA72DE"/>
    <w:rsid w:val="00EB22CD"/>
    <w:rsid w:val="00EB6DE0"/>
    <w:rsid w:val="00EC0B1E"/>
    <w:rsid w:val="00EC1D0F"/>
    <w:rsid w:val="00ED0C5D"/>
    <w:rsid w:val="00ED4626"/>
    <w:rsid w:val="00ED768A"/>
    <w:rsid w:val="00EE08F4"/>
    <w:rsid w:val="00EE5458"/>
    <w:rsid w:val="00EE7C81"/>
    <w:rsid w:val="00EF7DE7"/>
    <w:rsid w:val="00F07EBD"/>
    <w:rsid w:val="00F16E14"/>
    <w:rsid w:val="00F214D3"/>
    <w:rsid w:val="00F24D3E"/>
    <w:rsid w:val="00F25B8F"/>
    <w:rsid w:val="00F30D67"/>
    <w:rsid w:val="00F31801"/>
    <w:rsid w:val="00F3617E"/>
    <w:rsid w:val="00F369A9"/>
    <w:rsid w:val="00F41CF6"/>
    <w:rsid w:val="00F41F2D"/>
    <w:rsid w:val="00F42A68"/>
    <w:rsid w:val="00F44E37"/>
    <w:rsid w:val="00F46FF8"/>
    <w:rsid w:val="00F474B8"/>
    <w:rsid w:val="00F56A62"/>
    <w:rsid w:val="00F60E40"/>
    <w:rsid w:val="00F62828"/>
    <w:rsid w:val="00F7348C"/>
    <w:rsid w:val="00F74E2A"/>
    <w:rsid w:val="00F76795"/>
    <w:rsid w:val="00F81B3C"/>
    <w:rsid w:val="00F860BE"/>
    <w:rsid w:val="00F9182D"/>
    <w:rsid w:val="00F96644"/>
    <w:rsid w:val="00F97403"/>
    <w:rsid w:val="00FA103E"/>
    <w:rsid w:val="00FA26D3"/>
    <w:rsid w:val="00FA2724"/>
    <w:rsid w:val="00FA4186"/>
    <w:rsid w:val="00FA63A5"/>
    <w:rsid w:val="00FA645E"/>
    <w:rsid w:val="00FB00B7"/>
    <w:rsid w:val="00FB118B"/>
    <w:rsid w:val="00FB22E1"/>
    <w:rsid w:val="00FB606A"/>
    <w:rsid w:val="00FB7A99"/>
    <w:rsid w:val="00FC2415"/>
    <w:rsid w:val="00FC316D"/>
    <w:rsid w:val="00FC3A77"/>
    <w:rsid w:val="00FD174B"/>
    <w:rsid w:val="00FD7585"/>
    <w:rsid w:val="00FD7ED4"/>
    <w:rsid w:val="00FF2379"/>
    <w:rsid w:val="07963E8F"/>
    <w:rsid w:val="0BF1434A"/>
    <w:rsid w:val="17B16FC5"/>
    <w:rsid w:val="2D6C4BA3"/>
    <w:rsid w:val="5E395A62"/>
    <w:rsid w:val="6598166C"/>
    <w:rsid w:val="7A984BC1"/>
    <w:rsid w:val="7C822309"/>
    <w:rsid w:val="7D51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24"/>
      <w:szCs w:val="24"/>
      <w:lang w:val="en-US" w:bidi="ar-SA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HTML 预设格式 Char"/>
    <w:basedOn w:val="9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Revision"/>
    <w:hidden/>
    <w:semiHidden/>
    <w:qFormat/>
    <w:uiPriority w:val="99"/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customStyle="1" w:styleId="16">
    <w:name w:val="批注文字 Char"/>
    <w:basedOn w:val="9"/>
    <w:link w:val="2"/>
    <w:semiHidden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宋体" w:hAnsi="宋体" w:eastAsia="宋体" w:cs="宋体"/>
      <w:b/>
      <w:bCs/>
      <w:kern w:val="0"/>
      <w:sz w:val="22"/>
      <w:lang w:val="zh-CN" w:bidi="zh-CN"/>
    </w:rPr>
  </w:style>
  <w:style w:type="character" w:customStyle="1" w:styleId="18">
    <w:name w:val="批注框文本 Char"/>
    <w:basedOn w:val="9"/>
    <w:link w:val="3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1355</Characters>
  <Lines>11</Lines>
  <Paragraphs>3</Paragraphs>
  <TotalTime>22</TotalTime>
  <ScaleCrop>false</ScaleCrop>
  <LinksUpToDate>false</LinksUpToDate>
  <CharactersWithSpaces>1589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2022-05-27T08:50:00Z</dcterms:created>
  <dc:creator>蔡燕莲</dc:creator>
  <cp:lastModifiedBy>huawei</cp:lastModifiedBy>
  <dcterms:modified xsi:type="dcterms:W3CDTF">2023-09-20T08:51:23Z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CD1BA7A39D3A4B0EBC0A47F2BAA2168A_13</vt:lpwstr>
  </property>
</Properties>
</file>