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02" w:rsidRPr="003D4D5A" w:rsidRDefault="00752A5A" w:rsidP="008C4BBA">
      <w:pPr>
        <w:spacing w:before="210" w:line="185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有</w:t>
      </w:r>
      <w:proofErr w:type="gramStart"/>
      <w:r>
        <w:rPr>
          <w:rFonts w:ascii="宋体" w:eastAsia="宋体" w:hAnsi="宋体" w:cs="宋体" w:hint="eastAsia"/>
          <w:spacing w:val="-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友食品</w:t>
      </w:r>
      <w:proofErr w:type="gramEnd"/>
      <w:r w:rsidR="00345085" w:rsidRPr="003D4D5A">
        <w:rPr>
          <w:rFonts w:ascii="宋体" w:eastAsia="宋体" w:hAnsi="宋体" w:cs="宋体" w:hint="eastAsia"/>
          <w:spacing w:val="-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股份有限公司</w:t>
      </w:r>
      <w:r w:rsidR="00345085" w:rsidRPr="003D4D5A">
        <w:rPr>
          <w:rFonts w:ascii="宋体" w:eastAsia="宋体" w:hAnsi="宋体" w:cs="宋体"/>
          <w:spacing w:val="-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投资者关系活动记录表</w:t>
      </w:r>
    </w:p>
    <w:p w:rsidR="00187402" w:rsidRPr="003D4D5A" w:rsidRDefault="00345085">
      <w:pPr>
        <w:spacing w:before="305" w:line="185" w:lineRule="auto"/>
        <w:ind w:firstLine="122"/>
        <w:rPr>
          <w:rFonts w:ascii="宋体" w:eastAsia="宋体" w:hAnsi="宋体" w:cs="宋体"/>
          <w:sz w:val="24"/>
          <w:szCs w:val="24"/>
        </w:rPr>
      </w:pPr>
      <w:r w:rsidRPr="003D4D5A">
        <w:rPr>
          <w:rFonts w:ascii="宋体" w:eastAsia="宋体" w:hAnsi="宋体" w:cs="宋体"/>
          <w:spacing w:val="-13"/>
          <w:sz w:val="24"/>
          <w:szCs w:val="24"/>
        </w:rPr>
        <w:t>证券代码：</w:t>
      </w:r>
      <w:r w:rsidRPr="003D4D5A">
        <w:rPr>
          <w:rFonts w:ascii="宋体" w:eastAsia="宋体" w:hAnsi="宋体" w:cs="宋体" w:hint="eastAsia"/>
          <w:spacing w:val="-13"/>
          <w:sz w:val="24"/>
          <w:szCs w:val="24"/>
        </w:rPr>
        <w:t>60</w:t>
      </w:r>
      <w:r w:rsidR="00752A5A">
        <w:rPr>
          <w:rFonts w:ascii="宋体" w:eastAsia="宋体" w:hAnsi="宋体" w:cs="宋体"/>
          <w:spacing w:val="-13"/>
          <w:sz w:val="24"/>
          <w:szCs w:val="24"/>
        </w:rPr>
        <w:t>3697</w:t>
      </w:r>
      <w:r w:rsidRPr="003D4D5A">
        <w:rPr>
          <w:rFonts w:ascii="宋体" w:eastAsia="宋体" w:hAnsi="宋体" w:cs="宋体"/>
          <w:spacing w:val="1"/>
          <w:sz w:val="24"/>
          <w:szCs w:val="24"/>
        </w:rPr>
        <w:t xml:space="preserve">     </w:t>
      </w:r>
      <w:r w:rsidRPr="003D4D5A">
        <w:rPr>
          <w:rFonts w:ascii="宋体" w:eastAsia="宋体" w:hAnsi="宋体" w:cs="宋体" w:hint="eastAsia"/>
          <w:spacing w:val="1"/>
          <w:sz w:val="24"/>
          <w:szCs w:val="24"/>
        </w:rPr>
        <w:t xml:space="preserve"> </w:t>
      </w:r>
      <w:r w:rsidRPr="003D4D5A">
        <w:rPr>
          <w:rFonts w:ascii="宋体" w:eastAsia="宋体" w:hAnsi="宋体" w:cs="宋体"/>
          <w:spacing w:val="1"/>
          <w:sz w:val="24"/>
          <w:szCs w:val="24"/>
        </w:rPr>
        <w:t xml:space="preserve"> </w:t>
      </w:r>
      <w:r w:rsidRPr="003D4D5A">
        <w:rPr>
          <w:rFonts w:ascii="宋体" w:eastAsia="宋体" w:hAnsi="宋体" w:cs="宋体" w:hint="eastAsia"/>
          <w:spacing w:val="1"/>
          <w:sz w:val="24"/>
          <w:szCs w:val="24"/>
        </w:rPr>
        <w:t xml:space="preserve"> </w:t>
      </w:r>
      <w:r w:rsidR="00752A5A">
        <w:rPr>
          <w:rFonts w:ascii="宋体" w:eastAsia="宋体" w:hAnsi="宋体" w:cs="宋体"/>
          <w:spacing w:val="1"/>
          <w:sz w:val="24"/>
          <w:szCs w:val="24"/>
        </w:rPr>
        <w:t xml:space="preserve">                          </w:t>
      </w:r>
      <w:r w:rsidRPr="003D4D5A">
        <w:rPr>
          <w:rFonts w:ascii="宋体" w:eastAsia="宋体" w:hAnsi="宋体" w:cs="宋体" w:hint="eastAsia"/>
          <w:spacing w:val="1"/>
          <w:sz w:val="24"/>
          <w:szCs w:val="24"/>
        </w:rPr>
        <w:t xml:space="preserve">  </w:t>
      </w:r>
      <w:r w:rsidRPr="003D4D5A">
        <w:rPr>
          <w:rFonts w:ascii="宋体" w:eastAsia="宋体" w:hAnsi="宋体" w:cs="宋体"/>
          <w:spacing w:val="-13"/>
          <w:sz w:val="24"/>
          <w:szCs w:val="24"/>
        </w:rPr>
        <w:t>证券简称：</w:t>
      </w:r>
      <w:r w:rsidR="00752A5A">
        <w:rPr>
          <w:rFonts w:ascii="宋体" w:eastAsia="宋体" w:hAnsi="宋体" w:cs="宋体" w:hint="eastAsia"/>
          <w:spacing w:val="-13"/>
          <w:sz w:val="24"/>
          <w:szCs w:val="24"/>
        </w:rPr>
        <w:t>有友食品</w:t>
      </w:r>
    </w:p>
    <w:p w:rsidR="00187402" w:rsidRPr="008C4BBA" w:rsidRDefault="00187402">
      <w:pPr>
        <w:spacing w:line="201" w:lineRule="exact"/>
        <w:rPr>
          <w:rFonts w:ascii="宋体" w:eastAsia="宋体" w:hAnsi="宋体"/>
        </w:rPr>
      </w:pPr>
    </w:p>
    <w:tbl>
      <w:tblPr>
        <w:tblStyle w:val="TableNormal"/>
        <w:tblW w:w="937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27"/>
        <w:gridCol w:w="4390"/>
      </w:tblGrid>
      <w:tr w:rsidR="00187402" w:rsidRPr="003D4D5A" w:rsidTr="00F53249">
        <w:trPr>
          <w:trHeight w:val="1918"/>
          <w:jc w:val="center"/>
        </w:trPr>
        <w:tc>
          <w:tcPr>
            <w:tcW w:w="1560" w:type="dxa"/>
            <w:vAlign w:val="center"/>
          </w:tcPr>
          <w:p w:rsidR="0061555D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投资者关系</w:t>
            </w:r>
          </w:p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活动</w:t>
            </w:r>
            <w:r w:rsidRPr="00593C84">
              <w:rPr>
                <w:rFonts w:ascii="宋体" w:eastAsia="宋体" w:hAnsi="宋体" w:cs="宋体"/>
                <w:spacing w:val="-2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类别</w:t>
            </w:r>
          </w:p>
        </w:tc>
        <w:tc>
          <w:tcPr>
            <w:tcW w:w="3427" w:type="dxa"/>
            <w:tcBorders>
              <w:right w:val="nil"/>
            </w:tcBorders>
          </w:tcPr>
          <w:p w:rsidR="00187402" w:rsidRPr="003D4D5A" w:rsidRDefault="00345085" w:rsidP="008C4BBA">
            <w:pPr>
              <w:spacing w:line="360" w:lineRule="auto"/>
              <w:ind w:firstLineChars="100" w:firstLine="233"/>
              <w:rPr>
                <w:rFonts w:ascii="宋体" w:eastAsia="宋体" w:hAnsi="宋体" w:cs="宋体"/>
                <w:spacing w:val="-7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7"/>
                <w:sz w:val="24"/>
                <w:szCs w:val="24"/>
              </w:rPr>
              <w:t>□</w:t>
            </w:r>
            <w:r w:rsidRPr="003D4D5A">
              <w:rPr>
                <w:rFonts w:ascii="宋体" w:eastAsia="宋体" w:hAnsi="宋体" w:cs="宋体" w:hint="eastAsia"/>
                <w:spacing w:val="-7"/>
                <w:sz w:val="24"/>
                <w:szCs w:val="24"/>
              </w:rPr>
              <w:t>特定对象调研</w:t>
            </w:r>
          </w:p>
          <w:p w:rsidR="00187402" w:rsidRPr="003D4D5A" w:rsidRDefault="00345085" w:rsidP="008C4BBA">
            <w:pPr>
              <w:spacing w:line="360" w:lineRule="auto"/>
              <w:ind w:firstLineChars="100" w:firstLine="233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7"/>
                <w:sz w:val="24"/>
                <w:szCs w:val="24"/>
              </w:rPr>
              <w:t>□媒体采访</w:t>
            </w:r>
          </w:p>
          <w:p w:rsidR="00187402" w:rsidRPr="003D4D5A" w:rsidRDefault="00345085" w:rsidP="008C4BBA">
            <w:pPr>
              <w:spacing w:line="360" w:lineRule="auto"/>
              <w:ind w:firstLineChars="100" w:firstLine="234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6"/>
                <w:sz w:val="24"/>
                <w:szCs w:val="24"/>
              </w:rPr>
              <w:t>□新闻发布会</w:t>
            </w:r>
          </w:p>
          <w:p w:rsidR="00187402" w:rsidRPr="003D4D5A" w:rsidRDefault="00345085" w:rsidP="008C4BBA">
            <w:pPr>
              <w:spacing w:line="360" w:lineRule="auto"/>
              <w:ind w:firstLineChars="100" w:firstLine="234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6"/>
                <w:sz w:val="24"/>
                <w:szCs w:val="24"/>
              </w:rPr>
              <w:t>□</w:t>
            </w:r>
            <w:r w:rsidRPr="003D4D5A">
              <w:rPr>
                <w:rFonts w:ascii="宋体" w:eastAsia="宋体" w:hAnsi="宋体" w:cs="宋体"/>
                <w:spacing w:val="-14"/>
                <w:sz w:val="24"/>
                <w:szCs w:val="24"/>
              </w:rPr>
              <w:t>现场参观</w:t>
            </w:r>
          </w:p>
        </w:tc>
        <w:tc>
          <w:tcPr>
            <w:tcW w:w="4390" w:type="dxa"/>
            <w:tcBorders>
              <w:left w:val="nil"/>
            </w:tcBorders>
          </w:tcPr>
          <w:p w:rsidR="00187402" w:rsidRPr="003D4D5A" w:rsidRDefault="00345085" w:rsidP="008C4BBA">
            <w:pPr>
              <w:spacing w:line="360" w:lineRule="auto"/>
              <w:ind w:firstLineChars="100" w:firstLine="234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6"/>
                <w:sz w:val="24"/>
                <w:szCs w:val="24"/>
              </w:rPr>
              <w:t>□分析师会议</w:t>
            </w:r>
          </w:p>
          <w:p w:rsidR="00187402" w:rsidRPr="003D4D5A" w:rsidRDefault="00B3676A" w:rsidP="008C4BBA">
            <w:pPr>
              <w:spacing w:line="360" w:lineRule="auto"/>
              <w:ind w:firstLineChars="100" w:firstLine="234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MS Gothic" w:eastAsia="MS Gothic" w:hAnsi="MS Gothic" w:cs="MS Gothic" w:hint="eastAsia"/>
                <w:spacing w:val="-6"/>
                <w:sz w:val="24"/>
                <w:szCs w:val="24"/>
              </w:rPr>
              <w:t>☑</w:t>
            </w:r>
            <w:r w:rsidR="00345085" w:rsidRPr="003D4D5A">
              <w:rPr>
                <w:rFonts w:ascii="宋体" w:eastAsia="宋体" w:hAnsi="宋体" w:cs="宋体"/>
                <w:spacing w:val="-6"/>
                <w:sz w:val="24"/>
                <w:szCs w:val="24"/>
              </w:rPr>
              <w:t>业绩说明会</w:t>
            </w:r>
          </w:p>
          <w:p w:rsidR="00187402" w:rsidRPr="003D4D5A" w:rsidRDefault="00345085" w:rsidP="008C4BBA">
            <w:pPr>
              <w:spacing w:line="360" w:lineRule="auto"/>
              <w:ind w:firstLineChars="100" w:firstLine="233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7"/>
                <w:sz w:val="24"/>
                <w:szCs w:val="24"/>
              </w:rPr>
              <w:t>□路演活动</w:t>
            </w:r>
          </w:p>
          <w:p w:rsidR="00187402" w:rsidRPr="003D4D5A" w:rsidRDefault="00345085" w:rsidP="008C4BBA">
            <w:pPr>
              <w:spacing w:line="360" w:lineRule="auto"/>
              <w:ind w:firstLineChars="100" w:firstLine="228"/>
              <w:rPr>
                <w:rFonts w:ascii="宋体" w:eastAsia="宋体" w:hAnsi="宋体" w:cs="宋体"/>
                <w:sz w:val="24"/>
                <w:szCs w:val="24"/>
              </w:rPr>
            </w:pPr>
            <w:r w:rsidRPr="003D4D5A">
              <w:rPr>
                <w:rFonts w:ascii="宋体" w:eastAsia="宋体" w:hAnsi="宋体" w:cs="宋体"/>
                <w:spacing w:val="-12"/>
                <w:sz w:val="24"/>
                <w:szCs w:val="24"/>
              </w:rPr>
              <w:t>□其他</w:t>
            </w:r>
          </w:p>
        </w:tc>
      </w:tr>
      <w:tr w:rsidR="00187402" w:rsidRPr="003D4D5A" w:rsidTr="00F53249">
        <w:trPr>
          <w:trHeight w:val="688"/>
          <w:jc w:val="center"/>
        </w:trPr>
        <w:tc>
          <w:tcPr>
            <w:tcW w:w="1560" w:type="dxa"/>
            <w:vAlign w:val="center"/>
          </w:tcPr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参与单位名称及人员姓名</w:t>
            </w:r>
          </w:p>
        </w:tc>
        <w:tc>
          <w:tcPr>
            <w:tcW w:w="7817" w:type="dxa"/>
            <w:gridSpan w:val="2"/>
            <w:vAlign w:val="center"/>
          </w:tcPr>
          <w:p w:rsidR="00187402" w:rsidRPr="0061555D" w:rsidRDefault="00B3676A" w:rsidP="0061555D">
            <w:pPr>
              <w:spacing w:before="98" w:line="228" w:lineRule="auto"/>
              <w:ind w:right="108"/>
              <w:rPr>
                <w:rFonts w:ascii="宋体" w:eastAsia="宋体" w:hAnsi="宋体" w:cs="仿宋"/>
                <w:sz w:val="24"/>
                <w:szCs w:val="24"/>
              </w:rPr>
            </w:pPr>
            <w:r w:rsidRPr="0061555D">
              <w:rPr>
                <w:rFonts w:ascii="宋体" w:eastAsia="宋体" w:hAnsi="宋体" w:cs="仿宋"/>
                <w:sz w:val="24"/>
                <w:szCs w:val="24"/>
              </w:rPr>
              <w:t>社会公众</w:t>
            </w:r>
          </w:p>
        </w:tc>
      </w:tr>
      <w:tr w:rsidR="00187402" w:rsidRPr="003D4D5A" w:rsidTr="00F53249">
        <w:trPr>
          <w:trHeight w:val="221"/>
          <w:jc w:val="center"/>
        </w:trPr>
        <w:tc>
          <w:tcPr>
            <w:tcW w:w="1560" w:type="dxa"/>
            <w:vAlign w:val="center"/>
          </w:tcPr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时</w:t>
            </w:r>
            <w:r w:rsidR="00FA4509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FA4509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间</w:t>
            </w:r>
          </w:p>
        </w:tc>
        <w:tc>
          <w:tcPr>
            <w:tcW w:w="7817" w:type="dxa"/>
            <w:gridSpan w:val="2"/>
            <w:vAlign w:val="center"/>
          </w:tcPr>
          <w:p w:rsidR="00187402" w:rsidRPr="0061555D" w:rsidRDefault="00B3676A" w:rsidP="0061555D">
            <w:pPr>
              <w:spacing w:before="98" w:line="228" w:lineRule="auto"/>
              <w:ind w:right="108"/>
              <w:rPr>
                <w:rFonts w:ascii="宋体" w:eastAsia="宋体" w:hAnsi="宋体" w:cs="仿宋"/>
                <w:sz w:val="24"/>
                <w:szCs w:val="24"/>
              </w:rPr>
            </w:pP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202</w:t>
            </w:r>
            <w:r w:rsidR="00946258">
              <w:rPr>
                <w:rFonts w:ascii="宋体" w:eastAsia="宋体" w:hAnsi="宋体" w:cs="仿宋"/>
                <w:sz w:val="24"/>
                <w:szCs w:val="24"/>
              </w:rPr>
              <w:t>3</w:t>
            </w: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 w:rsidR="002F1936">
              <w:rPr>
                <w:rFonts w:ascii="宋体" w:eastAsia="宋体" w:hAnsi="宋体" w:cs="仿宋"/>
                <w:sz w:val="24"/>
                <w:szCs w:val="24"/>
              </w:rPr>
              <w:t>9</w:t>
            </w: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 w:rsidR="002F1936">
              <w:rPr>
                <w:rFonts w:ascii="宋体" w:eastAsia="宋体" w:hAnsi="宋体" w:cs="仿宋"/>
                <w:sz w:val="24"/>
                <w:szCs w:val="24"/>
              </w:rPr>
              <w:t>20</w:t>
            </w: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  <w:tr w:rsidR="00187402" w:rsidRPr="003D4D5A" w:rsidTr="00F53249">
        <w:trPr>
          <w:trHeight w:val="69"/>
          <w:jc w:val="center"/>
        </w:trPr>
        <w:tc>
          <w:tcPr>
            <w:tcW w:w="1560" w:type="dxa"/>
            <w:vAlign w:val="center"/>
          </w:tcPr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</w:t>
            </w:r>
            <w:r w:rsidR="00FA4509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FA4509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点</w:t>
            </w:r>
          </w:p>
        </w:tc>
        <w:tc>
          <w:tcPr>
            <w:tcW w:w="7817" w:type="dxa"/>
            <w:gridSpan w:val="2"/>
            <w:vAlign w:val="center"/>
          </w:tcPr>
          <w:p w:rsidR="00187402" w:rsidRPr="0061555D" w:rsidRDefault="00B3676A" w:rsidP="0061555D">
            <w:pPr>
              <w:spacing w:before="98" w:line="228" w:lineRule="auto"/>
              <w:ind w:right="108"/>
              <w:rPr>
                <w:rFonts w:ascii="宋体" w:eastAsia="宋体" w:hAnsi="宋体" w:cs="仿宋"/>
                <w:sz w:val="24"/>
                <w:szCs w:val="24"/>
              </w:rPr>
            </w:pP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上</w:t>
            </w:r>
            <w:proofErr w:type="gramStart"/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证路演中心</w:t>
            </w:r>
            <w:proofErr w:type="gramEnd"/>
          </w:p>
        </w:tc>
      </w:tr>
      <w:tr w:rsidR="00187402" w:rsidRPr="003D4D5A" w:rsidTr="00F53249">
        <w:trPr>
          <w:trHeight w:val="1126"/>
          <w:jc w:val="center"/>
        </w:trPr>
        <w:tc>
          <w:tcPr>
            <w:tcW w:w="1560" w:type="dxa"/>
            <w:vAlign w:val="center"/>
          </w:tcPr>
          <w:p w:rsidR="00187402" w:rsidRPr="00593C84" w:rsidRDefault="00345085" w:rsidP="006F6B4C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上市公司接待人员姓名</w:t>
            </w:r>
          </w:p>
        </w:tc>
        <w:tc>
          <w:tcPr>
            <w:tcW w:w="7817" w:type="dxa"/>
            <w:gridSpan w:val="2"/>
            <w:vAlign w:val="center"/>
          </w:tcPr>
          <w:p w:rsidR="00187402" w:rsidRPr="0061555D" w:rsidRDefault="00752A5A" w:rsidP="0061555D">
            <w:pPr>
              <w:spacing w:before="98" w:line="228" w:lineRule="auto"/>
              <w:ind w:right="108"/>
              <w:rPr>
                <w:rFonts w:ascii="宋体" w:eastAsia="宋体" w:hAnsi="宋体" w:cs="仿宋"/>
                <w:sz w:val="24"/>
                <w:szCs w:val="24"/>
              </w:rPr>
            </w:pP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鹿有忠</w:t>
            </w:r>
            <w:r w:rsidR="00B3676A" w:rsidRPr="0061555D">
              <w:rPr>
                <w:rFonts w:ascii="宋体" w:eastAsia="宋体" w:hAnsi="宋体" w:cs="仿宋" w:hint="eastAsia"/>
                <w:sz w:val="24"/>
                <w:szCs w:val="24"/>
              </w:rPr>
              <w:t>、</w:t>
            </w: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崔海彬</w:t>
            </w:r>
            <w:r w:rsidR="00B3676A" w:rsidRPr="0061555D">
              <w:rPr>
                <w:rFonts w:ascii="宋体" w:eastAsia="宋体" w:hAnsi="宋体" w:cs="仿宋" w:hint="eastAsia"/>
                <w:sz w:val="24"/>
                <w:szCs w:val="24"/>
              </w:rPr>
              <w:t>、</w:t>
            </w: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刘渝灿</w:t>
            </w:r>
            <w:r w:rsidR="00B3676A" w:rsidRPr="0061555D">
              <w:rPr>
                <w:rFonts w:ascii="宋体" w:eastAsia="宋体" w:hAnsi="宋体" w:cs="仿宋" w:hint="eastAsia"/>
                <w:sz w:val="24"/>
                <w:szCs w:val="24"/>
              </w:rPr>
              <w:t>、</w:t>
            </w:r>
            <w:r w:rsidRPr="0061555D">
              <w:rPr>
                <w:rFonts w:ascii="宋体" w:eastAsia="宋体" w:hAnsi="宋体" w:cs="仿宋" w:hint="eastAsia"/>
                <w:sz w:val="24"/>
                <w:szCs w:val="24"/>
              </w:rPr>
              <w:t>杨</w:t>
            </w:r>
            <w:r w:rsidR="00915D84">
              <w:rPr>
                <w:rFonts w:ascii="宋体" w:eastAsia="宋体" w:hAnsi="宋体" w:cs="仿宋" w:hint="eastAsia"/>
                <w:sz w:val="24"/>
                <w:szCs w:val="24"/>
              </w:rPr>
              <w:t>安富</w:t>
            </w:r>
          </w:p>
        </w:tc>
      </w:tr>
      <w:tr w:rsidR="00187402" w:rsidRPr="003D4D5A" w:rsidTr="00AD1C04">
        <w:trPr>
          <w:trHeight w:val="1980"/>
          <w:jc w:val="center"/>
        </w:trPr>
        <w:tc>
          <w:tcPr>
            <w:tcW w:w="1560" w:type="dxa"/>
            <w:vAlign w:val="center"/>
          </w:tcPr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593C84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投资者关系活动主要内容介绍</w:t>
            </w:r>
          </w:p>
        </w:tc>
        <w:tc>
          <w:tcPr>
            <w:tcW w:w="7817" w:type="dxa"/>
            <w:gridSpan w:val="2"/>
          </w:tcPr>
          <w:p w:rsidR="003D4D5A" w:rsidRPr="00E6537D" w:rsidRDefault="00666016" w:rsidP="006D04C4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E6537D">
              <w:rPr>
                <w:rFonts w:ascii="宋体" w:eastAsia="宋体" w:hAnsi="宋体" w:cs="仿宋" w:hint="eastAsia"/>
                <w:sz w:val="24"/>
                <w:szCs w:val="24"/>
              </w:rPr>
              <w:t>投资者提出的</w:t>
            </w:r>
            <w:r w:rsidR="003D4D5A" w:rsidRPr="00E6537D">
              <w:rPr>
                <w:rFonts w:ascii="宋体" w:eastAsia="宋体" w:hAnsi="宋体" w:cs="仿宋" w:hint="eastAsia"/>
                <w:sz w:val="24"/>
                <w:szCs w:val="24"/>
              </w:rPr>
              <w:t>问题</w:t>
            </w:r>
            <w:r w:rsidR="0061555D" w:rsidRPr="00E6537D">
              <w:rPr>
                <w:rFonts w:ascii="宋体" w:eastAsia="宋体" w:hAnsi="宋体" w:cs="仿宋" w:hint="eastAsia"/>
                <w:sz w:val="24"/>
                <w:szCs w:val="24"/>
              </w:rPr>
              <w:t>及</w:t>
            </w:r>
            <w:r w:rsidR="00A76C17" w:rsidRPr="00E6537D">
              <w:rPr>
                <w:rFonts w:ascii="宋体" w:eastAsia="宋体" w:hAnsi="宋体" w:cs="仿宋" w:hint="eastAsia"/>
                <w:sz w:val="24"/>
                <w:szCs w:val="24"/>
              </w:rPr>
              <w:t>公司</w:t>
            </w:r>
            <w:r w:rsidR="00336CC6" w:rsidRPr="00E6537D">
              <w:rPr>
                <w:rFonts w:ascii="宋体" w:eastAsia="宋体" w:hAnsi="宋体" w:cs="仿宋" w:hint="eastAsia"/>
                <w:sz w:val="24"/>
                <w:szCs w:val="24"/>
              </w:rPr>
              <w:t>回复</w:t>
            </w:r>
            <w:r w:rsidRPr="00E6537D">
              <w:rPr>
                <w:rFonts w:ascii="宋体" w:eastAsia="宋体" w:hAnsi="宋体" w:cs="仿宋" w:hint="eastAsia"/>
                <w:sz w:val="24"/>
                <w:szCs w:val="24"/>
              </w:rPr>
              <w:t>情况</w:t>
            </w:r>
            <w:r w:rsidR="003D4D5A" w:rsidRPr="00E6537D">
              <w:rPr>
                <w:rFonts w:ascii="宋体" w:eastAsia="宋体" w:hAnsi="宋体" w:cs="仿宋" w:hint="eastAsia"/>
                <w:sz w:val="24"/>
                <w:szCs w:val="24"/>
              </w:rPr>
              <w:t>如下：</w:t>
            </w:r>
          </w:p>
          <w:p w:rsidR="00F6367F" w:rsidRDefault="00F6367F" w:rsidP="00F6367F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cs="仿宋"/>
                <w:sz w:val="24"/>
                <w:szCs w:val="24"/>
              </w:rPr>
              <w:t>1</w:t>
            </w: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：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公司泡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凤爪的收入、毛利率、销量均持续下降。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2020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-2022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年，毛利率分别为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33.60%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31.72%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30.04%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；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2021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2022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2023H1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收入为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9.61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亿元、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7.82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亿元和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3.51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亿元；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2021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2022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年销量为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25044.45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吨、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17912.46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吨。请问泡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凤爪收入、毛利率、销量下滑的趋势是否还会持续？公司如何进行改善？</w:t>
            </w:r>
          </w:p>
          <w:p w:rsidR="00F6367F" w:rsidRDefault="00F6367F" w:rsidP="00F6367F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回复：</w:t>
            </w:r>
            <w:r w:rsidR="00AD7F82" w:rsidRPr="00F6367F">
              <w:rPr>
                <w:rFonts w:ascii="宋体" w:eastAsia="宋体" w:hAnsi="宋体" w:cs="仿宋" w:hint="eastAsia"/>
                <w:sz w:val="24"/>
                <w:szCs w:val="24"/>
              </w:rPr>
              <w:t>尊敬的投资者，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公司将在维持主导产品泡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凤爪在细分市场占据领先地位的基础上，充分利用已有的产品研发、行业经验等优势，提升公司的销售规模和盈利水平；建立健全原材料价格与产品售价的联动机制，根据不同品种原材料的市场价格变化情况、备货周期等因素，有计划地提前储备适当的原材料</w:t>
            </w:r>
            <w:r w:rsidRPr="00F6367F">
              <w:rPr>
                <w:rFonts w:ascii="宋体" w:eastAsia="宋体" w:hAnsi="宋体" w:cs="仿宋" w:hint="eastAsia"/>
                <w:sz w:val="24"/>
                <w:szCs w:val="24"/>
              </w:rPr>
              <w:t>。</w:t>
            </w:r>
            <w:r w:rsidR="00AD7F82">
              <w:rPr>
                <w:rFonts w:ascii="宋体" w:eastAsia="宋体" w:hAnsi="宋体" w:cs="仿宋" w:hint="eastAsia"/>
                <w:sz w:val="24"/>
                <w:szCs w:val="24"/>
              </w:rPr>
              <w:t>感谢您的关注。</w:t>
            </w:r>
          </w:p>
          <w:p w:rsidR="003D4D5A" w:rsidRPr="00AD1C04" w:rsidRDefault="006D04C4" w:rsidP="006D04C4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问题</w:t>
            </w:r>
            <w:r w:rsidR="00F6367F">
              <w:rPr>
                <w:rFonts w:ascii="宋体" w:eastAsia="宋体" w:hAnsi="宋体" w:cs="仿宋"/>
                <w:sz w:val="24"/>
                <w:szCs w:val="24"/>
              </w:rPr>
              <w:t>2</w:t>
            </w: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：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在公司大单品泡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凤爪收入下滑的同时，猪皮晶、竹笋、豆干、花生等的收入也未有明显的收入增长，请问公司在泡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凤爪之外，其他产品是否会有发展侧重？如何培育新的业绩增长点</w:t>
            </w:r>
            <w:r w:rsidR="0034555A" w:rsidRPr="0034555A">
              <w:rPr>
                <w:rFonts w:ascii="宋体" w:eastAsia="宋体" w:hAnsi="宋体" w:cs="仿宋" w:hint="eastAsia"/>
                <w:sz w:val="24"/>
                <w:szCs w:val="24"/>
              </w:rPr>
              <w:t>？</w:t>
            </w:r>
            <w:r w:rsidR="0034555A" w:rsidRPr="00AD1C04">
              <w:rPr>
                <w:rFonts w:ascii="宋体" w:eastAsia="宋体" w:hAnsi="宋体" w:cs="仿宋"/>
                <w:sz w:val="24"/>
                <w:szCs w:val="24"/>
              </w:rPr>
              <w:t xml:space="preserve"> </w:t>
            </w:r>
          </w:p>
          <w:p w:rsidR="008C4BBA" w:rsidRPr="00AD1C04" w:rsidRDefault="006D04C4" w:rsidP="006D04C4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回复：</w:t>
            </w:r>
            <w:r w:rsidR="00AD7F82" w:rsidRPr="00F6367F">
              <w:rPr>
                <w:rFonts w:ascii="宋体" w:eastAsia="宋体" w:hAnsi="宋体" w:cs="仿宋" w:hint="eastAsia"/>
                <w:sz w:val="24"/>
                <w:szCs w:val="24"/>
              </w:rPr>
              <w:t>尊敬的投资者，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公司将在维持主导产品泡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凤爪在细分市场占据领先地位的基础上，加速产品的迭代和优化。同时，持续研发更加符合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lastRenderedPageBreak/>
              <w:t>当下市场趋势和多元需求的优质产品，并加速研究成果的市场转化，打造多维产品矩阵，提升公司的销售规模</w:t>
            </w:r>
            <w:r w:rsidR="0034555A" w:rsidRPr="0034555A">
              <w:rPr>
                <w:rFonts w:ascii="宋体" w:eastAsia="宋体" w:hAnsi="宋体" w:cs="仿宋" w:hint="eastAsia"/>
                <w:sz w:val="24"/>
                <w:szCs w:val="24"/>
              </w:rPr>
              <w:t>。</w:t>
            </w:r>
            <w:r w:rsidR="00AD7F82">
              <w:rPr>
                <w:rFonts w:ascii="宋体" w:eastAsia="宋体" w:hAnsi="宋体" w:cs="仿宋" w:hint="eastAsia"/>
                <w:sz w:val="24"/>
                <w:szCs w:val="24"/>
              </w:rPr>
              <w:t>感谢您的关注。</w:t>
            </w:r>
          </w:p>
          <w:p w:rsidR="00D85D9A" w:rsidRDefault="00F53249" w:rsidP="00F53249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问题</w:t>
            </w:r>
            <w:r w:rsidR="00F6367F">
              <w:rPr>
                <w:rFonts w:ascii="宋体" w:eastAsia="宋体" w:hAnsi="宋体" w:cs="仿宋"/>
                <w:sz w:val="24"/>
                <w:szCs w:val="24"/>
              </w:rPr>
              <w:t>3</w:t>
            </w: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：</w:t>
            </w:r>
            <w:r w:rsidR="00AD7F82" w:rsidRPr="00AD7F82">
              <w:rPr>
                <w:rFonts w:ascii="宋体" w:eastAsia="宋体" w:hAnsi="宋体" w:cs="仿宋"/>
                <w:sz w:val="24"/>
                <w:szCs w:val="24"/>
              </w:rPr>
              <w:t>2022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年年报中，公司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称推出了椒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麻鸡、丰都麻辣鸡块等系列预制菜品。到目前，公司预制菜的发展情况怎么样，</w:t>
            </w:r>
            <w:proofErr w:type="gramStart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占营收</w:t>
            </w:r>
            <w:proofErr w:type="gramEnd"/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的比重大概有多少？公司如何看待预制菜的发展前景？未来公司在预制菜这块的战略或目标是怎样的？</w:t>
            </w:r>
          </w:p>
          <w:p w:rsidR="00CE7245" w:rsidRDefault="00F53249" w:rsidP="00F6367F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回复：</w:t>
            </w:r>
            <w:r w:rsidR="00F6367F" w:rsidRPr="00F6367F">
              <w:rPr>
                <w:rFonts w:ascii="宋体" w:eastAsia="宋体" w:hAnsi="宋体" w:cs="仿宋" w:hint="eastAsia"/>
                <w:sz w:val="24"/>
                <w:szCs w:val="24"/>
              </w:rPr>
              <w:t>尊敬的投资者，</w:t>
            </w:r>
            <w:r w:rsidR="00AD7F82" w:rsidRPr="00AD7F82">
              <w:rPr>
                <w:rFonts w:ascii="宋体" w:eastAsia="宋体" w:hAnsi="宋体" w:cs="仿宋" w:hint="eastAsia"/>
                <w:sz w:val="24"/>
                <w:szCs w:val="24"/>
              </w:rPr>
              <w:t>预制菜目前占公司营收的比重较小。</w:t>
            </w:r>
            <w:r w:rsidR="00AD7F82">
              <w:rPr>
                <w:rFonts w:ascii="宋体" w:eastAsia="宋体" w:hAnsi="宋体" w:cs="仿宋" w:hint="eastAsia"/>
                <w:sz w:val="24"/>
                <w:szCs w:val="24"/>
              </w:rPr>
              <w:t>感谢您的关注。</w:t>
            </w:r>
          </w:p>
          <w:p w:rsidR="00AD7F82" w:rsidRDefault="00AD7F82" w:rsidP="00AD7F82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cs="仿宋"/>
                <w:sz w:val="24"/>
                <w:szCs w:val="24"/>
              </w:rPr>
              <w:t>4</w:t>
            </w: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：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近来，“预制菜进校园”引发广泛关注，甚至遭到不少家长抵制。而贵公司在官网上预制菜系列推荐人群还特别标注了“学生群体”。请问公司如何看待</w:t>
            </w:r>
            <w:proofErr w:type="gramStart"/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预制菜进校园</w:t>
            </w:r>
            <w:proofErr w:type="gramEnd"/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这件事？公司预制</w:t>
            </w:r>
            <w:proofErr w:type="gramStart"/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菜目标</w:t>
            </w:r>
            <w:proofErr w:type="gramEnd"/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人群包含了“学生群体”，是否有进行针对性的营销？效果如何？</w:t>
            </w:r>
          </w:p>
          <w:p w:rsidR="00AD7F82" w:rsidRDefault="00AD7F82" w:rsidP="00AD7F82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回复：</w:t>
            </w:r>
            <w:r w:rsidRPr="00F6367F">
              <w:rPr>
                <w:rFonts w:ascii="宋体" w:eastAsia="宋体" w:hAnsi="宋体" w:cs="仿宋" w:hint="eastAsia"/>
                <w:sz w:val="24"/>
                <w:szCs w:val="24"/>
              </w:rPr>
              <w:t>尊敬的投资者，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《中共中央国务院关于做好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2023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年全面推进乡村振兴重点工作的意见》第十九条专门提出鼓励培育乡村新产业新业态。继续支持创建农业产业强镇、现代农业产业园、优势特色产业集群。支持国家农村产业融合发展示范园建设。深入推进农业现代化示范区建设。实施文化产业赋能乡村振兴计划。实施乡村休闲旅游精品工程，推动乡村民宿提质升级。深入实施“数商兴农”和“互联网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+”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农产品出村进城工程，鼓励发展农产品电</w:t>
            </w:r>
            <w:proofErr w:type="gramStart"/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商直采</w:t>
            </w:r>
            <w:proofErr w:type="gramEnd"/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、定制生产等模式，建设农副产品直播电商基地。提升净菜、中央厨房等产业标准化和规范化水平，培育发展预制菜产业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感谢您的关注。</w:t>
            </w:r>
          </w:p>
          <w:p w:rsidR="00AD7F82" w:rsidRDefault="00AD7F82" w:rsidP="00AD7F82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cs="仿宋"/>
                <w:sz w:val="24"/>
                <w:szCs w:val="24"/>
              </w:rPr>
              <w:t>5</w:t>
            </w: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：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今年上半年公司管理费用、财务费用、研发费用均同比减少，唯有销售费用同比增长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7.61%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。其中，广告及宣传费为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411.84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万元，同比增长近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3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倍；促销活动费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1005.83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万元，同比增长</w:t>
            </w:r>
            <w:r w:rsidRPr="00AD7F82">
              <w:rPr>
                <w:rFonts w:ascii="宋体" w:eastAsia="宋体" w:hAnsi="宋体" w:cs="仿宋"/>
                <w:sz w:val="24"/>
                <w:szCs w:val="24"/>
              </w:rPr>
              <w:t>5.34%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。公司在销售费用增加尤其是广告宣传费用大增的情况下，营收还微降，是否说明公司当前销售遇到瓶颈？后续公司是否还会继续加大销售费用尤其是广告宣传费用的投放？</w:t>
            </w:r>
          </w:p>
          <w:p w:rsidR="00AD7F82" w:rsidRPr="00AD7F82" w:rsidRDefault="00AD7F82" w:rsidP="00AD7F82">
            <w:pPr>
              <w:spacing w:line="360" w:lineRule="auto"/>
              <w:ind w:firstLineChars="200" w:firstLine="480"/>
              <w:jc w:val="both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AD1C04">
              <w:rPr>
                <w:rFonts w:ascii="宋体" w:eastAsia="宋体" w:hAnsi="宋体" w:cs="仿宋" w:hint="eastAsia"/>
                <w:sz w:val="24"/>
                <w:szCs w:val="24"/>
              </w:rPr>
              <w:t>回复：</w:t>
            </w:r>
            <w:r w:rsidRPr="00F6367F">
              <w:rPr>
                <w:rFonts w:ascii="宋体" w:eastAsia="宋体" w:hAnsi="宋体" w:cs="仿宋" w:hint="eastAsia"/>
                <w:sz w:val="24"/>
                <w:szCs w:val="24"/>
              </w:rPr>
              <w:t>尊敬的投资者，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公司将继续加强市场费用的合理、有序投放。</w:t>
            </w:r>
            <w:r w:rsidRPr="00AD7F82">
              <w:rPr>
                <w:rFonts w:ascii="宋体" w:eastAsia="宋体" w:hAnsi="宋体" w:cs="仿宋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感谢您的关注。</w:t>
            </w:r>
            <w:bookmarkStart w:id="0" w:name="_GoBack"/>
            <w:bookmarkEnd w:id="0"/>
          </w:p>
        </w:tc>
      </w:tr>
      <w:tr w:rsidR="00187402" w:rsidRPr="003D4D5A" w:rsidTr="00F53249">
        <w:trPr>
          <w:trHeight w:val="480"/>
          <w:jc w:val="center"/>
        </w:trPr>
        <w:tc>
          <w:tcPr>
            <w:tcW w:w="1560" w:type="dxa"/>
            <w:vAlign w:val="center"/>
          </w:tcPr>
          <w:p w:rsidR="0061555D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593C84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lastRenderedPageBreak/>
              <w:t>附件清单</w:t>
            </w:r>
          </w:p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593C84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lastRenderedPageBreak/>
              <w:t>（如有）</w:t>
            </w:r>
          </w:p>
        </w:tc>
        <w:tc>
          <w:tcPr>
            <w:tcW w:w="7817" w:type="dxa"/>
            <w:gridSpan w:val="2"/>
            <w:vAlign w:val="center"/>
          </w:tcPr>
          <w:p w:rsidR="00187402" w:rsidRPr="003D4D5A" w:rsidRDefault="003D4D5A" w:rsidP="00593C84">
            <w:pPr>
              <w:spacing w:before="98" w:line="228" w:lineRule="auto"/>
              <w:ind w:right="108"/>
              <w:rPr>
                <w:rFonts w:ascii="宋体" w:eastAsia="宋体" w:hAnsi="宋体" w:cs="仿宋"/>
                <w:sz w:val="22"/>
                <w:szCs w:val="22"/>
              </w:rPr>
            </w:pPr>
            <w:r w:rsidRPr="003D4D5A">
              <w:rPr>
                <w:rFonts w:ascii="宋体" w:eastAsia="宋体" w:hAnsi="宋体" w:cs="仿宋" w:hint="eastAsia"/>
                <w:sz w:val="22"/>
                <w:szCs w:val="22"/>
              </w:rPr>
              <w:lastRenderedPageBreak/>
              <w:t>无</w:t>
            </w:r>
          </w:p>
        </w:tc>
      </w:tr>
      <w:tr w:rsidR="00187402" w:rsidRPr="003D4D5A" w:rsidTr="00F53249">
        <w:trPr>
          <w:trHeight w:val="825"/>
          <w:jc w:val="center"/>
        </w:trPr>
        <w:tc>
          <w:tcPr>
            <w:tcW w:w="1560" w:type="dxa"/>
            <w:vAlign w:val="center"/>
          </w:tcPr>
          <w:p w:rsidR="00187402" w:rsidRPr="00593C84" w:rsidRDefault="00345085" w:rsidP="00593C84">
            <w:pPr>
              <w:spacing w:before="78" w:line="369" w:lineRule="auto"/>
              <w:ind w:left="1" w:right="109" w:hanging="11"/>
              <w:jc w:val="center"/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593C84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日</w:t>
            </w:r>
            <w:r w:rsidR="00FA4509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FA4509">
              <w:rPr>
                <w:rFonts w:ascii="宋体" w:eastAsia="宋体" w:hAnsi="宋体" w:cs="宋体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593C84">
              <w:rPr>
                <w:rFonts w:ascii="宋体" w:eastAsia="宋体" w:hAnsi="宋体" w:cs="宋体" w:hint="eastAsia"/>
                <w:spacing w:val="-1"/>
                <w:sz w:val="22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  <w:tc>
          <w:tcPr>
            <w:tcW w:w="7817" w:type="dxa"/>
            <w:gridSpan w:val="2"/>
            <w:vAlign w:val="center"/>
          </w:tcPr>
          <w:p w:rsidR="00187402" w:rsidRPr="003D4D5A" w:rsidRDefault="00B3676A" w:rsidP="006634C0">
            <w:pPr>
              <w:spacing w:before="98" w:line="228" w:lineRule="auto"/>
              <w:ind w:right="108"/>
              <w:rPr>
                <w:rFonts w:ascii="宋体" w:eastAsia="宋体" w:hAnsi="宋体" w:cs="仿宋"/>
                <w:sz w:val="24"/>
                <w:szCs w:val="24"/>
              </w:rPr>
            </w:pPr>
            <w:r w:rsidRPr="003D4D5A">
              <w:rPr>
                <w:rFonts w:ascii="宋体" w:eastAsia="宋体" w:hAnsi="宋体" w:cs="仿宋" w:hint="eastAsia"/>
                <w:sz w:val="24"/>
                <w:szCs w:val="24"/>
              </w:rPr>
              <w:t>202</w:t>
            </w:r>
            <w:r w:rsidR="00F6367F">
              <w:rPr>
                <w:rFonts w:ascii="宋体" w:eastAsia="宋体" w:hAnsi="宋体" w:cs="仿宋"/>
                <w:sz w:val="24"/>
                <w:szCs w:val="24"/>
              </w:rPr>
              <w:t>3</w:t>
            </w:r>
            <w:r w:rsidRPr="003D4D5A"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 w:rsidR="002F1936">
              <w:rPr>
                <w:rFonts w:ascii="宋体" w:eastAsia="宋体" w:hAnsi="宋体" w:cs="仿宋"/>
                <w:sz w:val="24"/>
                <w:szCs w:val="24"/>
              </w:rPr>
              <w:t>9</w:t>
            </w:r>
            <w:r w:rsidRPr="003D4D5A"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 w:rsidR="002F1936">
              <w:rPr>
                <w:rFonts w:ascii="宋体" w:eastAsia="宋体" w:hAnsi="宋体" w:cs="仿宋"/>
                <w:sz w:val="24"/>
                <w:szCs w:val="24"/>
              </w:rPr>
              <w:t>20</w:t>
            </w:r>
            <w:r w:rsidRPr="003D4D5A"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</w:tbl>
    <w:p w:rsidR="00187402" w:rsidRPr="003D4D5A" w:rsidRDefault="00187402" w:rsidP="009C6047">
      <w:pPr>
        <w:rPr>
          <w:rFonts w:ascii="宋体" w:eastAsia="宋体" w:hAnsi="宋体"/>
        </w:rPr>
      </w:pPr>
    </w:p>
    <w:sectPr w:rsidR="00187402" w:rsidRPr="003D4D5A">
      <w:footerReference w:type="default" r:id="rId7"/>
      <w:pgSz w:w="11907" w:h="16839"/>
      <w:pgMar w:top="1431" w:right="1685" w:bottom="1153" w:left="1687" w:header="0" w:footer="10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0E" w:rsidRDefault="008A270E">
      <w:r>
        <w:separator/>
      </w:r>
    </w:p>
  </w:endnote>
  <w:endnote w:type="continuationSeparator" w:id="0">
    <w:p w:rsidR="008A270E" w:rsidRDefault="008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02" w:rsidRDefault="00187402">
    <w:pPr>
      <w:spacing w:line="121" w:lineRule="exact"/>
      <w:ind w:firstLine="4225"/>
      <w:rPr>
        <w:rFonts w:ascii="Times New Roman" w:eastAsia="宋体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0E" w:rsidRDefault="008A270E">
      <w:r>
        <w:separator/>
      </w:r>
    </w:p>
  </w:footnote>
  <w:footnote w:type="continuationSeparator" w:id="0">
    <w:p w:rsidR="008A270E" w:rsidRDefault="008A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02"/>
    <w:rsid w:val="00037C2E"/>
    <w:rsid w:val="000F3429"/>
    <w:rsid w:val="001613D5"/>
    <w:rsid w:val="001846F7"/>
    <w:rsid w:val="00187402"/>
    <w:rsid w:val="001B40C3"/>
    <w:rsid w:val="00211026"/>
    <w:rsid w:val="002214F8"/>
    <w:rsid w:val="002467FA"/>
    <w:rsid w:val="002533A6"/>
    <w:rsid w:val="002F1936"/>
    <w:rsid w:val="002F4A65"/>
    <w:rsid w:val="00336CC6"/>
    <w:rsid w:val="00345085"/>
    <w:rsid w:val="0034555A"/>
    <w:rsid w:val="0035524A"/>
    <w:rsid w:val="00392B81"/>
    <w:rsid w:val="003D4D5A"/>
    <w:rsid w:val="00401BF6"/>
    <w:rsid w:val="0044583B"/>
    <w:rsid w:val="00446053"/>
    <w:rsid w:val="004502D5"/>
    <w:rsid w:val="00572F4E"/>
    <w:rsid w:val="00593C84"/>
    <w:rsid w:val="005C3A89"/>
    <w:rsid w:val="0061555D"/>
    <w:rsid w:val="006315D8"/>
    <w:rsid w:val="006634C0"/>
    <w:rsid w:val="00666016"/>
    <w:rsid w:val="00672695"/>
    <w:rsid w:val="006A2069"/>
    <w:rsid w:val="006D04C4"/>
    <w:rsid w:val="006F6B4C"/>
    <w:rsid w:val="0074127E"/>
    <w:rsid w:val="00746BEB"/>
    <w:rsid w:val="00752A5A"/>
    <w:rsid w:val="00782CA1"/>
    <w:rsid w:val="007877F2"/>
    <w:rsid w:val="007A6F06"/>
    <w:rsid w:val="008565E2"/>
    <w:rsid w:val="008A270E"/>
    <w:rsid w:val="008C36E5"/>
    <w:rsid w:val="008C4BBA"/>
    <w:rsid w:val="008E7AEC"/>
    <w:rsid w:val="008F227B"/>
    <w:rsid w:val="008F4238"/>
    <w:rsid w:val="00915D84"/>
    <w:rsid w:val="009216CD"/>
    <w:rsid w:val="00937F2F"/>
    <w:rsid w:val="00946258"/>
    <w:rsid w:val="009C6047"/>
    <w:rsid w:val="009D324B"/>
    <w:rsid w:val="009E4191"/>
    <w:rsid w:val="00A3692B"/>
    <w:rsid w:val="00A718CD"/>
    <w:rsid w:val="00A76C17"/>
    <w:rsid w:val="00AA1A87"/>
    <w:rsid w:val="00AD1C04"/>
    <w:rsid w:val="00AD7F82"/>
    <w:rsid w:val="00B03B5B"/>
    <w:rsid w:val="00B3676A"/>
    <w:rsid w:val="00C00431"/>
    <w:rsid w:val="00C22563"/>
    <w:rsid w:val="00C321E3"/>
    <w:rsid w:val="00C61339"/>
    <w:rsid w:val="00CE7245"/>
    <w:rsid w:val="00D47B31"/>
    <w:rsid w:val="00D85D9A"/>
    <w:rsid w:val="00E045D5"/>
    <w:rsid w:val="00E6537D"/>
    <w:rsid w:val="00E90558"/>
    <w:rsid w:val="00EA7BAC"/>
    <w:rsid w:val="00F43E6D"/>
    <w:rsid w:val="00F53249"/>
    <w:rsid w:val="00F6367F"/>
    <w:rsid w:val="00F95CC1"/>
    <w:rsid w:val="00FA4509"/>
    <w:rsid w:val="2935509C"/>
    <w:rsid w:val="42D8110B"/>
    <w:rsid w:val="65851E49"/>
    <w:rsid w:val="77FC1970"/>
    <w:rsid w:val="7B2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994BD"/>
  <w15:docId w15:val="{481DFC50-ED1F-4F6E-8CE8-72C1896E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中建西部建设股份有限公司投资者关系活动记录表</dc:title>
  <dc:creator>xbjs</dc:creator>
  <cp:lastModifiedBy>鹿有忠</cp:lastModifiedBy>
  <cp:revision>50</cp:revision>
  <dcterms:created xsi:type="dcterms:W3CDTF">2022-09-28T07:02:00Z</dcterms:created>
  <dcterms:modified xsi:type="dcterms:W3CDTF">2023-09-20T09:04:00Z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2022-04-26T10:04:29Z</vt:filetime>
  </property>
  <property fmtid="{D5CDD505-2E9C-101B-9397-08002B2CF9AE}" pid="4" name="KSOProductBuildVer">
    <vt:lpwstr>2052-11.1.0.11365</vt:lpwstr>
  </property>
  <property fmtid="{D5CDD505-2E9C-101B-9397-08002B2CF9AE}" pid="5" name="ICV">
    <vt:lpwstr>1263E0147E4241AF9F2F5900B12792F5</vt:lpwstr>
  </property>
</Properties>
</file>