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9"/>
        <w:jc w:val="center"/>
        <w:rPr>
          <w:b/>
          <w:sz w:val="36"/>
        </w:rPr>
      </w:pPr>
      <w:r>
        <w:rPr>
          <w:rFonts w:hint="eastAsia"/>
          <w:b/>
          <w:sz w:val="36"/>
        </w:rPr>
        <w:t>抚顺特殊钢</w:t>
      </w:r>
      <w:r>
        <w:rPr>
          <w:b/>
          <w:sz w:val="36"/>
        </w:rPr>
        <w:t>股份有限公司投资者关系活动记录表</w:t>
      </w:r>
    </w:p>
    <w:p>
      <w:pPr>
        <w:pStyle w:val="2"/>
        <w:spacing w:before="29"/>
        <w:jc w:val="center"/>
        <w:rPr>
          <w:b/>
          <w:sz w:val="36"/>
        </w:rPr>
      </w:pPr>
    </w:p>
    <w:p>
      <w:pPr>
        <w:spacing w:before="71" w:after="40"/>
        <w:ind w:right="573"/>
        <w:jc w:val="right"/>
        <w:rPr>
          <w:sz w:val="24"/>
          <w:lang w:val="en-US"/>
        </w:rPr>
      </w:pPr>
      <w:r>
        <w:rPr>
          <w:sz w:val="24"/>
        </w:rPr>
        <w:t>记录表编号：</w:t>
      </w:r>
      <w:r>
        <w:rPr>
          <w:rFonts w:hint="eastAsia"/>
          <w:sz w:val="24"/>
          <w:lang w:val="en-US"/>
        </w:rPr>
        <w:t>2023-004</w:t>
      </w:r>
    </w:p>
    <w:tbl>
      <w:tblPr>
        <w:tblStyle w:val="6"/>
        <w:tblW w:w="10196"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2629"/>
        <w:gridCol w:w="5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5" w:hRule="atLeast"/>
        </w:trPr>
        <w:tc>
          <w:tcPr>
            <w:tcW w:w="1570" w:type="dxa"/>
            <w:vMerge w:val="restart"/>
          </w:tcPr>
          <w:p>
            <w:pPr>
              <w:pStyle w:val="9"/>
              <w:ind w:left="0"/>
              <w:rPr>
                <w:sz w:val="24"/>
              </w:rPr>
            </w:pPr>
          </w:p>
          <w:p>
            <w:pPr>
              <w:pStyle w:val="9"/>
              <w:spacing w:before="6"/>
              <w:ind w:left="0"/>
              <w:rPr>
                <w:sz w:val="24"/>
              </w:rPr>
            </w:pPr>
          </w:p>
          <w:p>
            <w:pPr>
              <w:pStyle w:val="9"/>
              <w:spacing w:line="244" w:lineRule="auto"/>
              <w:ind w:left="244" w:right="228" w:hanging="120"/>
              <w:rPr>
                <w:b/>
                <w:sz w:val="24"/>
              </w:rPr>
            </w:pPr>
            <w:r>
              <w:rPr>
                <w:b/>
                <w:sz w:val="24"/>
              </w:rPr>
              <w:t>投资者关系活动类别</w:t>
            </w:r>
            <w:r>
              <w:rPr>
                <w:b/>
                <w:w w:val="99"/>
                <w:sz w:val="24"/>
              </w:rPr>
              <w:t xml:space="preserve"> </w:t>
            </w:r>
          </w:p>
        </w:tc>
        <w:tc>
          <w:tcPr>
            <w:tcW w:w="2629" w:type="dxa"/>
            <w:tcBorders>
              <w:bottom w:val="nil"/>
              <w:right w:val="nil"/>
            </w:tcBorders>
          </w:tcPr>
          <w:p>
            <w:pPr>
              <w:pStyle w:val="9"/>
              <w:numPr>
                <w:ilvl w:val="0"/>
                <w:numId w:val="1"/>
              </w:numPr>
              <w:tabs>
                <w:tab w:val="left" w:pos="349"/>
              </w:tabs>
              <w:spacing w:before="95"/>
              <w:ind w:hanging="242"/>
              <w:rPr>
                <w:sz w:val="24"/>
              </w:rPr>
            </w:pPr>
            <w:r>
              <w:rPr>
                <w:sz w:val="24"/>
              </w:rPr>
              <w:t xml:space="preserve">特定对象调研 </w:t>
            </w:r>
          </w:p>
        </w:tc>
        <w:tc>
          <w:tcPr>
            <w:tcW w:w="5997" w:type="dxa"/>
            <w:tcBorders>
              <w:left w:val="nil"/>
              <w:bottom w:val="nil"/>
            </w:tcBorders>
          </w:tcPr>
          <w:p>
            <w:pPr>
              <w:pStyle w:val="9"/>
              <w:spacing w:before="95"/>
              <w:ind w:left="724"/>
              <w:rPr>
                <w:sz w:val="24"/>
              </w:rPr>
            </w:pPr>
            <w:r>
              <w:rPr>
                <w:sz w:val="24"/>
              </w:rPr>
              <w:t xml:space="preserve">□分析师会议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trPr>
        <w:tc>
          <w:tcPr>
            <w:tcW w:w="1570" w:type="dxa"/>
            <w:vMerge w:val="continue"/>
            <w:tcBorders>
              <w:top w:val="nil"/>
            </w:tcBorders>
          </w:tcPr>
          <w:p>
            <w:pPr>
              <w:rPr>
                <w:sz w:val="2"/>
                <w:szCs w:val="2"/>
              </w:rPr>
            </w:pPr>
          </w:p>
        </w:tc>
        <w:tc>
          <w:tcPr>
            <w:tcW w:w="2629" w:type="dxa"/>
            <w:tcBorders>
              <w:top w:val="nil"/>
              <w:bottom w:val="nil"/>
              <w:right w:val="nil"/>
            </w:tcBorders>
          </w:tcPr>
          <w:p>
            <w:pPr>
              <w:pStyle w:val="9"/>
              <w:spacing w:before="82"/>
              <w:ind w:left="107"/>
              <w:rPr>
                <w:sz w:val="24"/>
              </w:rPr>
            </w:pPr>
            <w:r>
              <w:rPr>
                <w:sz w:val="24"/>
              </w:rPr>
              <w:t xml:space="preserve">□媒体采访 </w:t>
            </w:r>
          </w:p>
        </w:tc>
        <w:tc>
          <w:tcPr>
            <w:tcW w:w="5997" w:type="dxa"/>
            <w:tcBorders>
              <w:top w:val="nil"/>
              <w:left w:val="nil"/>
              <w:bottom w:val="nil"/>
            </w:tcBorders>
          </w:tcPr>
          <w:p>
            <w:pPr>
              <w:pStyle w:val="9"/>
              <w:spacing w:before="82"/>
              <w:ind w:left="724"/>
              <w:rPr>
                <w:sz w:val="24"/>
              </w:rPr>
            </w:pPr>
            <w:r>
              <w:rPr>
                <w:sz w:val="24"/>
              </w:rPr>
              <w:t xml:space="preserve">□业绩说明会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1570" w:type="dxa"/>
            <w:vMerge w:val="continue"/>
            <w:tcBorders>
              <w:top w:val="nil"/>
            </w:tcBorders>
          </w:tcPr>
          <w:p>
            <w:pPr>
              <w:rPr>
                <w:sz w:val="2"/>
                <w:szCs w:val="2"/>
              </w:rPr>
            </w:pPr>
          </w:p>
        </w:tc>
        <w:tc>
          <w:tcPr>
            <w:tcW w:w="2629" w:type="dxa"/>
            <w:tcBorders>
              <w:top w:val="nil"/>
              <w:bottom w:val="nil"/>
              <w:right w:val="nil"/>
            </w:tcBorders>
          </w:tcPr>
          <w:p>
            <w:pPr>
              <w:pStyle w:val="9"/>
              <w:spacing w:before="97"/>
              <w:ind w:left="107"/>
              <w:rPr>
                <w:sz w:val="24"/>
              </w:rPr>
            </w:pPr>
            <w:r>
              <w:rPr>
                <w:sz w:val="24"/>
              </w:rPr>
              <w:t xml:space="preserve">□新闻发布会 </w:t>
            </w:r>
          </w:p>
        </w:tc>
        <w:tc>
          <w:tcPr>
            <w:tcW w:w="5997" w:type="dxa"/>
            <w:tcBorders>
              <w:top w:val="nil"/>
              <w:left w:val="nil"/>
              <w:bottom w:val="nil"/>
            </w:tcBorders>
          </w:tcPr>
          <w:p>
            <w:pPr>
              <w:pStyle w:val="9"/>
              <w:spacing w:before="97"/>
              <w:ind w:left="724"/>
              <w:rPr>
                <w:sz w:val="24"/>
              </w:rPr>
            </w:pPr>
            <w:r>
              <w:rPr>
                <w:sz w:val="24"/>
              </w:rPr>
              <w:t xml:space="preserve">□路演活动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1570" w:type="dxa"/>
            <w:vMerge w:val="continue"/>
            <w:tcBorders>
              <w:top w:val="nil"/>
            </w:tcBorders>
          </w:tcPr>
          <w:p>
            <w:pPr>
              <w:rPr>
                <w:sz w:val="2"/>
                <w:szCs w:val="2"/>
              </w:rPr>
            </w:pPr>
          </w:p>
        </w:tc>
        <w:tc>
          <w:tcPr>
            <w:tcW w:w="8626" w:type="dxa"/>
            <w:gridSpan w:val="2"/>
            <w:tcBorders>
              <w:top w:val="nil"/>
            </w:tcBorders>
          </w:tcPr>
          <w:p>
            <w:pPr>
              <w:pStyle w:val="9"/>
              <w:spacing w:before="117"/>
              <w:ind w:left="107"/>
              <w:rPr>
                <w:sz w:val="24"/>
              </w:rPr>
            </w:pPr>
            <w:r>
              <w:rPr>
                <w:sz w:val="24"/>
              </w:rPr>
              <w:t>□ 现 场 参 观</w:t>
            </w:r>
            <w:r>
              <w:rPr>
                <w:rFonts w:hint="eastAsia"/>
                <w:sz w:val="24"/>
                <w:lang w:val="en-US"/>
              </w:rPr>
              <w:t xml:space="preserve">            </w:t>
            </w:r>
            <w:r>
              <w:rPr>
                <w:sz w:val="24"/>
              </w:rPr>
              <w:t xml:space="preserve"> □ 其 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1570" w:type="dxa"/>
          </w:tcPr>
          <w:p>
            <w:pPr>
              <w:pStyle w:val="9"/>
              <w:spacing w:before="12"/>
              <w:ind w:left="0"/>
              <w:rPr>
                <w:sz w:val="17"/>
              </w:rPr>
            </w:pPr>
          </w:p>
          <w:p>
            <w:pPr>
              <w:pStyle w:val="9"/>
              <w:spacing w:line="242" w:lineRule="auto"/>
              <w:ind w:left="182" w:right="50" w:hanging="120"/>
              <w:rPr>
                <w:b/>
                <w:sz w:val="24"/>
              </w:rPr>
            </w:pPr>
            <w:r>
              <w:rPr>
                <w:b/>
                <w:sz w:val="24"/>
              </w:rPr>
              <w:t>参与单位名称</w:t>
            </w:r>
            <w:r>
              <w:rPr>
                <w:b/>
                <w:w w:val="99"/>
                <w:sz w:val="24"/>
              </w:rPr>
              <w:t xml:space="preserve"> </w:t>
            </w:r>
          </w:p>
        </w:tc>
        <w:tc>
          <w:tcPr>
            <w:tcW w:w="8626" w:type="dxa"/>
            <w:gridSpan w:val="2"/>
          </w:tcPr>
          <w:p>
            <w:pPr>
              <w:pStyle w:val="9"/>
              <w:tabs>
                <w:tab w:val="left" w:pos="8360"/>
              </w:tabs>
              <w:spacing w:before="64" w:line="295" w:lineRule="auto"/>
              <w:ind w:right="80" w:firstLine="240" w:firstLineChars="100"/>
              <w:rPr>
                <w:sz w:val="24"/>
                <w:lang w:val="en-US"/>
              </w:rPr>
            </w:pPr>
            <w:r>
              <w:rPr>
                <w:rFonts w:hint="eastAsia"/>
                <w:sz w:val="24"/>
                <w:lang w:val="en-US"/>
              </w:rPr>
              <w:t>国盛军工、兴业证券、民生证券、天风证券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570" w:type="dxa"/>
          </w:tcPr>
          <w:p>
            <w:pPr>
              <w:pStyle w:val="9"/>
              <w:spacing w:before="184"/>
              <w:ind w:left="0" w:right="530"/>
              <w:jc w:val="right"/>
              <w:rPr>
                <w:b/>
                <w:sz w:val="24"/>
              </w:rPr>
            </w:pPr>
            <w:r>
              <w:rPr>
                <w:b/>
                <w:sz w:val="24"/>
              </w:rPr>
              <w:t>时间</w:t>
            </w:r>
          </w:p>
        </w:tc>
        <w:tc>
          <w:tcPr>
            <w:tcW w:w="8626" w:type="dxa"/>
            <w:gridSpan w:val="2"/>
          </w:tcPr>
          <w:p>
            <w:pPr>
              <w:pStyle w:val="9"/>
              <w:spacing w:before="167"/>
              <w:ind w:left="124"/>
              <w:rPr>
                <w:sz w:val="24"/>
                <w:lang w:val="en-US"/>
              </w:rPr>
            </w:pPr>
            <w:r>
              <w:rPr>
                <w:sz w:val="24"/>
              </w:rPr>
              <w:t>202</w:t>
            </w:r>
            <w:r>
              <w:rPr>
                <w:rFonts w:hint="eastAsia"/>
                <w:sz w:val="24"/>
                <w:lang w:val="en-US"/>
              </w:rPr>
              <w:t>3</w:t>
            </w:r>
            <w:r>
              <w:rPr>
                <w:sz w:val="24"/>
              </w:rPr>
              <w:t>年</w:t>
            </w:r>
            <w:r>
              <w:rPr>
                <w:rFonts w:hint="eastAsia"/>
                <w:sz w:val="24"/>
                <w:lang w:val="en-US"/>
              </w:rPr>
              <w:t>9</w:t>
            </w:r>
            <w:r>
              <w:rPr>
                <w:sz w:val="24"/>
              </w:rPr>
              <w:t>月</w:t>
            </w:r>
            <w:r>
              <w:rPr>
                <w:rFonts w:hint="eastAsia"/>
                <w:sz w:val="24"/>
                <w:lang w:val="en-US"/>
              </w:rPr>
              <w:t>7</w:t>
            </w:r>
            <w:r>
              <w:rPr>
                <w:sz w:val="24"/>
              </w:rPr>
              <w:t>日</w:t>
            </w:r>
            <w:r>
              <w:rPr>
                <w:rFonts w:hint="eastAsia"/>
                <w:sz w:val="24"/>
                <w:lang w:val="en-US"/>
              </w:rPr>
              <w:t>14：00-16：00</w:t>
            </w:r>
          </w:p>
          <w:p>
            <w:pPr>
              <w:pStyle w:val="9"/>
              <w:spacing w:before="167"/>
              <w:ind w:left="124"/>
              <w:rPr>
                <w:sz w:val="24"/>
                <w:lang w:val="en-US"/>
              </w:rPr>
            </w:pPr>
            <w:r>
              <w:rPr>
                <w:rFonts w:hint="eastAsia"/>
                <w:sz w:val="24"/>
                <w:lang w:val="en-US"/>
              </w:rPr>
              <w:t>2023年9月13日 9：00-11：00</w:t>
            </w:r>
          </w:p>
          <w:p>
            <w:pPr>
              <w:pStyle w:val="9"/>
              <w:spacing w:before="167"/>
              <w:ind w:left="124"/>
              <w:rPr>
                <w:sz w:val="24"/>
                <w:lang w:val="en-US"/>
              </w:rPr>
            </w:pPr>
            <w:r>
              <w:rPr>
                <w:rFonts w:hint="eastAsia"/>
                <w:sz w:val="24"/>
                <w:lang w:val="en-US"/>
              </w:rPr>
              <w:t>2023年9月14日 14：00-16：00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trPr>
        <w:tc>
          <w:tcPr>
            <w:tcW w:w="1570" w:type="dxa"/>
          </w:tcPr>
          <w:p>
            <w:pPr>
              <w:pStyle w:val="9"/>
              <w:spacing w:before="182"/>
              <w:ind w:left="0" w:right="530"/>
              <w:jc w:val="right"/>
              <w:rPr>
                <w:b/>
                <w:sz w:val="24"/>
              </w:rPr>
            </w:pPr>
            <w:r>
              <w:rPr>
                <w:b/>
                <w:sz w:val="24"/>
              </w:rPr>
              <w:t>地点</w:t>
            </w:r>
          </w:p>
        </w:tc>
        <w:tc>
          <w:tcPr>
            <w:tcW w:w="8626" w:type="dxa"/>
            <w:gridSpan w:val="2"/>
          </w:tcPr>
          <w:p>
            <w:pPr>
              <w:pStyle w:val="9"/>
              <w:spacing w:before="166"/>
              <w:rPr>
                <w:sz w:val="24"/>
              </w:rPr>
            </w:pPr>
            <w:r>
              <w:rPr>
                <w:sz w:val="24"/>
              </w:rPr>
              <w:t xml:space="preserve">公司会议室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1570" w:type="dxa"/>
          </w:tcPr>
          <w:p>
            <w:pPr>
              <w:pStyle w:val="9"/>
              <w:spacing w:before="156" w:line="242" w:lineRule="auto"/>
              <w:ind w:left="302" w:right="51" w:hanging="241"/>
              <w:rPr>
                <w:b/>
                <w:sz w:val="24"/>
              </w:rPr>
            </w:pPr>
            <w:r>
              <w:rPr>
                <w:b/>
                <w:sz w:val="24"/>
              </w:rPr>
              <w:t>上市公司接待人员姓名</w:t>
            </w:r>
          </w:p>
        </w:tc>
        <w:tc>
          <w:tcPr>
            <w:tcW w:w="8626" w:type="dxa"/>
            <w:gridSpan w:val="2"/>
          </w:tcPr>
          <w:p>
            <w:pPr>
              <w:pStyle w:val="9"/>
              <w:rPr>
                <w:rFonts w:hint="eastAsia" w:eastAsia="宋体"/>
                <w:sz w:val="24"/>
                <w:lang w:val="en-US" w:eastAsia="zh-CN"/>
              </w:rPr>
            </w:pPr>
            <w:r>
              <w:rPr>
                <w:rFonts w:hint="eastAsia"/>
                <w:sz w:val="24"/>
              </w:rPr>
              <w:t>董事会秘书</w:t>
            </w:r>
            <w:r>
              <w:rPr>
                <w:rFonts w:hint="eastAsia"/>
                <w:sz w:val="24"/>
                <w:lang w:eastAsia="zh-CN"/>
              </w:rPr>
              <w:t>祁勇</w:t>
            </w:r>
            <w:r>
              <w:rPr>
                <w:rFonts w:hint="eastAsia"/>
                <w:sz w:val="24"/>
              </w:rPr>
              <w:t xml:space="preserve"> 、财务总监</w:t>
            </w:r>
            <w:r>
              <w:rPr>
                <w:rFonts w:hint="eastAsia"/>
                <w:sz w:val="24"/>
                <w:lang w:eastAsia="zh-CN"/>
              </w:rPr>
              <w:t>吴效超</w:t>
            </w:r>
          </w:p>
          <w:p>
            <w:pPr>
              <w:pStyle w:val="9"/>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5" w:hRule="atLeast"/>
        </w:trPr>
        <w:tc>
          <w:tcPr>
            <w:tcW w:w="1570" w:type="dxa"/>
            <w:tcBorders>
              <w:bottom w:val="nil"/>
            </w:tcBorders>
          </w:tcPr>
          <w:p>
            <w:pPr>
              <w:pStyle w:val="9"/>
              <w:ind w:left="0"/>
              <w:rPr>
                <w:rFonts w:ascii="Times New Roman"/>
                <w:b/>
                <w:bCs/>
                <w:sz w:val="24"/>
              </w:rPr>
            </w:pPr>
            <w:r>
              <w:rPr>
                <w:rFonts w:hint="eastAsia" w:ascii="Times New Roman"/>
                <w:b/>
                <w:bCs/>
                <w:sz w:val="24"/>
              </w:rPr>
              <w:t>投资者关系活动主要内容介绍</w:t>
            </w:r>
          </w:p>
        </w:tc>
        <w:tc>
          <w:tcPr>
            <w:tcW w:w="8626" w:type="dxa"/>
            <w:gridSpan w:val="2"/>
            <w:tcBorders>
              <w:bottom w:val="nil"/>
            </w:tcBorders>
          </w:tcPr>
          <w:p>
            <w:pPr>
              <w:spacing w:line="360" w:lineRule="auto"/>
              <w:rPr>
                <w:sz w:val="24"/>
                <w:szCs w:val="24"/>
                <w:lang w:val="en-US"/>
              </w:rPr>
            </w:pPr>
            <w:r>
              <w:rPr>
                <w:rFonts w:hint="eastAsia"/>
                <w:b/>
                <w:bCs/>
                <w:sz w:val="24"/>
                <w:szCs w:val="24"/>
                <w:lang w:val="en-US"/>
              </w:rPr>
              <w:t>投资者提问：</w:t>
            </w:r>
            <w:r>
              <w:rPr>
                <w:rFonts w:hint="eastAsia"/>
                <w:sz w:val="24"/>
                <w:szCs w:val="24"/>
                <w:lang w:val="en-US"/>
              </w:rPr>
              <w:t>公司目前项目建设情况。</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公司在建项目在半年报中已经披露，从披露的项目来看，除已达产的设备外，产业化一期项目中的12吨感应炉正在调试，预计9月中旬热试；进一步提升军品产能一期的3台1</w:t>
            </w:r>
            <w:r>
              <w:rPr>
                <w:sz w:val="24"/>
                <w:szCs w:val="24"/>
                <w:lang w:val="en-US"/>
              </w:rPr>
              <w:t>2</w:t>
            </w:r>
            <w:r>
              <w:rPr>
                <w:rFonts w:hint="eastAsia"/>
                <w:sz w:val="24"/>
                <w:szCs w:val="24"/>
                <w:lang w:val="en-US"/>
              </w:rPr>
              <w:t>吨自耗炉已经投产，1台1</w:t>
            </w:r>
            <w:r>
              <w:rPr>
                <w:sz w:val="24"/>
                <w:szCs w:val="24"/>
                <w:lang w:val="en-US"/>
              </w:rPr>
              <w:t>2</w:t>
            </w:r>
            <w:r>
              <w:rPr>
                <w:rFonts w:hint="eastAsia"/>
                <w:sz w:val="24"/>
                <w:szCs w:val="24"/>
                <w:lang w:val="en-US"/>
              </w:rPr>
              <w:t>吨感应炉计划2023年12月进行热试；二期的6台真空自耗炉已招标完毕，设备制作中。民品方面汽车钢销量下降后，公司大力开发风电、铁路、石油石化、核电等行业用钢，其中风电轴承钢、铁路的轴承钢等都需要</w:t>
            </w:r>
            <w:r>
              <w:rPr>
                <w:rFonts w:hint="eastAsia"/>
                <w:sz w:val="24"/>
                <w:szCs w:val="24"/>
                <w:lang w:val="en-US" w:eastAsia="zh-CN"/>
              </w:rPr>
              <w:t>通过</w:t>
            </w:r>
            <w:r>
              <w:rPr>
                <w:rFonts w:hint="eastAsia"/>
                <w:sz w:val="24"/>
                <w:szCs w:val="24"/>
                <w:lang w:val="en-US"/>
              </w:rPr>
              <w:t>电渣工艺，公司</w:t>
            </w:r>
            <w:r>
              <w:rPr>
                <w:rFonts w:hint="eastAsia"/>
                <w:sz w:val="24"/>
                <w:szCs w:val="24"/>
                <w:lang w:val="en-US" w:eastAsia="zh-CN"/>
              </w:rPr>
              <w:t>前期</w:t>
            </w:r>
            <w:r>
              <w:rPr>
                <w:rFonts w:hint="eastAsia"/>
                <w:sz w:val="24"/>
                <w:szCs w:val="24"/>
                <w:lang w:val="en-US"/>
              </w:rPr>
              <w:t>新建20台电渣炉，</w:t>
            </w:r>
            <w:r>
              <w:rPr>
                <w:rFonts w:hint="eastAsia"/>
                <w:sz w:val="24"/>
                <w:szCs w:val="24"/>
                <w:lang w:val="en-US" w:eastAsia="zh-CN"/>
              </w:rPr>
              <w:t>预计全年可</w:t>
            </w:r>
            <w:r>
              <w:rPr>
                <w:rFonts w:hint="eastAsia"/>
                <w:sz w:val="24"/>
                <w:szCs w:val="24"/>
                <w:lang w:val="en-US"/>
              </w:rPr>
              <w:t>增加5万吨电渣钢产能，已</w:t>
            </w:r>
            <w:r>
              <w:rPr>
                <w:rFonts w:hint="eastAsia"/>
                <w:sz w:val="24"/>
                <w:szCs w:val="24"/>
                <w:lang w:val="en-US" w:eastAsia="zh-CN"/>
              </w:rPr>
              <w:t>全部</w:t>
            </w:r>
            <w:r>
              <w:rPr>
                <w:rFonts w:hint="eastAsia"/>
                <w:sz w:val="24"/>
                <w:szCs w:val="24"/>
                <w:lang w:val="en-US"/>
              </w:rPr>
              <w:t>投产。</w:t>
            </w:r>
          </w:p>
          <w:p>
            <w:pPr>
              <w:spacing w:line="360" w:lineRule="auto"/>
              <w:rPr>
                <w:b/>
                <w:bCs/>
                <w:sz w:val="24"/>
                <w:szCs w:val="24"/>
                <w:lang w:val="en-US"/>
              </w:rPr>
            </w:pPr>
            <w:r>
              <w:rPr>
                <w:rFonts w:hint="eastAsia"/>
                <w:b/>
                <w:bCs/>
                <w:sz w:val="24"/>
                <w:szCs w:val="24"/>
                <w:lang w:val="en-US"/>
              </w:rPr>
              <w:t>投资者提问：</w:t>
            </w:r>
            <w:r>
              <w:rPr>
                <w:rFonts w:hint="eastAsia"/>
                <w:sz w:val="24"/>
                <w:szCs w:val="24"/>
                <w:lang w:val="en-US"/>
              </w:rPr>
              <w:t>高镍价原料成本是否已经消耗完毕？</w:t>
            </w:r>
          </w:p>
          <w:p>
            <w:pPr>
              <w:spacing w:line="360" w:lineRule="auto"/>
              <w:rPr>
                <w:sz w:val="24"/>
                <w:szCs w:val="24"/>
                <w:lang w:val="en-US"/>
              </w:rPr>
            </w:pPr>
            <w:r>
              <w:rPr>
                <w:rFonts w:hint="eastAsia"/>
                <w:b/>
                <w:bCs/>
                <w:sz w:val="24"/>
                <w:szCs w:val="24"/>
                <w:lang w:val="en-US"/>
              </w:rPr>
              <w:t>财务总监：</w:t>
            </w:r>
            <w:r>
              <w:rPr>
                <w:rFonts w:hint="eastAsia"/>
                <w:sz w:val="24"/>
                <w:szCs w:val="24"/>
                <w:lang w:val="en-US"/>
              </w:rPr>
              <w:t>公司原料镍正常备库一个月左右，因备库时间短，原料消耗比较快，镍的投产成本基本与市场价格偏差不大。</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公司是否存在产品降价的压力？</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2022年公司因镍价大幅上升，对特殊产品价格连续两次进行了上调。虽然目前镍价现处于下降趋势，但仍处于相对高位，因此暂时没有调整产品价格计划。</w:t>
            </w:r>
          </w:p>
          <w:p>
            <w:pPr>
              <w:spacing w:line="360" w:lineRule="auto"/>
              <w:rPr>
                <w:b/>
                <w:bCs/>
                <w:sz w:val="24"/>
                <w:szCs w:val="24"/>
                <w:lang w:val="en-US"/>
              </w:rPr>
            </w:pPr>
            <w:r>
              <w:rPr>
                <w:rFonts w:hint="eastAsia"/>
                <w:b/>
                <w:bCs/>
                <w:sz w:val="24"/>
                <w:szCs w:val="24"/>
                <w:lang w:val="en-US"/>
              </w:rPr>
              <w:t>投资者提问：</w:t>
            </w:r>
            <w:r>
              <w:rPr>
                <w:rFonts w:hint="eastAsia"/>
                <w:b w:val="0"/>
                <w:bCs w:val="0"/>
                <w:sz w:val="24"/>
                <w:szCs w:val="24"/>
                <w:lang w:val="en-US"/>
              </w:rPr>
              <w:t>公司民品用钢是否会产生业绩拖累？</w:t>
            </w:r>
          </w:p>
          <w:p>
            <w:pPr>
              <w:spacing w:line="360" w:lineRule="auto"/>
              <w:rPr>
                <w:b/>
                <w:bCs/>
                <w:sz w:val="24"/>
                <w:szCs w:val="24"/>
                <w:lang w:val="en-US"/>
              </w:rPr>
            </w:pPr>
            <w:r>
              <w:rPr>
                <w:rFonts w:hint="eastAsia"/>
                <w:b/>
                <w:bCs/>
                <w:sz w:val="24"/>
                <w:szCs w:val="24"/>
                <w:lang w:val="en-US"/>
              </w:rPr>
              <w:t>董事会秘书：</w:t>
            </w:r>
            <w:r>
              <w:rPr>
                <w:rFonts w:hint="eastAsia"/>
                <w:sz w:val="24"/>
                <w:szCs w:val="24"/>
                <w:lang w:val="en-US"/>
              </w:rPr>
              <w:t>公司民品接单必须有边际利润，没有边际利润公司基本上不会接单。2022年开始，公司在民品方面不断进行产品开发，在风电、核电、铁路、石油石化等领域均有增量。</w:t>
            </w:r>
          </w:p>
          <w:p>
            <w:pPr>
              <w:spacing w:line="360" w:lineRule="auto"/>
              <w:rPr>
                <w:b/>
                <w:bCs/>
                <w:sz w:val="24"/>
                <w:szCs w:val="24"/>
                <w:lang w:val="en-US"/>
              </w:rPr>
            </w:pPr>
            <w:r>
              <w:rPr>
                <w:rFonts w:hint="eastAsia"/>
                <w:b/>
                <w:bCs/>
                <w:sz w:val="24"/>
                <w:szCs w:val="24"/>
                <w:lang w:val="en-US"/>
              </w:rPr>
              <w:t>投资者提问：</w:t>
            </w:r>
            <w:r>
              <w:rPr>
                <w:rFonts w:hint="eastAsia"/>
                <w:sz w:val="24"/>
                <w:szCs w:val="24"/>
                <w:lang w:val="en-US"/>
              </w:rPr>
              <w:t>目前天然气对成本影响情况如何？</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天然气已连续两年价格上涨，对公司成本影响比较大，公司正努力通过新供应商引入、能源替代、攻关项目等方式降低能源成本。</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公司引入30吨感应炉、自耗炉及7000吨快锻，主要就是为了满足大型化的需求吗？</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公司引入大型化的设备，既要满足市场特殊需求，同时也要提升公司生产能力，两者兼顾。</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公司自耗钢新建产能情况如何？</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：公司新建自耗炉产能情况均已通过公司固定报告进行披露，投资者可以通过固定报告进行了解。</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民品高温合金</w:t>
            </w:r>
            <w:r>
              <w:rPr>
                <w:rFonts w:hint="eastAsia"/>
                <w:sz w:val="24"/>
                <w:szCs w:val="24"/>
                <w:lang w:val="en-US" w:eastAsia="zh-CN"/>
              </w:rPr>
              <w:t>定</w:t>
            </w:r>
            <w:r>
              <w:rPr>
                <w:rFonts w:hint="eastAsia"/>
                <w:sz w:val="24"/>
                <w:szCs w:val="24"/>
                <w:lang w:val="en-US"/>
              </w:rPr>
              <w:t>价模式是什么？</w:t>
            </w:r>
          </w:p>
          <w:p>
            <w:pPr>
              <w:spacing w:line="360" w:lineRule="auto"/>
              <w:rPr>
                <w:sz w:val="24"/>
                <w:szCs w:val="24"/>
                <w:lang w:val="en-US"/>
              </w:rPr>
            </w:pPr>
            <w:r>
              <w:rPr>
                <w:rFonts w:hint="eastAsia"/>
                <w:b/>
                <w:bCs/>
                <w:sz w:val="24"/>
                <w:szCs w:val="24"/>
                <w:lang w:val="en-US"/>
              </w:rPr>
              <w:t>财务总监：</w:t>
            </w:r>
            <w:r>
              <w:rPr>
                <w:rFonts w:hint="eastAsia"/>
                <w:sz w:val="24"/>
                <w:szCs w:val="24"/>
                <w:lang w:val="en-US"/>
              </w:rPr>
              <w:t>公司民品高温合金定价模式与其他民用品种保持一致，根据市场价格进行</w:t>
            </w:r>
            <w:r>
              <w:rPr>
                <w:rFonts w:hint="eastAsia"/>
                <w:sz w:val="24"/>
                <w:szCs w:val="24"/>
                <w:lang w:val="en-US" w:eastAsia="zh-CN"/>
              </w:rPr>
              <w:t>定</w:t>
            </w:r>
            <w:r>
              <w:rPr>
                <w:rFonts w:hint="eastAsia"/>
                <w:sz w:val="24"/>
                <w:szCs w:val="24"/>
                <w:lang w:val="en-US"/>
              </w:rPr>
              <w:t>价。</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沙钢入主后对公司的考核</w:t>
            </w:r>
            <w:r>
              <w:rPr>
                <w:rFonts w:hint="eastAsia"/>
                <w:sz w:val="24"/>
                <w:szCs w:val="24"/>
                <w:lang w:val="en-US" w:eastAsia="zh-CN"/>
              </w:rPr>
              <w:t>是</w:t>
            </w:r>
            <w:r>
              <w:rPr>
                <w:rFonts w:hint="eastAsia"/>
                <w:sz w:val="24"/>
                <w:szCs w:val="24"/>
                <w:lang w:val="en-US"/>
              </w:rPr>
              <w:t>什么方式？</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目前公司整体承包考核主要以净利润和人均净利润两大指标为考核标准，每三年为一个承包期。</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未来人才梯队的建设目标是什么？</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近两年因公司技改项目的大规模投入，为满足生产的需求，公司通过学校招聘、社会招聘等方式进行了人才补入，其中包括博士、硕士、双一流本科等高等技术人才</w:t>
            </w:r>
            <w:r>
              <w:rPr>
                <w:rFonts w:hint="eastAsia"/>
                <w:sz w:val="24"/>
                <w:szCs w:val="24"/>
                <w:lang w:val="en-US" w:eastAsia="zh-CN"/>
              </w:rPr>
              <w:t>，</w:t>
            </w:r>
            <w:bookmarkStart w:id="0" w:name="_GoBack"/>
            <w:bookmarkEnd w:id="0"/>
            <w:r>
              <w:rPr>
                <w:rFonts w:hint="eastAsia"/>
                <w:sz w:val="24"/>
                <w:szCs w:val="24"/>
                <w:lang w:val="en-US"/>
              </w:rPr>
              <w:t>主要培养方向是科研型和工艺型科技人员，普通本科和专科主要作为技术工人。所有新招聘人员都安排师带徒，科技人员也需要到生产一线进行半年以上的实习后方可正式上岗。</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公司共用的设备成本是如何分摊的？</w:t>
            </w:r>
          </w:p>
          <w:p>
            <w:pPr>
              <w:spacing w:line="360" w:lineRule="auto"/>
              <w:rPr>
                <w:sz w:val="24"/>
                <w:szCs w:val="24"/>
                <w:lang w:val="en-US"/>
              </w:rPr>
            </w:pPr>
            <w:r>
              <w:rPr>
                <w:rFonts w:hint="eastAsia"/>
                <w:b/>
                <w:bCs/>
                <w:sz w:val="24"/>
                <w:szCs w:val="24"/>
                <w:lang w:val="en-US"/>
              </w:rPr>
              <w:t>财务总监：</w:t>
            </w:r>
            <w:r>
              <w:rPr>
                <w:rFonts w:hint="eastAsia"/>
                <w:sz w:val="24"/>
                <w:szCs w:val="24"/>
                <w:lang w:val="en-US"/>
              </w:rPr>
              <w:t>公司通过多年大数据统计，将每个产品设定系数，根据系数分摊生产成本，如设备折旧等。</w:t>
            </w:r>
          </w:p>
          <w:p>
            <w:pPr>
              <w:spacing w:line="360" w:lineRule="auto"/>
              <w:rPr>
                <w:sz w:val="24"/>
                <w:szCs w:val="24"/>
                <w:lang w:val="en-US"/>
              </w:rPr>
            </w:pPr>
            <w:r>
              <w:rPr>
                <w:rFonts w:hint="eastAsia"/>
                <w:b/>
                <w:bCs/>
                <w:sz w:val="24"/>
                <w:szCs w:val="24"/>
                <w:lang w:val="en-US"/>
              </w:rPr>
              <w:t>投资者提问：</w:t>
            </w:r>
            <w:r>
              <w:rPr>
                <w:rFonts w:hint="eastAsia"/>
                <w:sz w:val="24"/>
                <w:szCs w:val="24"/>
                <w:lang w:val="en-US"/>
              </w:rPr>
              <w:t>金属钼今年以来价格上涨幅度较大，公司是否会通过调整工艺等方式减少使用量？</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公司所有产品在生产过程中首先要满足技术质量要求，不会通过牺牲产品质量来应对原材料价格的上涨。</w:t>
            </w:r>
          </w:p>
          <w:p>
            <w:pPr>
              <w:spacing w:line="360" w:lineRule="auto"/>
              <w:rPr>
                <w:b/>
                <w:bCs/>
                <w:sz w:val="24"/>
                <w:szCs w:val="24"/>
                <w:lang w:val="en-US"/>
              </w:rPr>
            </w:pPr>
            <w:r>
              <w:rPr>
                <w:rFonts w:hint="eastAsia"/>
                <w:b/>
                <w:bCs/>
                <w:sz w:val="24"/>
                <w:szCs w:val="24"/>
                <w:lang w:val="en-US"/>
              </w:rPr>
              <w:t>投资者提问：</w:t>
            </w:r>
            <w:r>
              <w:rPr>
                <w:rFonts w:hint="eastAsia"/>
                <w:sz w:val="24"/>
                <w:szCs w:val="24"/>
                <w:lang w:val="en-US"/>
              </w:rPr>
              <w:t>特冶不锈和普通不锈钢需求有何不同？</w:t>
            </w:r>
          </w:p>
          <w:p>
            <w:pPr>
              <w:spacing w:line="360" w:lineRule="auto"/>
              <w:rPr>
                <w:sz w:val="24"/>
                <w:szCs w:val="24"/>
                <w:lang w:val="en-US"/>
              </w:rPr>
            </w:pPr>
            <w:r>
              <w:rPr>
                <w:rFonts w:hint="eastAsia"/>
                <w:b/>
                <w:bCs/>
                <w:sz w:val="24"/>
                <w:szCs w:val="24"/>
                <w:lang w:val="en-US"/>
              </w:rPr>
              <w:t>董事会秘书：</w:t>
            </w:r>
            <w:r>
              <w:rPr>
                <w:rFonts w:hint="eastAsia"/>
                <w:sz w:val="24"/>
                <w:szCs w:val="24"/>
                <w:lang w:val="en-US"/>
              </w:rPr>
              <w:t>不锈钢是公司近年来重点开发的增量品种，特冶不锈和普通不锈钢通过不同工艺、不同技术标准用于不同行业中，公司根据自身产线优化对不锈钢品种进行长远布局，保证公司在不锈钢产品上逐步增量，主要围绕核电、石油石化、燃气轮机等行业进行拓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570" w:type="dxa"/>
          </w:tcPr>
          <w:p>
            <w:pPr>
              <w:pStyle w:val="9"/>
              <w:spacing w:before="2"/>
              <w:ind w:left="302"/>
              <w:rPr>
                <w:b/>
                <w:sz w:val="24"/>
              </w:rPr>
            </w:pPr>
            <w:r>
              <w:rPr>
                <w:rFonts w:hint="eastAsia"/>
                <w:b/>
                <w:sz w:val="24"/>
              </w:rPr>
              <w:t>附件清单（如有）</w:t>
            </w:r>
          </w:p>
        </w:tc>
        <w:tc>
          <w:tcPr>
            <w:tcW w:w="8626" w:type="dxa"/>
            <w:gridSpan w:val="2"/>
          </w:tcPr>
          <w:p>
            <w:pPr>
              <w:pStyle w:val="9"/>
              <w:spacing w:before="105"/>
              <w:ind w:left="124"/>
              <w:rPr>
                <w:sz w:val="24"/>
              </w:rPr>
            </w:pPr>
            <w:r>
              <w:rPr>
                <w:rFonts w:hint="eastAsia"/>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570" w:type="dxa"/>
          </w:tcPr>
          <w:p>
            <w:pPr>
              <w:pStyle w:val="9"/>
              <w:spacing w:before="182"/>
              <w:ind w:left="61" w:right="51"/>
              <w:jc w:val="center"/>
              <w:rPr>
                <w:b/>
                <w:sz w:val="24"/>
              </w:rPr>
            </w:pPr>
            <w:r>
              <w:rPr>
                <w:rFonts w:hint="eastAsia"/>
                <w:b/>
                <w:sz w:val="24"/>
              </w:rPr>
              <w:t>日期</w:t>
            </w:r>
          </w:p>
        </w:tc>
        <w:tc>
          <w:tcPr>
            <w:tcW w:w="8626" w:type="dxa"/>
            <w:gridSpan w:val="2"/>
          </w:tcPr>
          <w:p>
            <w:pPr>
              <w:pStyle w:val="9"/>
              <w:spacing w:before="105"/>
              <w:ind w:left="124"/>
              <w:rPr>
                <w:sz w:val="24"/>
                <w:lang w:val="en-US"/>
              </w:rPr>
            </w:pPr>
            <w:r>
              <w:rPr>
                <w:rFonts w:hint="eastAsia"/>
                <w:sz w:val="24"/>
                <w:lang w:val="en-US"/>
              </w:rPr>
              <w:t>2023年9月</w:t>
            </w:r>
            <w:r>
              <w:rPr>
                <w:rFonts w:hint="eastAsia"/>
                <w:sz w:val="24"/>
                <w:lang w:val="en-US" w:eastAsia="zh-CN"/>
              </w:rPr>
              <w:t>21</w:t>
            </w:r>
            <w:r>
              <w:rPr>
                <w:rFonts w:hint="eastAsia"/>
                <w:sz w:val="24"/>
                <w:lang w:val="en-US"/>
              </w:rPr>
              <w:t>日</w:t>
            </w:r>
          </w:p>
        </w:tc>
      </w:tr>
    </w:tbl>
    <w:p/>
    <w:sectPr>
      <w:headerReference r:id="rId3" w:type="default"/>
      <w:pgSz w:w="11910" w:h="16850"/>
      <w:pgMar w:top="1320" w:right="740" w:bottom="280" w:left="9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348"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568" w:hanging="241"/>
      </w:pPr>
      <w:rPr>
        <w:rFonts w:hint="default"/>
        <w:lang w:val="zh-CN" w:eastAsia="zh-CN" w:bidi="zh-CN"/>
      </w:rPr>
    </w:lvl>
    <w:lvl w:ilvl="2" w:tentative="0">
      <w:start w:val="0"/>
      <w:numFmt w:val="bullet"/>
      <w:lvlText w:val="•"/>
      <w:lvlJc w:val="left"/>
      <w:pPr>
        <w:ind w:left="796" w:hanging="241"/>
      </w:pPr>
      <w:rPr>
        <w:rFonts w:hint="default"/>
        <w:lang w:val="zh-CN" w:eastAsia="zh-CN" w:bidi="zh-CN"/>
      </w:rPr>
    </w:lvl>
    <w:lvl w:ilvl="3" w:tentative="0">
      <w:start w:val="0"/>
      <w:numFmt w:val="bullet"/>
      <w:lvlText w:val="•"/>
      <w:lvlJc w:val="left"/>
      <w:pPr>
        <w:ind w:left="1025" w:hanging="241"/>
      </w:pPr>
      <w:rPr>
        <w:rFonts w:hint="default"/>
        <w:lang w:val="zh-CN" w:eastAsia="zh-CN" w:bidi="zh-CN"/>
      </w:rPr>
    </w:lvl>
    <w:lvl w:ilvl="4" w:tentative="0">
      <w:start w:val="0"/>
      <w:numFmt w:val="bullet"/>
      <w:lvlText w:val="•"/>
      <w:lvlJc w:val="left"/>
      <w:pPr>
        <w:ind w:left="1253" w:hanging="241"/>
      </w:pPr>
      <w:rPr>
        <w:rFonts w:hint="default"/>
        <w:lang w:val="zh-CN" w:eastAsia="zh-CN" w:bidi="zh-CN"/>
      </w:rPr>
    </w:lvl>
    <w:lvl w:ilvl="5" w:tentative="0">
      <w:start w:val="0"/>
      <w:numFmt w:val="bullet"/>
      <w:lvlText w:val="•"/>
      <w:lvlJc w:val="left"/>
      <w:pPr>
        <w:ind w:left="1482" w:hanging="241"/>
      </w:pPr>
      <w:rPr>
        <w:rFonts w:hint="default"/>
        <w:lang w:val="zh-CN" w:eastAsia="zh-CN" w:bidi="zh-CN"/>
      </w:rPr>
    </w:lvl>
    <w:lvl w:ilvl="6" w:tentative="0">
      <w:start w:val="0"/>
      <w:numFmt w:val="bullet"/>
      <w:lvlText w:val="•"/>
      <w:lvlJc w:val="left"/>
      <w:pPr>
        <w:ind w:left="1710" w:hanging="241"/>
      </w:pPr>
      <w:rPr>
        <w:rFonts w:hint="default"/>
        <w:lang w:val="zh-CN" w:eastAsia="zh-CN" w:bidi="zh-CN"/>
      </w:rPr>
    </w:lvl>
    <w:lvl w:ilvl="7" w:tentative="0">
      <w:start w:val="0"/>
      <w:numFmt w:val="bullet"/>
      <w:lvlText w:val="•"/>
      <w:lvlJc w:val="left"/>
      <w:pPr>
        <w:ind w:left="1938" w:hanging="241"/>
      </w:pPr>
      <w:rPr>
        <w:rFonts w:hint="default"/>
        <w:lang w:val="zh-CN" w:eastAsia="zh-CN" w:bidi="zh-CN"/>
      </w:rPr>
    </w:lvl>
    <w:lvl w:ilvl="8" w:tentative="0">
      <w:start w:val="0"/>
      <w:numFmt w:val="bullet"/>
      <w:lvlText w:val="•"/>
      <w:lvlJc w:val="left"/>
      <w:pPr>
        <w:ind w:left="2167"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4ZTJlNGY3YzNkOGI0ZjZlNTAwMjEzZmIyZjU3ZWEifQ=="/>
  </w:docVars>
  <w:rsids>
    <w:rsidRoot w:val="00A47C9E"/>
    <w:rsid w:val="00046663"/>
    <w:rsid w:val="00047B0E"/>
    <w:rsid w:val="000519AE"/>
    <w:rsid w:val="000735B6"/>
    <w:rsid w:val="000752D4"/>
    <w:rsid w:val="000859F0"/>
    <w:rsid w:val="00094A0E"/>
    <w:rsid w:val="000A30B4"/>
    <w:rsid w:val="000A5F6F"/>
    <w:rsid w:val="000C6777"/>
    <w:rsid w:val="000D1167"/>
    <w:rsid w:val="000D28AC"/>
    <w:rsid w:val="00165782"/>
    <w:rsid w:val="001E13F7"/>
    <w:rsid w:val="001F79EA"/>
    <w:rsid w:val="00201A55"/>
    <w:rsid w:val="002530DE"/>
    <w:rsid w:val="00263435"/>
    <w:rsid w:val="00281994"/>
    <w:rsid w:val="002C46DE"/>
    <w:rsid w:val="00381EA9"/>
    <w:rsid w:val="0038373F"/>
    <w:rsid w:val="003E2415"/>
    <w:rsid w:val="00433F47"/>
    <w:rsid w:val="00436D25"/>
    <w:rsid w:val="004A4948"/>
    <w:rsid w:val="0050022B"/>
    <w:rsid w:val="00523B73"/>
    <w:rsid w:val="005437B3"/>
    <w:rsid w:val="00566184"/>
    <w:rsid w:val="005941D4"/>
    <w:rsid w:val="00602172"/>
    <w:rsid w:val="0062475A"/>
    <w:rsid w:val="00636018"/>
    <w:rsid w:val="00674C51"/>
    <w:rsid w:val="00696E9C"/>
    <w:rsid w:val="00755BF5"/>
    <w:rsid w:val="007A1EAD"/>
    <w:rsid w:val="007B7C1F"/>
    <w:rsid w:val="00815BFE"/>
    <w:rsid w:val="00825B5B"/>
    <w:rsid w:val="00892CAD"/>
    <w:rsid w:val="008C1946"/>
    <w:rsid w:val="0091757F"/>
    <w:rsid w:val="009B7A0D"/>
    <w:rsid w:val="009C06D2"/>
    <w:rsid w:val="009D5BBA"/>
    <w:rsid w:val="009D7286"/>
    <w:rsid w:val="00A47C9E"/>
    <w:rsid w:val="00A81BA5"/>
    <w:rsid w:val="00A955E8"/>
    <w:rsid w:val="00AA5ED9"/>
    <w:rsid w:val="00AD6C8A"/>
    <w:rsid w:val="00B81958"/>
    <w:rsid w:val="00B95BDC"/>
    <w:rsid w:val="00BA78C0"/>
    <w:rsid w:val="00BB3AFB"/>
    <w:rsid w:val="00BB63F5"/>
    <w:rsid w:val="00C17937"/>
    <w:rsid w:val="00C52117"/>
    <w:rsid w:val="00CD2D4A"/>
    <w:rsid w:val="00D4241A"/>
    <w:rsid w:val="00D7336A"/>
    <w:rsid w:val="00D96F4F"/>
    <w:rsid w:val="00DC2A67"/>
    <w:rsid w:val="00DE3C7B"/>
    <w:rsid w:val="00DF19B7"/>
    <w:rsid w:val="00E37A79"/>
    <w:rsid w:val="00E97436"/>
    <w:rsid w:val="00EA726A"/>
    <w:rsid w:val="00F01C46"/>
    <w:rsid w:val="00F13B81"/>
    <w:rsid w:val="00F21FAB"/>
    <w:rsid w:val="00F61C0F"/>
    <w:rsid w:val="00F73645"/>
    <w:rsid w:val="00F73A56"/>
    <w:rsid w:val="00F73A8C"/>
    <w:rsid w:val="00F93CD4"/>
    <w:rsid w:val="00FA7388"/>
    <w:rsid w:val="00FB5831"/>
    <w:rsid w:val="00FB7605"/>
    <w:rsid w:val="010D5B44"/>
    <w:rsid w:val="0263381E"/>
    <w:rsid w:val="0337285F"/>
    <w:rsid w:val="039B163E"/>
    <w:rsid w:val="07B166EC"/>
    <w:rsid w:val="098932BE"/>
    <w:rsid w:val="0AA06303"/>
    <w:rsid w:val="0B2A4B3E"/>
    <w:rsid w:val="0B4727F3"/>
    <w:rsid w:val="0C664F6A"/>
    <w:rsid w:val="0D616707"/>
    <w:rsid w:val="0D6819EB"/>
    <w:rsid w:val="0F256FB5"/>
    <w:rsid w:val="0FBD7D30"/>
    <w:rsid w:val="10CA5325"/>
    <w:rsid w:val="11715B79"/>
    <w:rsid w:val="12292144"/>
    <w:rsid w:val="149A7983"/>
    <w:rsid w:val="14A70AF0"/>
    <w:rsid w:val="15547695"/>
    <w:rsid w:val="15EC3A79"/>
    <w:rsid w:val="17594566"/>
    <w:rsid w:val="17E612C2"/>
    <w:rsid w:val="1933384D"/>
    <w:rsid w:val="19AD1F39"/>
    <w:rsid w:val="1A21651E"/>
    <w:rsid w:val="1AF3609D"/>
    <w:rsid w:val="1B494B0A"/>
    <w:rsid w:val="1E82002A"/>
    <w:rsid w:val="200B17D8"/>
    <w:rsid w:val="20E92028"/>
    <w:rsid w:val="21362A66"/>
    <w:rsid w:val="231A104D"/>
    <w:rsid w:val="23C40A65"/>
    <w:rsid w:val="2502207B"/>
    <w:rsid w:val="25EA4F22"/>
    <w:rsid w:val="26110C5B"/>
    <w:rsid w:val="262267AF"/>
    <w:rsid w:val="265F3234"/>
    <w:rsid w:val="26E40B5E"/>
    <w:rsid w:val="28BC0AD1"/>
    <w:rsid w:val="28FD05D1"/>
    <w:rsid w:val="2A014BB8"/>
    <w:rsid w:val="2AE54DDD"/>
    <w:rsid w:val="2CF52D3F"/>
    <w:rsid w:val="2D007CF2"/>
    <w:rsid w:val="2D4B1B15"/>
    <w:rsid w:val="2D6E2A55"/>
    <w:rsid w:val="2D835B98"/>
    <w:rsid w:val="2DB63969"/>
    <w:rsid w:val="2DBA3A04"/>
    <w:rsid w:val="2E03420E"/>
    <w:rsid w:val="2F8870BE"/>
    <w:rsid w:val="2FBB0E47"/>
    <w:rsid w:val="2FF81ACE"/>
    <w:rsid w:val="317A2780"/>
    <w:rsid w:val="325B4E57"/>
    <w:rsid w:val="327C0793"/>
    <w:rsid w:val="331456E3"/>
    <w:rsid w:val="33793C3A"/>
    <w:rsid w:val="33B02265"/>
    <w:rsid w:val="35B82495"/>
    <w:rsid w:val="3832231A"/>
    <w:rsid w:val="3A6E723D"/>
    <w:rsid w:val="3DE0449E"/>
    <w:rsid w:val="3F4C5689"/>
    <w:rsid w:val="40890521"/>
    <w:rsid w:val="40A4024A"/>
    <w:rsid w:val="40BA6631"/>
    <w:rsid w:val="41140530"/>
    <w:rsid w:val="430F44F9"/>
    <w:rsid w:val="4422731B"/>
    <w:rsid w:val="48A5156B"/>
    <w:rsid w:val="48C46D56"/>
    <w:rsid w:val="4958024B"/>
    <w:rsid w:val="49B74731"/>
    <w:rsid w:val="49FD5D24"/>
    <w:rsid w:val="4B7125E6"/>
    <w:rsid w:val="4BE709DF"/>
    <w:rsid w:val="4EE70FB0"/>
    <w:rsid w:val="5000624C"/>
    <w:rsid w:val="534011CC"/>
    <w:rsid w:val="534E5647"/>
    <w:rsid w:val="538953D5"/>
    <w:rsid w:val="54070829"/>
    <w:rsid w:val="55C74A35"/>
    <w:rsid w:val="55E767A5"/>
    <w:rsid w:val="56704C08"/>
    <w:rsid w:val="57A84C2D"/>
    <w:rsid w:val="58085D42"/>
    <w:rsid w:val="5A575D74"/>
    <w:rsid w:val="5BF3512E"/>
    <w:rsid w:val="5E962EEE"/>
    <w:rsid w:val="60924102"/>
    <w:rsid w:val="60CE6361"/>
    <w:rsid w:val="61721C81"/>
    <w:rsid w:val="62116DA4"/>
    <w:rsid w:val="62835BAE"/>
    <w:rsid w:val="65A25CEE"/>
    <w:rsid w:val="683E0C50"/>
    <w:rsid w:val="698C2ACC"/>
    <w:rsid w:val="6B266410"/>
    <w:rsid w:val="7004415E"/>
    <w:rsid w:val="718A0348"/>
    <w:rsid w:val="72A32DFA"/>
    <w:rsid w:val="72FE6B84"/>
    <w:rsid w:val="74BA334D"/>
    <w:rsid w:val="74F84F2F"/>
    <w:rsid w:val="76C757CF"/>
    <w:rsid w:val="77550220"/>
    <w:rsid w:val="77553ED6"/>
    <w:rsid w:val="79287455"/>
    <w:rsid w:val="795C21A7"/>
    <w:rsid w:val="7C154031"/>
    <w:rsid w:val="7E0E73D8"/>
    <w:rsid w:val="7E146706"/>
    <w:rsid w:val="7E8F62C3"/>
    <w:rsid w:val="7FED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28"/>
      <w:ind w:left="119"/>
    </w:pPr>
    <w:rPr>
      <w:sz w:val="30"/>
      <w:szCs w:val="30"/>
    </w:r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ind w:left="4"/>
    </w:pPr>
  </w:style>
  <w:style w:type="character" w:customStyle="1" w:styleId="10">
    <w:name w:val="页眉 字符"/>
    <w:basedOn w:val="5"/>
    <w:link w:val="4"/>
    <w:qFormat/>
    <w:uiPriority w:val="0"/>
    <w:rPr>
      <w:rFonts w:ascii="宋体" w:hAnsi="宋体" w:cs="宋体"/>
      <w:sz w:val="18"/>
      <w:szCs w:val="18"/>
      <w:lang w:val="zh-CN" w:bidi="zh-CN"/>
    </w:rPr>
  </w:style>
  <w:style w:type="character" w:customStyle="1" w:styleId="11">
    <w:name w:val="页脚 字符"/>
    <w:basedOn w:val="5"/>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1561</Words>
  <Characters>1618</Characters>
  <Lines>12</Lines>
  <Paragraphs>3</Paragraphs>
  <TotalTime>48</TotalTime>
  <ScaleCrop>false</ScaleCrop>
  <LinksUpToDate>false</LinksUpToDate>
  <CharactersWithSpaces>1650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2022-07-22T12:38:00Z</dcterms:created>
  <dc:creator>xfzj</dc:creator>
  <cp:lastModifiedBy>朱丽平</cp:lastModifiedBy>
  <dcterms:modified xsi:type="dcterms:W3CDTF">2023-09-21T06:51:12Z</dcterms:modified>
  <dc:title>辰欣药业股份有限公司投资者关系活动记录表</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Office Word 2007</vt:lpwstr>
  </property>
  <property fmtid="{D5CDD505-2E9C-101B-9397-08002B2CF9AE}" pid="4" name="LastSaved">
    <vt:filetime>2020-06-08T00:00:00Z</vt:filetime>
  </property>
  <property fmtid="{D5CDD505-2E9C-101B-9397-08002B2CF9AE}" pid="5" name="KSOProductBuildVer">
    <vt:lpwstr>2052-10.1.0.7698</vt:lpwstr>
  </property>
  <property fmtid="{D5CDD505-2E9C-101B-9397-08002B2CF9AE}" pid="6" name="ICV">
    <vt:lpwstr>1D05855B616F4E428CD8701118FB52BB</vt:lpwstr>
  </property>
</Properties>
</file>