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360" w:lineRule="auto"/>
        <w:jc w:val="center"/>
        <w:outlineLvl w:val="1"/>
        <w:rPr>
          <w:rFonts w:ascii="宋体" w:hAnsi="宋体" w:eastAsia="宋体" w:cs="Times New Roman"/>
          <w:b/>
          <w:bCs/>
          <w:i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iCs/>
          <w:sz w:val="24"/>
          <w:szCs w:val="24"/>
        </w:rPr>
        <w:t>证券代码：605377                                 证券简称：华旺科技</w:t>
      </w:r>
      <w:r>
        <w:rPr>
          <w:rFonts w:ascii="宋体" w:hAnsi="宋体" w:eastAsia="宋体" w:cs="Times New Roman"/>
          <w:b/>
          <w:bCs/>
          <w:iCs/>
          <w:sz w:val="24"/>
          <w:szCs w:val="24"/>
        </w:rPr>
        <w:t xml:space="preserve"> </w:t>
      </w:r>
    </w:p>
    <w:p>
      <w:pPr>
        <w:keepNext/>
        <w:keepLines/>
        <w:spacing w:before="156" w:beforeLines="50" w:after="156" w:afterLines="50" w:line="360" w:lineRule="auto"/>
        <w:jc w:val="center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杭州华旺新材料科技股份有限公司</w:t>
      </w:r>
    </w:p>
    <w:p>
      <w:pPr>
        <w:keepNext/>
        <w:keepLines/>
        <w:spacing w:before="156" w:beforeLines="50" w:after="156" w:afterLines="50" w:line="360" w:lineRule="auto"/>
        <w:jc w:val="center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投资者关系活动记录表</w:t>
      </w:r>
    </w:p>
    <w:p>
      <w:pPr>
        <w:keepNext/>
        <w:keepLines/>
        <w:spacing w:before="260" w:after="260" w:line="360" w:lineRule="auto"/>
        <w:jc w:val="right"/>
        <w:outlineLvl w:val="1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编号：202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-00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3</w:t>
      </w:r>
    </w:p>
    <w:tbl>
      <w:tblPr>
        <w:tblStyle w:val="10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5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路演活动</w:t>
            </w:r>
          </w:p>
          <w:p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现场参观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电话会议</w:t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5930" w:type="dxa"/>
            <w:shd w:val="clear" w:color="auto" w:fill="auto"/>
          </w:tcPr>
          <w:p>
            <w:pPr>
              <w:tabs>
                <w:tab w:val="center" w:pos="2798"/>
              </w:tabs>
              <w:spacing w:line="360" w:lineRule="auto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易方达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基金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、景顺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长城基金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博时基金、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鹏华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基金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国泰基金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、光大保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德信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、银华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基金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、博道基金、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华泰柏瑞、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平安基金、长安基金、平安养老、国君资管、招银理财、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国联基金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、路博迈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基金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、农银汇理基金、宁银理财、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奇盛基金、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东方资管、敦和资产、正心谷资本、边域私募、紫金矿业投资、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申万证券、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中金公司、长江证券、东方证券、浙商证券、华创证券（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排名不分先后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13:30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马鞍山市慈湖高新区慈湖河路4677号（马鞍山华旺）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董事、总经理：张延成先生</w:t>
            </w:r>
          </w:p>
          <w:p>
            <w:p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董事：钭正良先生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董事会秘书：陈蕾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1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投资者关系活动内容记录</w:t>
            </w:r>
          </w:p>
        </w:tc>
        <w:tc>
          <w:tcPr>
            <w:tcW w:w="5930" w:type="dxa"/>
            <w:shd w:val="clear" w:color="auto" w:fill="auto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before="50" w:after="156" w:afterLines="50" w:line="360" w:lineRule="auto"/>
              <w:ind w:firstLine="482" w:firstLineChars="200"/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一、公司基本情况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cstheme="minorEastAsia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杭州华旺新材料科技股份有限公司创立于2009年12月30日，总部位于杭州市临安区青山湖科技城。公司是国内高档装饰原纸研发、生产的领军企业。公司现有杭州和马鞍山两大生产基地，拥有多条全球领先装饰原纸生产线，有能力生产各类装饰原纸品种500余个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作为国内装饰原纸行业龙头企业之一，公司已成功跻身全球高端装饰原纸行业前列，公司产品在耐晒、稳定性和印刷性能方面具有良好的表现性能，在中高端市场具有强大的消费引导力和市场领导力。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cstheme="minorEastAsia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截止2023年6月30日，公司总资产57.17亿元，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归属于上市公司股东的净资产</w:t>
            </w:r>
            <w:r>
              <w:rPr>
                <w:rFonts w:hint="eastAsia" w:asciiTheme="minorEastAsia" w:hAnsiTheme="minorEastAsia" w:cstheme="minorEastAsia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36.75亿元，2023年1-6月，公司实现营业收入18.61亿元，较上年同期增长15.84%，实现归属于上市公司股东的净利润2.36亿元，较上年同期增长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3.91%；</w:t>
            </w:r>
            <w:r>
              <w:rPr>
                <w:rFonts w:hint="eastAsia" w:asciiTheme="minorEastAsia" w:hAnsiTheme="minorEastAsia" w:cstheme="minorEastAsia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2023年6月，</w:t>
            </w:r>
            <w:r>
              <w:rPr>
                <w:rFonts w:hint="eastAsia" w:asciiTheme="minorEastAsia" w:hAnsiTheme="minorEastAsia" w:eastAsiaTheme="minorEastAsia" w:cstheme="minorEastAsia"/>
                <w:color w:val="262626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马鞍山“年产18万吨特种纸生产线扩建项目（一期）”已顺利投产，公司规模化生产能力再上一个新台阶</w:t>
            </w:r>
            <w:r>
              <w:rPr>
                <w:rFonts w:hint="eastAsia" w:asciiTheme="minorEastAsia" w:hAnsiTheme="minorEastAsia" w:cstheme="minorEastAsia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before="50" w:after="156" w:afterLines="50" w:line="360" w:lineRule="auto"/>
              <w:ind w:firstLine="482" w:firstLineChars="200"/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二、调研活动问答</w:t>
            </w:r>
          </w:p>
          <w:p>
            <w:pPr>
              <w:pStyle w:val="2"/>
              <w:spacing w:before="82" w:line="360" w:lineRule="auto"/>
              <w:ind w:left="0" w:leftChars="0" w:firstLine="482" w:firstLineChars="200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1、公司作为行业内领军企业，高端装饰原纸的特殊性和壁垒在哪里？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答：装饰原纸作为特种纸细分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行业，对生产工艺、设备都有比较高的要求，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为保证产品品质的稳定性，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公司装饰原纸产线技术控制节点达5000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通过精准系统参数设定、多环节品控跟踪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确保原纸各项指标性能的稳定。公司产线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生产模块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技术指标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具有不可复制性，技术壁垒较高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装饰原纸在成为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各类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饰面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印刷、浸胶、压板等工艺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环节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装饰原纸品质的差异，将在较大程度上影响后续工艺环节的品质及产品表现力，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因此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装饰原纸品质的稳定性逐步受到产业链重视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。随着印刷与浸胶技术的升级，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产业链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对装饰原纸的匀度、纸张强度、渗透性、遮盖力等关键指标的要求不断提升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在较强的研发能力、成熟的生产技术与丰富的管理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经验支持下，公司始终致力于为下游提供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高品质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装饰原纸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业内拥有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良好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的口碑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与客户黏性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before="0" w:beforeLines="-2147483648" w:line="360" w:lineRule="auto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同时，公司拥有多品种多型号中高端装饰原纸生产能力，可为客户提供高性能装饰原纸“一站式”整体解决方案，快速协同客户需求，满足市场对产品的多元化和个性化需求。谢谢！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 w:firstLine="482" w:firstLineChars="200"/>
              <w:jc w:val="left"/>
              <w:rPr>
                <w:rFonts w:hint="default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2、请问公司产品海外拓展情况如何？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答：近年来，随着公司募投项目的有序投产，公司产能逐步释放，公司一直在积极开拓国际市场，尤其是中高端市场，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海外市场空间进一步打开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基于优良稳定的产品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品质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公司</w:t>
            </w:r>
            <w:r>
              <w:rPr>
                <w:rFonts w:hint="eastAsia" w:ascii="宋体" w:hAnsi="宋体" w:eastAsiaTheme="minorEastAsia" w:cstheme="minorBidi"/>
                <w:bCs/>
                <w:i w:val="0"/>
                <w:iCs w:val="0"/>
                <w:caps w:val="0"/>
                <w:spacing w:val="0"/>
                <w:sz w:val="24"/>
                <w:szCs w:val="24"/>
                <w:shd w:val="clear" w:fill="auto"/>
              </w:rPr>
              <w:t>与众多国外知名</w:t>
            </w:r>
            <w:r>
              <w:rPr>
                <w:rFonts w:hint="eastAsia" w:ascii="宋体" w:hAnsi="宋体" w:cstheme="minorBidi"/>
                <w:bCs/>
                <w:i w:val="0"/>
                <w:iCs w:val="0"/>
                <w:caps w:val="0"/>
                <w:spacing w:val="0"/>
                <w:sz w:val="24"/>
                <w:szCs w:val="24"/>
                <w:shd w:val="clear" w:fill="auto"/>
                <w:lang w:val="en-US" w:eastAsia="zh-CN"/>
              </w:rPr>
              <w:t>厂商</w:t>
            </w:r>
            <w:r>
              <w:rPr>
                <w:rFonts w:hint="eastAsia" w:ascii="宋体" w:hAnsi="宋体" w:eastAsiaTheme="minorEastAsia" w:cstheme="minorBidi"/>
                <w:bCs/>
                <w:i w:val="0"/>
                <w:iCs w:val="0"/>
                <w:caps w:val="0"/>
                <w:spacing w:val="0"/>
                <w:sz w:val="24"/>
                <w:szCs w:val="24"/>
                <w:shd w:val="clear" w:fill="auto"/>
              </w:rPr>
              <w:t>建立了良好的合作关系，公司的产品覆盖欧洲、亚洲等多个国家</w:t>
            </w:r>
            <w:r>
              <w:rPr>
                <w:rFonts w:hint="eastAsia" w:ascii="宋体" w:hAnsi="宋体" w:eastAsiaTheme="minorEastAsia" w:cstheme="minorBidi"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，出口规模</w:t>
            </w:r>
            <w:r>
              <w:rPr>
                <w:rFonts w:hint="eastAsia" w:ascii="宋体" w:hAnsi="宋体" w:cstheme="minorBidi"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快速提升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2023年1-6月，国外销售收入为3.87亿元，较上年同期增长72.04%，未来公司会继续深耕海外市场，进一步提升国际市场份额。谢谢！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3、公司非公开发行募投项目“年产18万吨特种纸生产线扩建项目（一期）”8万吨装饰原纸生产线运行情况如何？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答：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公司“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年产18万吨特种纸生产线扩建项目（一期）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 w:bidi="ar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8万吨主体生产线已于2023年6月达到预定可使用状态，目前产线运行稳定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，产能爬坡完毕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。谢谢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！</w:t>
            </w:r>
          </w:p>
          <w:p>
            <w:pPr>
              <w:spacing w:before="156" w:beforeLines="50" w:after="156" w:afterLines="50" w:line="360" w:lineRule="auto"/>
              <w:ind w:firstLine="482" w:firstLineChars="200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4、公司未来是否会考虑布局纸浆产能？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答：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由于公司生产的装饰原纸对于木浆的品类及品质均有较高要求，目前生产用木浆选定品种主要为巴桉，其他浆种暂无法满足公司生产需求。谢谢！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before="50" w:after="156" w:afterLines="50" w:line="360" w:lineRule="auto"/>
              <w:ind w:leftChars="200"/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5、公司预计下半年木浆贸易情况如何？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before="50" w:after="156" w:afterLines="50" w:line="360" w:lineRule="auto"/>
              <w:ind w:firstLine="480" w:firstLineChars="200"/>
              <w:rPr>
                <w:rFonts w:hint="default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答：一直以来，公司的主要利润来源为装饰原纸业务，木浆贸易在公司整体利润占比较小。木浆价格经历了上半年的大幅波动，现阶段波动相对趋于缓和，公司目前木浆贸易销售情况稳定。谢谢!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93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i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  <w:highlight w:val="none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zZjI5YTAzNTJhYTJmM2Y3N2IwMTZlYzA2Y2FjMzAifQ=="/>
  </w:docVars>
  <w:rsids>
    <w:rsidRoot w:val="05741DF2"/>
    <w:rsid w:val="000B715C"/>
    <w:rsid w:val="00106E63"/>
    <w:rsid w:val="0015768F"/>
    <w:rsid w:val="001E03D3"/>
    <w:rsid w:val="001F2E4C"/>
    <w:rsid w:val="002675FA"/>
    <w:rsid w:val="0050324B"/>
    <w:rsid w:val="008670FD"/>
    <w:rsid w:val="00D0011A"/>
    <w:rsid w:val="00E272D3"/>
    <w:rsid w:val="00F17ABA"/>
    <w:rsid w:val="00FF1CE8"/>
    <w:rsid w:val="05741DF2"/>
    <w:rsid w:val="0581354D"/>
    <w:rsid w:val="058735DE"/>
    <w:rsid w:val="059A67BA"/>
    <w:rsid w:val="067B3A34"/>
    <w:rsid w:val="067B433B"/>
    <w:rsid w:val="076C78D3"/>
    <w:rsid w:val="0AF344E1"/>
    <w:rsid w:val="0B0623A6"/>
    <w:rsid w:val="0C1116EC"/>
    <w:rsid w:val="0D5345DB"/>
    <w:rsid w:val="0DBE08FD"/>
    <w:rsid w:val="0E0F054E"/>
    <w:rsid w:val="0F3F7CF5"/>
    <w:rsid w:val="0F5320C7"/>
    <w:rsid w:val="0F9A3AC1"/>
    <w:rsid w:val="13240AF6"/>
    <w:rsid w:val="134578A4"/>
    <w:rsid w:val="13567813"/>
    <w:rsid w:val="13682914"/>
    <w:rsid w:val="13E811F4"/>
    <w:rsid w:val="1500148C"/>
    <w:rsid w:val="15F76D1A"/>
    <w:rsid w:val="169278C0"/>
    <w:rsid w:val="177270DF"/>
    <w:rsid w:val="199232F7"/>
    <w:rsid w:val="1A050D21"/>
    <w:rsid w:val="1A3059AD"/>
    <w:rsid w:val="1B105864"/>
    <w:rsid w:val="1B14711D"/>
    <w:rsid w:val="1BB4508E"/>
    <w:rsid w:val="1BF9747E"/>
    <w:rsid w:val="1F71326E"/>
    <w:rsid w:val="1FBB3F7E"/>
    <w:rsid w:val="20AA343C"/>
    <w:rsid w:val="21197107"/>
    <w:rsid w:val="21DF3067"/>
    <w:rsid w:val="226C3675"/>
    <w:rsid w:val="22FC3FCE"/>
    <w:rsid w:val="231E7CDE"/>
    <w:rsid w:val="24935FA1"/>
    <w:rsid w:val="25472BFA"/>
    <w:rsid w:val="25AF557F"/>
    <w:rsid w:val="2823423B"/>
    <w:rsid w:val="282D214E"/>
    <w:rsid w:val="286D547B"/>
    <w:rsid w:val="29146EAC"/>
    <w:rsid w:val="2ACE41EB"/>
    <w:rsid w:val="2E7D4CEC"/>
    <w:rsid w:val="2E950B13"/>
    <w:rsid w:val="2F584B71"/>
    <w:rsid w:val="30CB3432"/>
    <w:rsid w:val="31F0278E"/>
    <w:rsid w:val="32981347"/>
    <w:rsid w:val="32B06690"/>
    <w:rsid w:val="33974B3E"/>
    <w:rsid w:val="34527396"/>
    <w:rsid w:val="34C43BA2"/>
    <w:rsid w:val="38C742B4"/>
    <w:rsid w:val="38CD0925"/>
    <w:rsid w:val="38E8632E"/>
    <w:rsid w:val="3A210922"/>
    <w:rsid w:val="3A595859"/>
    <w:rsid w:val="3B366FEE"/>
    <w:rsid w:val="3B5853CD"/>
    <w:rsid w:val="3B64251B"/>
    <w:rsid w:val="3BEE1FCA"/>
    <w:rsid w:val="3D475E43"/>
    <w:rsid w:val="3D9C3B02"/>
    <w:rsid w:val="3E0E181C"/>
    <w:rsid w:val="3E3E7D93"/>
    <w:rsid w:val="3F1D10D5"/>
    <w:rsid w:val="41517290"/>
    <w:rsid w:val="4269685C"/>
    <w:rsid w:val="429C6ABF"/>
    <w:rsid w:val="42D061F2"/>
    <w:rsid w:val="44BA3973"/>
    <w:rsid w:val="44D1233D"/>
    <w:rsid w:val="44E421C9"/>
    <w:rsid w:val="46243F13"/>
    <w:rsid w:val="4799373F"/>
    <w:rsid w:val="49AA7857"/>
    <w:rsid w:val="49CD147E"/>
    <w:rsid w:val="4A027B35"/>
    <w:rsid w:val="4AE54E3F"/>
    <w:rsid w:val="4B0B5CC5"/>
    <w:rsid w:val="4B9D1856"/>
    <w:rsid w:val="4C96024D"/>
    <w:rsid w:val="4CAE4EF5"/>
    <w:rsid w:val="4D5A49E5"/>
    <w:rsid w:val="4D64442E"/>
    <w:rsid w:val="4EBD5CF7"/>
    <w:rsid w:val="4F495A4B"/>
    <w:rsid w:val="50110297"/>
    <w:rsid w:val="508830FB"/>
    <w:rsid w:val="52B06F57"/>
    <w:rsid w:val="52B62781"/>
    <w:rsid w:val="53E65938"/>
    <w:rsid w:val="54232158"/>
    <w:rsid w:val="54754BEC"/>
    <w:rsid w:val="54C8301F"/>
    <w:rsid w:val="54F71B6A"/>
    <w:rsid w:val="55106EF8"/>
    <w:rsid w:val="561223C3"/>
    <w:rsid w:val="569C1B1F"/>
    <w:rsid w:val="56EB6EE9"/>
    <w:rsid w:val="587517BA"/>
    <w:rsid w:val="58E93DFA"/>
    <w:rsid w:val="5A316DF7"/>
    <w:rsid w:val="5B7A12CC"/>
    <w:rsid w:val="5DC77EE3"/>
    <w:rsid w:val="612B49A3"/>
    <w:rsid w:val="620D372E"/>
    <w:rsid w:val="62BC1820"/>
    <w:rsid w:val="639D7CBB"/>
    <w:rsid w:val="642437FD"/>
    <w:rsid w:val="643E5925"/>
    <w:rsid w:val="6460128F"/>
    <w:rsid w:val="64D37E39"/>
    <w:rsid w:val="65661738"/>
    <w:rsid w:val="674A395A"/>
    <w:rsid w:val="691D122F"/>
    <w:rsid w:val="69D10F2A"/>
    <w:rsid w:val="69F17CCC"/>
    <w:rsid w:val="6A13729C"/>
    <w:rsid w:val="6BD457FB"/>
    <w:rsid w:val="6CCF3057"/>
    <w:rsid w:val="6DEC77AE"/>
    <w:rsid w:val="6F8F00AC"/>
    <w:rsid w:val="6FA7439C"/>
    <w:rsid w:val="70166E7D"/>
    <w:rsid w:val="71245578"/>
    <w:rsid w:val="72EF0B40"/>
    <w:rsid w:val="73D84601"/>
    <w:rsid w:val="76890E4B"/>
    <w:rsid w:val="77D500B3"/>
    <w:rsid w:val="794A5D98"/>
    <w:rsid w:val="7A68035F"/>
    <w:rsid w:val="7A737D6F"/>
    <w:rsid w:val="7AAA11E4"/>
    <w:rsid w:val="7C973F23"/>
    <w:rsid w:val="7D0E37CD"/>
    <w:rsid w:val="7DA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602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spacing w:before="161"/>
      <w:ind w:left="120"/>
    </w:pPr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4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批注文字 字符"/>
    <w:basedOn w:val="11"/>
    <w:link w:val="3"/>
    <w:qFormat/>
    <w:uiPriority w:val="0"/>
    <w:rPr>
      <w:kern w:val="2"/>
      <w:sz w:val="21"/>
      <w:szCs w:val="22"/>
    </w:rPr>
  </w:style>
  <w:style w:type="character" w:customStyle="1" w:styleId="14">
    <w:name w:val="批注主题 字符"/>
    <w:basedOn w:val="13"/>
    <w:link w:val="9"/>
    <w:qFormat/>
    <w:uiPriority w:val="0"/>
    <w:rPr>
      <w:b/>
      <w:bCs/>
      <w:kern w:val="2"/>
      <w:sz w:val="21"/>
      <w:szCs w:val="22"/>
    </w:rPr>
  </w:style>
  <w:style w:type="character" w:customStyle="1" w:styleId="15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6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408</Words>
  <Characters>2328</Characters>
  <Lines>19</Lines>
  <Paragraphs>5</Paragraphs>
  <TotalTime>6</TotalTime>
  <ScaleCrop>false</ScaleCrop>
  <LinksUpToDate>false</LinksUpToDate>
  <CharactersWithSpaces>2731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2021-07-06T09:10:00Z</dcterms:created>
  <dc:creator>陈蕾</dc:creator>
  <cp:lastModifiedBy>江莎莎</cp:lastModifiedBy>
  <cp:lastPrinted>2023-09-22T01:20:00Z</cp:lastPrinted>
  <dcterms:modified xsi:type="dcterms:W3CDTF">2023-09-22T09:23:13Z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43D608D819CC419A94B26D7F8C23B1C2_13</vt:lpwstr>
  </property>
</Properties>
</file>