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jc w:val="left"/>
        <w:rPr>
          <w:rFonts w:ascii="宋体" w:hAnsi="宋体"/>
          <w:bCs/>
          <w:iCs/>
          <w:sz w:val="24"/>
        </w:rPr>
      </w:pPr>
      <w:r>
        <w:rPr>
          <w:rFonts w:hint="eastAsia" w:ascii="宋体" w:hAnsi="宋体"/>
          <w:bCs/>
          <w:iCs/>
          <w:sz w:val="24"/>
        </w:rPr>
        <w:t>股票代码：</w:t>
      </w:r>
      <w:r>
        <w:rPr>
          <w:rFonts w:hint="eastAsia" w:ascii="宋体" w:hAnsi="宋体"/>
          <w:bCs/>
          <w:iCs/>
          <w:sz w:val="24"/>
          <w:lang w:val="en-US" w:eastAsia="zh-CN"/>
        </w:rPr>
        <w:t>600590</w:t>
      </w:r>
      <w:r>
        <w:rPr>
          <w:rFonts w:hint="eastAsia" w:ascii="宋体" w:hAnsi="宋体"/>
          <w:bCs/>
          <w:iCs/>
          <w:sz w:val="24"/>
        </w:rPr>
        <w:t xml:space="preserve">              </w:t>
      </w:r>
      <w:r>
        <w:rPr>
          <w:rFonts w:hint="eastAsia" w:ascii="宋体" w:hAnsi="宋体"/>
          <w:bCs/>
          <w:iCs/>
          <w:sz w:val="24"/>
          <w:lang w:val="en-US" w:eastAsia="zh-CN"/>
        </w:rPr>
        <w:tab/>
      </w:r>
      <w:r>
        <w:rPr>
          <w:rFonts w:hint="eastAsia" w:ascii="宋体" w:hAnsi="宋体"/>
          <w:bCs/>
          <w:iCs/>
          <w:sz w:val="24"/>
          <w:lang w:val="en-US" w:eastAsia="zh-CN"/>
        </w:rPr>
        <w:tab/>
      </w:r>
      <w:r>
        <w:rPr>
          <w:rFonts w:hint="eastAsia" w:ascii="宋体" w:hAnsi="宋体"/>
          <w:bCs/>
          <w:iCs/>
          <w:sz w:val="24"/>
          <w:lang w:val="en-US" w:eastAsia="zh-CN"/>
        </w:rPr>
        <w:tab/>
      </w:r>
      <w:r>
        <w:rPr>
          <w:rFonts w:hint="eastAsia" w:ascii="宋体" w:hAnsi="宋体"/>
          <w:bCs/>
          <w:iCs/>
          <w:sz w:val="24"/>
          <w:lang w:val="en-US" w:eastAsia="zh-CN"/>
        </w:rPr>
        <w:t xml:space="preserve">             </w:t>
      </w:r>
      <w:r>
        <w:rPr>
          <w:rFonts w:hint="eastAsia" w:ascii="宋体" w:hAnsi="宋体"/>
          <w:bCs/>
          <w:iCs/>
          <w:sz w:val="24"/>
        </w:rPr>
        <w:t>股票简称：</w:t>
      </w:r>
      <w:r>
        <w:rPr>
          <w:rFonts w:hint="eastAsia" w:ascii="宋体" w:hAnsi="宋体"/>
          <w:bCs/>
          <w:iCs/>
          <w:sz w:val="24"/>
          <w:lang w:val="en-US" w:eastAsia="zh-CN"/>
        </w:rPr>
        <w:t>泰豪科技</w:t>
      </w:r>
    </w:p>
    <w:p>
      <w:pPr>
        <w:spacing w:before="156" w:beforeLines="50" w:after="156" w:afterLines="50" w:line="400" w:lineRule="exact"/>
        <w:jc w:val="center"/>
        <w:rPr>
          <w:rFonts w:ascii="宋体" w:hAnsi="宋体"/>
          <w:b/>
          <w:bCs/>
          <w:iCs/>
          <w:sz w:val="28"/>
          <w:szCs w:val="28"/>
        </w:rPr>
      </w:pPr>
      <w:r>
        <w:rPr>
          <w:rFonts w:hint="eastAsia" w:ascii="宋体" w:hAnsi="宋体"/>
          <w:b/>
          <w:bCs/>
          <w:iCs/>
          <w:sz w:val="30"/>
          <w:szCs w:val="30"/>
          <w:lang w:val="en-US" w:eastAsia="zh-CN"/>
        </w:rPr>
        <w:t>泰豪科技股份有限公司投资者</w:t>
      </w:r>
      <w:r>
        <w:rPr>
          <w:rFonts w:hint="eastAsia" w:ascii="宋体" w:hAnsi="宋体"/>
          <w:b/>
          <w:bCs/>
          <w:iCs/>
          <w:sz w:val="30"/>
          <w:szCs w:val="30"/>
        </w:rPr>
        <w:t>关系活动记录表</w:t>
      </w:r>
    </w:p>
    <w:p>
      <w:pPr>
        <w:spacing w:line="400" w:lineRule="exact"/>
        <w:rPr>
          <w:rFonts w:ascii="宋体" w:hAnsi="宋体"/>
          <w:bCs/>
          <w:iCs/>
          <w:sz w:val="24"/>
          <w:szCs w:val="24"/>
          <w:highlight w:val="yellow"/>
        </w:rPr>
      </w:pPr>
      <w:r>
        <w:rPr>
          <w:rFonts w:hint="eastAsia" w:ascii="宋体" w:hAnsi="宋体"/>
          <w:bCs/>
          <w:iCs/>
          <w:sz w:val="24"/>
          <w:szCs w:val="24"/>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5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投资者关系活动类别</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sz w:val="24"/>
                <w:szCs w:val="24"/>
              </w:rPr>
            </w:pPr>
            <w:r>
              <w:rPr>
                <w:rFonts w:ascii="宋体" w:hAnsi="宋体"/>
                <w:sz w:val="24"/>
                <w:szCs w:val="24"/>
              </w:rPr>
              <w:t>□特定对象调研        □分析师会议</w:t>
            </w:r>
          </w:p>
          <w:p>
            <w:pPr>
              <w:spacing w:line="480" w:lineRule="atLeast"/>
              <w:rPr>
                <w:rFonts w:ascii="宋体" w:hAnsi="宋体"/>
                <w:sz w:val="24"/>
                <w:szCs w:val="24"/>
              </w:rPr>
            </w:pPr>
            <w:r>
              <w:rPr>
                <w:rFonts w:ascii="宋体" w:hAnsi="宋体"/>
                <w:sz w:val="24"/>
                <w:szCs w:val="24"/>
              </w:rPr>
              <w:t xml:space="preserve">□媒体采访            </w:t>
            </w:r>
            <w:r>
              <w:rPr>
                <w:rFonts w:hint="eastAsia" w:ascii="宋体" w:hAnsi="宋体"/>
                <w:bCs/>
                <w:iCs/>
                <w:sz w:val="24"/>
                <w:szCs w:val="24"/>
              </w:rPr>
              <w:t>√</w:t>
            </w:r>
            <w:r>
              <w:rPr>
                <w:rFonts w:ascii="宋体" w:hAnsi="宋体"/>
                <w:sz w:val="24"/>
                <w:szCs w:val="24"/>
              </w:rPr>
              <w:t>业绩说明会</w:t>
            </w:r>
          </w:p>
          <w:p>
            <w:pPr>
              <w:spacing w:line="480" w:lineRule="atLeast"/>
              <w:rPr>
                <w:rFonts w:ascii="宋体" w:hAnsi="宋体"/>
                <w:sz w:val="24"/>
                <w:szCs w:val="24"/>
              </w:rPr>
            </w:pPr>
            <w:r>
              <w:rPr>
                <w:rFonts w:ascii="宋体" w:hAnsi="宋体"/>
                <w:sz w:val="24"/>
                <w:szCs w:val="24"/>
              </w:rPr>
              <w:t>□新闻发布会          □路演活动</w:t>
            </w:r>
          </w:p>
          <w:p>
            <w:pPr>
              <w:spacing w:line="480" w:lineRule="atLeast"/>
              <w:rPr>
                <w:rFonts w:ascii="宋体" w:hAnsi="宋体"/>
                <w:sz w:val="24"/>
                <w:szCs w:val="24"/>
              </w:rPr>
            </w:pPr>
            <w:r>
              <w:rPr>
                <w:rFonts w:ascii="宋体" w:hAnsi="宋体"/>
                <w:sz w:val="24"/>
                <w:szCs w:val="24"/>
              </w:rPr>
              <w:t>□现场参观</w:t>
            </w:r>
            <w:r>
              <w:rPr>
                <w:rFonts w:ascii="宋体" w:hAnsi="宋体"/>
                <w:sz w:val="24"/>
                <w:szCs w:val="24"/>
              </w:rPr>
              <w:tab/>
            </w:r>
          </w:p>
          <w:p>
            <w:pPr>
              <w:spacing w:line="480" w:lineRule="atLeast"/>
              <w:rPr>
                <w:rFonts w:asciiTheme="minorEastAsia" w:hAnsiTheme="minorEastAsia" w:eastAsiaTheme="minorEastAsia"/>
                <w:bCs/>
                <w:iCs/>
                <w:color w:val="000000"/>
                <w:sz w:val="24"/>
                <w:szCs w:val="24"/>
              </w:rPr>
            </w:pPr>
            <w:r>
              <w:rPr>
                <w:rFonts w:ascii="宋体" w:hAnsi="宋体"/>
                <w:sz w:val="24"/>
                <w:szCs w:val="24"/>
              </w:rPr>
              <w:t>□其他 （请文字说明其他活动内容）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参与单位名称及人员姓名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Theme="minorEastAsia" w:hAnsiTheme="minorEastAsia" w:eastAsiaTheme="minorEastAsia"/>
                <w:bCs/>
                <w:iCs/>
                <w:color w:val="000000"/>
                <w:sz w:val="24"/>
                <w:szCs w:val="24"/>
              </w:rPr>
            </w:pPr>
            <w:r>
              <w:rPr>
                <w:rFonts w:hint="eastAsia" w:ascii="宋体" w:hAnsi="宋体"/>
                <w:sz w:val="24"/>
                <w:szCs w:val="24"/>
              </w:rPr>
              <w:t>线上参与公司</w:t>
            </w:r>
            <w:r>
              <w:rPr>
                <w:rFonts w:hint="eastAsia" w:ascii="宋体" w:hAnsi="宋体"/>
                <w:sz w:val="24"/>
                <w:szCs w:val="24"/>
                <w:lang w:val="en-US" w:eastAsia="zh-CN"/>
              </w:rPr>
              <w:t>泰豪科技2023年半年度报告网上说明会</w:t>
            </w:r>
            <w:r>
              <w:rPr>
                <w:rFonts w:hint="eastAsia" w:ascii="宋体" w:hAnsi="宋体"/>
                <w:sz w:val="24"/>
                <w:szCs w:val="24"/>
              </w:rPr>
              <w:t>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时间</w:t>
            </w:r>
          </w:p>
        </w:tc>
        <w:tc>
          <w:tcPr>
            <w:tcW w:w="59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heme="minorEastAsia" w:hAnsiTheme="minorEastAsia" w:eastAsiaTheme="minorEastAsia"/>
                <w:bCs/>
                <w:iCs/>
                <w:color w:val="000000"/>
                <w:sz w:val="24"/>
                <w:szCs w:val="24"/>
              </w:rPr>
            </w:pPr>
            <w:r>
              <w:rPr>
                <w:rFonts w:ascii="宋体" w:hAnsi="宋体"/>
                <w:sz w:val="24"/>
                <w:szCs w:val="24"/>
                <w:lang w:val="zh-CN"/>
              </w:rPr>
              <w:t>2023年09月22日（星期五）下午15:00</w:t>
            </w:r>
            <w:r>
              <w:rPr>
                <w:rFonts w:hint="eastAsia" w:ascii="宋体" w:hAnsi="宋体"/>
                <w:bCs/>
                <w:iCs/>
                <w:color w:val="000000"/>
                <w:kern w:val="0"/>
                <w:sz w:val="24"/>
              </w:rPr>
              <w:t>-</w:t>
            </w:r>
            <w:r>
              <w:rPr>
                <w:rFonts w:ascii="宋体" w:hAnsi="宋体"/>
                <w:sz w:val="24"/>
                <w:szCs w:val="24"/>
                <w:lang w:val="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地点</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eastAsiaTheme="minorEastAsia"/>
                <w:bCs/>
                <w:iCs/>
                <w:color w:val="000000"/>
                <w:sz w:val="24"/>
                <w:szCs w:val="24"/>
              </w:rPr>
            </w:pPr>
            <w:r>
              <w:rPr>
                <w:rFonts w:hint="eastAsia" w:ascii="宋体" w:hAnsi="宋体" w:cs="宋体"/>
                <w:color w:val="000000"/>
                <w:kern w:val="0"/>
                <w:sz w:val="24"/>
              </w:rPr>
              <w:t>“</w:t>
            </w:r>
            <w:r>
              <w:rPr>
                <w:rFonts w:hint="eastAsia" w:ascii="宋体" w:hAnsi="宋体" w:cs="宋体"/>
                <w:color w:val="000000"/>
                <w:kern w:val="0"/>
                <w:sz w:val="24"/>
                <w:szCs w:val="24"/>
              </w:rPr>
              <w:t>泰豪科技投资者关系</w:t>
            </w:r>
            <w:r>
              <w:rPr>
                <w:rFonts w:ascii="宋体" w:hAnsi="宋体" w:cs="宋体"/>
                <w:color w:val="000000"/>
                <w:kern w:val="0"/>
                <w:sz w:val="24"/>
              </w:rPr>
              <w:t>”</w:t>
            </w:r>
            <w:r>
              <w:rPr>
                <w:rFonts w:hint="eastAsia" w:ascii="宋体" w:hAnsi="宋体" w:cs="宋体"/>
                <w:color w:val="000000"/>
                <w:kern w:val="0"/>
                <w:sz w:val="24"/>
              </w:rPr>
              <w:t>微信小程序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上市公司接待人员姓名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cs="宋体"/>
                <w:kern w:val="0"/>
                <w:sz w:val="24"/>
              </w:rPr>
            </w:pPr>
            <w:r>
              <w:rPr>
                <w:rFonts w:hint="eastAsia" w:ascii="宋体" w:hAnsi="宋体" w:cs="宋体"/>
                <w:color w:val="000000"/>
                <w:kern w:val="0"/>
                <w:sz w:val="24"/>
                <w:szCs w:val="24"/>
              </w:rPr>
              <w:t>总裁：李自强先生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副总裁兼财务总监：朱宇华先生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董事会秘书：张小兵先生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独立董事：王晋勇先生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rPr>
                <w:rFonts w:ascii="宋体" w:hAnsi="宋体"/>
                <w:b/>
                <w:bCs/>
                <w:iCs/>
                <w:sz w:val="24"/>
                <w:szCs w:val="24"/>
              </w:rPr>
            </w:pPr>
            <w:r>
              <w:rPr>
                <w:rFonts w:ascii="宋体" w:hAnsi="宋体"/>
                <w:b/>
                <w:bCs/>
                <w:iCs/>
                <w:sz w:val="24"/>
                <w:szCs w:val="24"/>
              </w:rPr>
              <w:t>投资者关系活动主要内容介绍</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bCs/>
                <w:iCs/>
                <w:color w:val="000000"/>
                <w:kern w:val="0"/>
                <w:sz w:val="24"/>
              </w:rPr>
            </w:pPr>
            <w:r>
              <w:rPr>
                <w:rFonts w:hint="eastAsia" w:ascii="宋体" w:hAnsi="宋体" w:cs="宋体"/>
                <w:b/>
                <w:bCs/>
                <w:color w:val="000000"/>
                <w:kern w:val="0"/>
                <w:sz w:val="24"/>
                <w:szCs w:val="24"/>
              </w:rPr>
              <w:t>1、问：董秘您好，我是公众号“二级市场信息站”的作者，公众号一直跟踪咱们股票，现应群里朋友邀请，在写几篇分析文章，能简单介绍一下咱们的核心竞争力吗？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公司核心竞争力如下：1、技术创新能力。公司紧跟用户，需求在自主创新的基础上，积极推进产学研一体化模式，设有院士工作站、企业博士后科研工作站，并与清华大学、华中科技大学、上海交通大学、北京航天动力研究所、哈尔滨工业大学、长沙理工大学等多所高校院所开展产学研合作，利用行业优势研发资源持续推动公司技术与产品创新；2、市场开拓及布局能力。公司对军工行业有深刻的理解，军工客户涉及海、陆、空、火箭、战支、联勤全军种，并基于产业发展及客户需要，持续拓展产品应用领域与各类重点客户；3、行业资源整合及技术转化能力。公司自成立以来，先后收购了江西三波电机总厂、衡阳市四机总厂、天津七六四通信导航技术有限公司等军工企业，并布局了江西国科军工集团股份有限公司等优秀军工企业，拥有丰富的企业混改、重组、管理融合、资源整合的经验和能力，其中江西国科军工集团股份有限公司已于2023年6月21日成功在科创板上市。感谢您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2、问：请问泰豪军工引入中兵国调等基金，年利息达8%，为何不选择向银行贷款或者发行可转换债券，利息都要低很多，是否有考虑把中兵国调等基金两年后转换成真正的泰豪军工股份，从而达到真正的引进战略投资的目的，完成真正的一轮融资，而不必再赎回？</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2022年-2023年公司下属军工板块陆续引入航发基金、中兵基金等央企军工集团相关基金。公司引入战略投资者，主要为更好发展主业，发挥产业战投的协同效应，并为军用无人装备、新材料、新能源等新业务拓展积蓄资金。关于是否会将中兵国调等基金两年后转换成公司股份，后续请以公司公告为准。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3、问：天津七六四公司引进管理层的股份已经近3年了，请问是否有对七六四公司进行分拆上市的计划？</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答：尊敬的投资者您好！天津七六四自实施管理层股权激励以来，经营成果和经理质量持续提升。至于上市公司子公司分拆上市属于重大事项，请以公司公告为准。感谢您对公司的关注。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4、问：请问网传的泰豪科技与好风光储能公司签订合作协议，该合作的项目投资规模多大？什么时候投产？每年可以产生多少效益？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答：您好，近日公司与好风光储能技术（成都）有限公司签订投资协议，公司向其增资支持其在成都建设100MWh高安全大容量储能专用电池放大生产线，以便其后期为公司储能业务稳定提供锂电池</w:t>
            </w:r>
            <w:r>
              <w:rPr>
                <w:rFonts w:hint="eastAsia" w:ascii="宋体" w:hAnsi="宋体" w:cs="宋体"/>
                <w:color w:val="000000"/>
                <w:kern w:val="0"/>
                <w:sz w:val="24"/>
                <w:szCs w:val="24"/>
                <w:lang w:val="en-US" w:eastAsia="zh-CN"/>
              </w:rPr>
              <w:t>产品</w:t>
            </w:r>
            <w:r>
              <w:rPr>
                <w:rFonts w:hint="eastAsia" w:ascii="宋体" w:hAnsi="宋体" w:cs="宋体"/>
                <w:color w:val="000000"/>
                <w:kern w:val="0"/>
                <w:sz w:val="24"/>
                <w:szCs w:val="24"/>
              </w:rPr>
              <w:t>，进而夯实公司在储能产业的基础。感谢您的关注。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5、问：请问董秘，公司上半年营收增长的原因是什么？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答：尊敬的投资者您好！上半年公司实现营业收入207,095万元，比上年同期增长11.72%，营收增长主要</w:t>
            </w:r>
            <w:bookmarkStart w:id="0" w:name="_GoBack"/>
            <w:bookmarkEnd w:id="0"/>
            <w:r>
              <w:rPr>
                <w:rFonts w:hint="eastAsia" w:ascii="宋体" w:hAnsi="宋体" w:cs="宋体"/>
                <w:color w:val="000000"/>
                <w:kern w:val="0"/>
                <w:sz w:val="24"/>
                <w:szCs w:val="24"/>
              </w:rPr>
              <w:t>是公司军工装备业务及军工技术民用化的应急装备业务增长所致。上半年军工装备产业订单保持稳步增长，应急装备产业受分销模式推广及海外市场订单的快速增长，合计实现收入185,869万元，比上年同期增长12.78%。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6、问：公司作为应急装备的主要供应商，在今年的自然灾害中有无做出贡献？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公司应急装备产业下属的控股子公司泰豪电源技术有限公司、龙岩市海德馨汽车有限公司、福州德塔动力设备有限公司从事应急发电机组、应急电源车相关业务，相关产品在石油化工、交通运输、电力、通信、建筑、数据中心等诸多行业，以及抢险、救援领域均有应用。近月海德馨应政府和相关部门紧急调令，出发厦漳泉驰援台风“杜苏芮”应急保障；应国家电网紧急调配90余台应急发电车，参与保定涿州抗洪抢修保供电任务。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7、问：公司第一大股东实控人变更是怎么回事？对公司会有什么影响？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日前公司接到公司第一大股东同方股份通知，根据同方股份间接控股股东中核集团的批复，拟将同方股份控股股东中核资本持有的同方股份30.11%股份无偿划转至中国宝原。本次无偿划转实施完成后，同方股份控股股东将变更为中国宝原，但其间接控股股东仍为中核集团，其实际控制人仍为国务院国有资产监督管理委员会。上述事项不会导致公司第一大股东发生变更。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8、问：为何公司净利润下降了40%，扣非后又增长了78%？</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上半年公司实现归属于母公司股东的净利润15,065万元，同比下降40.29%，主要是上年同期有处置智能配电业务及江西国科股权投资收益；上半年实现扣除非经常性损益后的归属母公司股东净利润5447万元，同比增长77.98%，主要是公司军工装备业务及军工技术民用化的应急装备业务增长所致，表明公司主业经营能力有所提升。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9、问：归属净利润同比下滑幅度较大的原因？</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2023年上半年公司实现归属于母公司股东的净利润15,065万元，同比下降40.29%，主要是上年同期有处置智能配电业务及江西国科股权投资收益；2023年上半年因军工装备业务及军工技术民用化的应急装备业务增长，公司实现扣除非经常性损益后的归属母公司股东净利润5447万元，同比增长77.98%，表明公司主业经营能力有所提升。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10、问：请问领导军工装备的营收占比情况？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自2019年公司确定聚焦军工装备产业的战略以来，取得了明显的成效。通过持续剥离非主业资产，并不断加大在军工领域技术研发投入，上半年公司军工装备及军民融合应急装备主业营收占比已提升到90%，主业更为聚焦。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11、问：行业分类什么时候可以正确归类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公司所处行业分类主要依据为主营业务结构所占比例，根据证监会行业分类标准，公司所属行业为制造业-电器机械和器械制造业；根据申万行业分类标准，公司所属行业为国防军工-军工电子行业。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12、问：公司为什么设立孵化平台？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公司根据“聚焦军工”的战略规划不断推进与军工主业不相关的业务或资产的剥离及处置工作，同时为了提升公司军工装备产业对创新业务的孵化能力，探索培育和孵化创新业务的新机制与新模式，保障公司军工装备产业持续发展，公司投资设立了上海钧合泰创科技发展公司，该平台主要围绕军工行业新技术、新方向，重点在无人化、智能化、信息化方向为公司培育新兴业务。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13、问：公司的陆基导航和卫星导航的应用场景有哪些？</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公司是国内研制、生产全套陆基导航装备的厂家，产品类型包括精密进近着陆、近程导航、机动导航、空管装备等。产品应用覆盖主要类型军机，在空军、海军、陆航等领域服务超一百个场站，装备技术指标及市场占有率处于国内领先地位。目前，陆基导航市场规模、格局较为稳定，目前主要由固定式向机动式发展，总体市场规模有望向上提升。公司卫星导航产品定位于北斗卫星导航的高精度应用，重点以智能弹药、车辆信息化和军用无人机为应用场景，在抗干扰等方面具备技术优势。公司紧跟新总体型号的研制及现有型号的升级换代需求，保证公司产品可随我军航空装备快速发展。卫星导航市场随着北斗三代推广应用、智能弹药快速发展等，仍处于快速发展期，但市场竞争较为激烈。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14、问：请介绍一下公司在军用新材料上的进展？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公司军用特种新材料主要用于实现军工装备的轻量、防弹、隐身功能，现运用于通信车、航空航天以及弹类产品，目前一期复合线技改完成并已经投产，二期缠绕线技改预计三季度完成技改并试生产，市场订单情况符合预期。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15、问：贵司的车载通信指挥系统在行业里的竞争力水平怎样？</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泰豪军工是工信部重点骨干企业、国家军事高科技企业、原总参通信部军用通信车与各军兵种方舱的定点生产厂家、原总装备部方舱集中采购的定点单位。公司具备提供完整系统集成产品解决方案的能力，在电磁兼容、多频段通信指挥系统集成、轻量化设计、系统集中管控等产品上具有领先优势，为陆军、战略支援部队、火箭军等军兵种及航天、航空等单位研制生产百余种军用特种产品。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16、问：公司转型军工3年了，现在是否达到了当初的预期目标？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自2019年公司确定聚焦军工装备产业的战略以来，公司持续剥离非主业资产，回收资金、降低负债，不断优化资产结构，并不断加大在军工领域技术研发投入。截止23年二季度末公司整体资产负债率较年初下降了3.48个百分点，军工装备及军民融合应急装备主业营收占比已提升到90%，主业更为聚焦。公司将在坚持发展战略的基础上，努力提升核心竞争力及经营业绩，创造更多价值来回报广大投资者。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17、问：公司有没有储能相关的产品？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公司依托现有的分销体系和电源方面的技术积累，积极探索储能方面的发展机会。公司目前已引入了专业的储能产品研发及储能电站的开发、运营团队，将聚焦为客户提供从储能系统集成产品到储能电站开发及运维集成解决方案，并积极探索储能在军用领域市场的应用机会。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18、问：请公司说一下2023年公司工作的重点？</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在公司2023年的经营计划中，一是要加大军工装备产业资源在无人平台、新材料、军工新能源、通信导航等领域的投入；二是通过引入战略投资者和有效处置非主业资产，优化产业及资产结构；三是通过寻找外延并购机会，推动军工装备业务跨越式发展。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19、问：公司未来的发展战略是什么？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基于公司所处的行业发展趋势和竞争格局，结合自身产业特点与发展阶段，公司将进一步聚焦军工装备产业发展，以符合未来战争需要的信息化、智能化、无人化装备为主攻方向，加快推动现有传统平台装备向信息化、智能化方向提升，推动配套装备向信息化智能化装备服务配套方向提升；同时伺机开展算法和软件业务。通过上述三个方面形成有智能化平台装备支撑、有核心应用场景、有装备协同效应的业务格局，致力于成为有核心竞争力的创新型军工企业。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20、问：请问公司有没有军转民的应用成果？谢谢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公司民用应急装备产品技术来源于军工电源技术，其主要应用于应急保障、防灾、抢险救援等场景，下游应用行业广泛，涉及石油化工、交通运输、电力行业、通信、建筑、银行等。随着新基建投资提速，数据中心应急发电需求将成为公司应急电源板块的增量市场。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21、问：公司有氢燃料汽车的相关技术储备？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近年来公司一直在探索新能源、新应用市场，如积极向军用氢能源、多能源微电网等军用新能源电源方向发展，其中分队级多能源微电网电源系统已中标军方首批野战供电项目。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22、问：公司有没有北斗系统的应用？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答：尊敬的投资者您好！公司军工装备信息化产品中，天津七六四通信导航技术有限公司产品主要基于导航技术研究开发，亦有其他基于通信技术或服务于信息装备的产品。感谢您对公司的关注。</w:t>
            </w:r>
            <w:r>
              <w:rPr>
                <w:rFonts w:hint="eastAsia" w:ascii="宋体" w:hAnsi="宋体" w:cs="宋体"/>
                <w:color w:val="000000"/>
                <w:kern w:val="0"/>
                <w:sz w:val="24"/>
                <w:szCs w:val="24"/>
              </w:rPr>
              <w:br w:type="textWrapping"/>
            </w:r>
            <w:r>
              <w:rPr>
                <w:rFonts w:hint="eastAsia" w:ascii="宋体" w:hAnsi="宋体" w:cs="宋体"/>
                <w:b/>
                <w:bCs/>
                <w:color w:val="000000"/>
                <w:kern w:val="0"/>
                <w:sz w:val="24"/>
                <w:szCs w:val="24"/>
              </w:rPr>
              <w:t>23、问：公司是否有涉及半导体或者芯片？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公司根据“聚焦军工”的战略规划，持续关注产业链上下游的产业协同和产业并购机会，为提升公司军工装备产业对创新业务的孵化能力，探索培育和孵化创新业务的新机制与新模式，保障公司军工装备产业持续发展，公司投资设立了上海钧合泰创科技发展有限公司，其业务范畴涉及军用芯片相关领域。感谢您对公司的关注。</w:t>
            </w:r>
            <w:r>
              <w:rPr>
                <w:rFonts w:hint="eastAsia" w:ascii="宋体" w:hAnsi="宋体" w:cs="宋体"/>
                <w:color w:val="000000"/>
                <w:kern w:val="0"/>
                <w:sz w:val="24"/>
                <w:szCs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b/>
                <w:bCs/>
                <w:iCs/>
                <w:sz w:val="24"/>
                <w:szCs w:val="24"/>
              </w:rPr>
            </w:pPr>
            <w:r>
              <w:rPr>
                <w:rFonts w:ascii="宋体" w:hAnsi="宋体"/>
                <w:b/>
                <w:bCs/>
                <w:iCs/>
                <w:sz w:val="24"/>
                <w:szCs w:val="24"/>
              </w:rPr>
              <w:t>附件清单（如有）</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eastAsiaTheme="minorEastAsia"/>
                <w:bCs/>
                <w:i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b/>
                <w:bCs/>
                <w:iCs/>
                <w:sz w:val="24"/>
                <w:szCs w:val="24"/>
              </w:rPr>
            </w:pPr>
            <w:r>
              <w:rPr>
                <w:rFonts w:ascii="宋体" w:hAnsi="宋体"/>
                <w:b/>
                <w:bCs/>
                <w:iCs/>
                <w:sz w:val="24"/>
                <w:szCs w:val="24"/>
              </w:rPr>
              <w:t>日期</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eastAsiaTheme="minorEastAsia"/>
                <w:bCs/>
                <w:iCs/>
                <w:color w:val="000000"/>
                <w:sz w:val="24"/>
                <w:szCs w:val="24"/>
              </w:rPr>
            </w:pPr>
            <w:r>
              <w:rPr>
                <w:rFonts w:hint="eastAsia" w:ascii="宋体" w:hAnsi="宋体" w:cs="宋体"/>
                <w:color w:val="000000"/>
                <w:kern w:val="0"/>
                <w:sz w:val="24"/>
                <w:szCs w:val="24"/>
                <w:highlight w:val="none"/>
              </w:rPr>
              <w:t>2023年09月22日</w:t>
            </w:r>
          </w:p>
        </w:tc>
      </w:tr>
    </w:tbl>
    <w:p>
      <w:pPr>
        <w:keepNext w:val="0"/>
        <w:keepLines w:val="0"/>
        <w:pageBreakBefore w:val="0"/>
        <w:widowControl w:val="0"/>
        <w:kinsoku/>
        <w:wordWrap/>
        <w:overflowPunct/>
        <w:topLinePunct w:val="0"/>
        <w:autoSpaceDE/>
        <w:autoSpaceDN/>
        <w:bidi w:val="0"/>
        <w:adjustRightInd/>
        <w:snapToGrid/>
        <w:spacing w:line="1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xMmIyMmY4MWJkNjhiMzY3ZjM1N2FmZDA1YjY3YTYifQ=="/>
  </w:docVars>
  <w:rsids>
    <w:rsidRoot w:val="00000D3A"/>
    <w:rsid w:val="00000D3A"/>
    <w:rsid w:val="001A3559"/>
    <w:rsid w:val="001B46F3"/>
    <w:rsid w:val="001E7E25"/>
    <w:rsid w:val="002137C4"/>
    <w:rsid w:val="00276D30"/>
    <w:rsid w:val="002D2F34"/>
    <w:rsid w:val="0032038B"/>
    <w:rsid w:val="00346C15"/>
    <w:rsid w:val="003571B2"/>
    <w:rsid w:val="003D4542"/>
    <w:rsid w:val="00445995"/>
    <w:rsid w:val="005E3EE2"/>
    <w:rsid w:val="0062475E"/>
    <w:rsid w:val="00696ED0"/>
    <w:rsid w:val="007C5948"/>
    <w:rsid w:val="007F16D6"/>
    <w:rsid w:val="00835EE1"/>
    <w:rsid w:val="00881C53"/>
    <w:rsid w:val="008F5347"/>
    <w:rsid w:val="00921591"/>
    <w:rsid w:val="00992A79"/>
    <w:rsid w:val="009B4C8A"/>
    <w:rsid w:val="00A43F6C"/>
    <w:rsid w:val="00B013B8"/>
    <w:rsid w:val="00B6013C"/>
    <w:rsid w:val="00C0698E"/>
    <w:rsid w:val="00CC2661"/>
    <w:rsid w:val="00D254A0"/>
    <w:rsid w:val="00D31B9C"/>
    <w:rsid w:val="00D35117"/>
    <w:rsid w:val="00D74802"/>
    <w:rsid w:val="00DD073F"/>
    <w:rsid w:val="00E55844"/>
    <w:rsid w:val="00F95A5A"/>
    <w:rsid w:val="00FC55A2"/>
    <w:rsid w:val="00FD6735"/>
    <w:rsid w:val="03A54A28"/>
    <w:rsid w:val="044C50BA"/>
    <w:rsid w:val="04B769D7"/>
    <w:rsid w:val="053C5185"/>
    <w:rsid w:val="09D300DC"/>
    <w:rsid w:val="0ACA5ED1"/>
    <w:rsid w:val="0B3D575C"/>
    <w:rsid w:val="0B640F3B"/>
    <w:rsid w:val="0CFF716D"/>
    <w:rsid w:val="0D847672"/>
    <w:rsid w:val="0F6E5462"/>
    <w:rsid w:val="0F711E78"/>
    <w:rsid w:val="0F885383"/>
    <w:rsid w:val="10437371"/>
    <w:rsid w:val="11ED4BC1"/>
    <w:rsid w:val="1593461C"/>
    <w:rsid w:val="161D2412"/>
    <w:rsid w:val="164369A6"/>
    <w:rsid w:val="19AF3CC9"/>
    <w:rsid w:val="1B886580"/>
    <w:rsid w:val="1CE123EB"/>
    <w:rsid w:val="1E0D7210"/>
    <w:rsid w:val="2177331E"/>
    <w:rsid w:val="218C499A"/>
    <w:rsid w:val="21BA320B"/>
    <w:rsid w:val="23705807"/>
    <w:rsid w:val="268128EF"/>
    <w:rsid w:val="2A703795"/>
    <w:rsid w:val="2B487ADA"/>
    <w:rsid w:val="2CAE4BF5"/>
    <w:rsid w:val="2D263F00"/>
    <w:rsid w:val="2D9A5735"/>
    <w:rsid w:val="2DE27D71"/>
    <w:rsid w:val="2F1228D8"/>
    <w:rsid w:val="335F00B6"/>
    <w:rsid w:val="378B2BA5"/>
    <w:rsid w:val="385E093C"/>
    <w:rsid w:val="38832151"/>
    <w:rsid w:val="393778F4"/>
    <w:rsid w:val="39B32F0A"/>
    <w:rsid w:val="39BA6046"/>
    <w:rsid w:val="404C1ED7"/>
    <w:rsid w:val="41EE270A"/>
    <w:rsid w:val="45E76415"/>
    <w:rsid w:val="46603AD2"/>
    <w:rsid w:val="49687B95"/>
    <w:rsid w:val="49A44BED"/>
    <w:rsid w:val="4BCB7C3F"/>
    <w:rsid w:val="4E1F7FBC"/>
    <w:rsid w:val="4E974655"/>
    <w:rsid w:val="4FC275AB"/>
    <w:rsid w:val="50083210"/>
    <w:rsid w:val="51024103"/>
    <w:rsid w:val="51FC1024"/>
    <w:rsid w:val="522A084B"/>
    <w:rsid w:val="55144405"/>
    <w:rsid w:val="593B28A8"/>
    <w:rsid w:val="596F2552"/>
    <w:rsid w:val="5A897643"/>
    <w:rsid w:val="5B836EDA"/>
    <w:rsid w:val="5D16012C"/>
    <w:rsid w:val="6247504A"/>
    <w:rsid w:val="628E5F27"/>
    <w:rsid w:val="63FC70D8"/>
    <w:rsid w:val="64882719"/>
    <w:rsid w:val="6B97548F"/>
    <w:rsid w:val="6BFF7765"/>
    <w:rsid w:val="6EB07C61"/>
    <w:rsid w:val="6FB219DE"/>
    <w:rsid w:val="714A5429"/>
    <w:rsid w:val="726A74C5"/>
    <w:rsid w:val="7483192D"/>
    <w:rsid w:val="75E63744"/>
    <w:rsid w:val="7A6D61E2"/>
    <w:rsid w:val="7B1E74DC"/>
    <w:rsid w:val="7BD1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main-color1"/>
    <w:basedOn w:val="5"/>
    <w:qFormat/>
    <w:uiPriority w:val="0"/>
    <w:rPr>
      <w:color w:val="A4A4A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177</Words>
  <Characters>288</Characters>
  <Lines>31</Lines>
  <Paragraphs>8</Paragraphs>
  <TotalTime>10</TotalTime>
  <ScaleCrop>false</ScaleCrop>
  <LinksUpToDate>false</LinksUpToDate>
  <CharactersWithSpaces>413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2021-04-27T08:48:00Z</dcterms:created>
  <dc:creator>陈 宏艳</dc:creator>
  <cp:lastModifiedBy>唐晓云</cp:lastModifiedBy>
  <dcterms:modified xsi:type="dcterms:W3CDTF">2023-09-23T05:42:22Z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F3E088E950F4476FA70CDF6F5CE64161</vt:lpwstr>
  </property>
</Properties>
</file>