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25"/>
        </w:tabs>
        <w:spacing w:before="54"/>
        <w:ind w:left="25"/>
        <w:rPr>
          <w:rFonts w:ascii="微软雅黑" w:hAnsi="微软雅黑" w:eastAsia="微软雅黑" w:cs="微软雅黑"/>
          <w:b/>
          <w:bCs/>
          <w:sz w:val="26"/>
        </w:rPr>
      </w:pPr>
      <w:r>
        <w:rPr>
          <w:rFonts w:hint="eastAsia" w:ascii="微软雅黑" w:hAnsi="微软雅黑" w:eastAsia="微软雅黑" w:cs="微软雅黑"/>
          <w:b/>
          <w:bCs/>
        </w:rPr>
        <w:t>证券代码：600702</w:t>
      </w:r>
      <w:r>
        <w:rPr>
          <w:rFonts w:hint="eastAsia" w:ascii="微软雅黑" w:hAnsi="微软雅黑" w:eastAsia="微软雅黑" w:cs="微软雅黑"/>
          <w:b/>
          <w:bCs/>
        </w:rPr>
        <w:tab/>
      </w:r>
      <w:r>
        <w:rPr>
          <w:rFonts w:hint="eastAsia" w:ascii="微软雅黑" w:hAnsi="微软雅黑" w:eastAsia="微软雅黑" w:cs="微软雅黑"/>
          <w:b/>
          <w:bCs/>
        </w:rPr>
        <w:t xml:space="preserve">                                证券简称：</w:t>
      </w:r>
      <w:r>
        <w:rPr>
          <w:rFonts w:hint="eastAsia" w:ascii="微软雅黑" w:hAnsi="微软雅黑" w:eastAsia="微软雅黑" w:cs="微软雅黑"/>
          <w:b/>
          <w:bCs/>
          <w:lang w:eastAsia="zh-Hans"/>
        </w:rPr>
        <w:t>舍得酒业</w:t>
      </w:r>
    </w:p>
    <w:p>
      <w:pPr>
        <w:spacing w:line="360" w:lineRule="auto"/>
        <w:ind w:firstLine="560" w:firstLineChars="200"/>
        <w:jc w:val="center"/>
        <w:rPr>
          <w:rFonts w:ascii="微软雅黑" w:hAnsi="微软雅黑" w:eastAsia="微软雅黑"/>
          <w:b/>
          <w:sz w:val="28"/>
          <w:szCs w:val="28"/>
        </w:rPr>
      </w:pPr>
    </w:p>
    <w:p>
      <w:pPr>
        <w:spacing w:line="360" w:lineRule="auto"/>
        <w:jc w:val="center"/>
        <w:rPr>
          <w:rFonts w:ascii="宋体" w:hAnsi="宋体" w:eastAsia="微软雅黑" w:cs="宋体"/>
          <w:b/>
          <w:bCs/>
        </w:rPr>
      </w:pPr>
      <w:r>
        <w:rPr>
          <w:rFonts w:hint="eastAsia" w:ascii="微软雅黑" w:hAnsi="微软雅黑" w:eastAsia="微软雅黑"/>
          <w:b/>
          <w:sz w:val="32"/>
          <w:szCs w:val="32"/>
        </w:rPr>
        <w:t>舍得酒业</w:t>
      </w:r>
      <w:r>
        <w:rPr>
          <w:rFonts w:ascii="微软雅黑" w:hAnsi="微软雅黑" w:eastAsia="微软雅黑"/>
          <w:b/>
          <w:sz w:val="32"/>
          <w:szCs w:val="32"/>
        </w:rPr>
        <w:t>股份有限公司投资者关系活动记录表</w:t>
      </w:r>
    </w:p>
    <w:p>
      <w:pPr>
        <w:rPr>
          <w:rFonts w:ascii="宋体" w:hAnsi="宋体" w:eastAsia="宋体" w:cs="宋体"/>
        </w:rPr>
      </w:pPr>
    </w:p>
    <w:p>
      <w:pPr>
        <w:jc w:val="right"/>
        <w:rPr>
          <w:rFonts w:ascii="宋体" w:hAnsi="宋体" w:eastAsia="宋体" w:cs="宋体"/>
        </w:rPr>
      </w:pPr>
    </w:p>
    <w:p>
      <w:pPr>
        <w:jc w:val="right"/>
        <w:rPr>
          <w:rFonts w:hint="default" w:ascii="宋体" w:hAnsi="宋体" w:eastAsia="宋体" w:cs="宋体"/>
          <w:b/>
          <w:highlight w:val="yellow"/>
          <w:lang w:val="en-US" w:eastAsia="zh-CN"/>
        </w:rPr>
      </w:pPr>
      <w:r>
        <w:rPr>
          <w:rFonts w:hint="eastAsia" w:ascii="宋体" w:hAnsi="宋体" w:eastAsia="宋体" w:cs="宋体"/>
          <w:b/>
        </w:rPr>
        <w:t>编号：2</w:t>
      </w:r>
      <w:r>
        <w:rPr>
          <w:rFonts w:ascii="宋体" w:hAnsi="宋体" w:eastAsia="宋体" w:cs="宋体"/>
          <w:b/>
        </w:rPr>
        <w:t>02</w:t>
      </w:r>
      <w:r>
        <w:rPr>
          <w:rFonts w:hint="eastAsia" w:ascii="宋体" w:hAnsi="宋体" w:eastAsia="宋体" w:cs="宋体"/>
          <w:b/>
          <w:lang w:val="en-US" w:eastAsia="zh-CN"/>
        </w:rPr>
        <w:t>3</w:t>
      </w:r>
      <w:r>
        <w:rPr>
          <w:rFonts w:hint="eastAsia" w:ascii="宋体" w:hAnsi="宋体" w:eastAsia="宋体" w:cs="宋体"/>
          <w:b/>
        </w:rPr>
        <w:t>-</w:t>
      </w:r>
      <w:r>
        <w:rPr>
          <w:rFonts w:ascii="宋体" w:hAnsi="宋体" w:eastAsia="宋体" w:cs="宋体"/>
          <w:b/>
        </w:rPr>
        <w:t>0</w:t>
      </w:r>
      <w:r>
        <w:rPr>
          <w:rFonts w:hint="eastAsia" w:ascii="宋体" w:hAnsi="宋体" w:eastAsia="宋体" w:cs="宋体"/>
          <w:b/>
          <w:lang w:val="en-US" w:eastAsia="zh-CN"/>
        </w:rPr>
        <w:t>04</w:t>
      </w:r>
    </w:p>
    <w:tbl>
      <w:tblPr>
        <w:tblStyle w:val="7"/>
        <w:tblpPr w:leftFromText="180" w:rightFromText="180" w:vertAnchor="page" w:horzAnchor="page" w:tblpX="935" w:tblpY="4362"/>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8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spacing w:before="156" w:beforeLines="50" w:after="156" w:afterLines="50"/>
              <w:jc w:val="center"/>
              <w:rPr>
                <w:rFonts w:ascii="宋体" w:hAnsi="宋体" w:eastAsia="宋体" w:cs="宋体"/>
                <w:kern w:val="0"/>
                <w:sz w:val="24"/>
              </w:rPr>
            </w:pPr>
          </w:p>
          <w:p>
            <w:pPr>
              <w:spacing w:before="156" w:beforeLines="50" w:after="156" w:afterLines="50"/>
              <w:jc w:val="center"/>
              <w:rPr>
                <w:rFonts w:ascii="宋体" w:hAnsi="宋体" w:eastAsia="宋体" w:cs="宋体"/>
                <w:kern w:val="0"/>
                <w:sz w:val="24"/>
              </w:rPr>
            </w:pPr>
            <w:r>
              <w:rPr>
                <w:rFonts w:hint="eastAsia" w:ascii="宋体" w:hAnsi="宋体" w:eastAsia="宋体" w:cs="宋体"/>
                <w:kern w:val="0"/>
                <w:sz w:val="24"/>
              </w:rPr>
              <w:t>投资者关系</w:t>
            </w:r>
          </w:p>
          <w:p>
            <w:pPr>
              <w:spacing w:before="156" w:beforeLines="50" w:after="156" w:afterLines="50"/>
              <w:jc w:val="center"/>
              <w:rPr>
                <w:rFonts w:ascii="宋体" w:hAnsi="宋体" w:eastAsia="宋体" w:cs="宋体"/>
                <w:kern w:val="0"/>
                <w:sz w:val="24"/>
              </w:rPr>
            </w:pPr>
            <w:r>
              <w:rPr>
                <w:rFonts w:hint="eastAsia" w:ascii="宋体" w:hAnsi="宋体" w:eastAsia="宋体" w:cs="宋体"/>
                <w:kern w:val="0"/>
                <w:sz w:val="24"/>
              </w:rPr>
              <w:t>活动类别</w:t>
            </w:r>
          </w:p>
        </w:tc>
        <w:tc>
          <w:tcPr>
            <w:tcW w:w="8187" w:type="dxa"/>
          </w:tcPr>
          <w:p>
            <w:pPr>
              <w:spacing w:before="156" w:beforeLines="50" w:after="156" w:afterLines="50"/>
              <w:rPr>
                <w:rFonts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 特定对象调研                          </w:t>
            </w:r>
            <w:r>
              <w:rPr>
                <w:rFonts w:hint="eastAsia" w:ascii="宋体" w:hAnsi="宋体" w:eastAsia="宋体" w:cs="宋体"/>
                <w:kern w:val="0"/>
                <w:sz w:val="24"/>
              </w:rPr>
              <w:sym w:font="Wingdings 2" w:char="00A3"/>
            </w:r>
            <w:r>
              <w:rPr>
                <w:rFonts w:hint="eastAsia" w:ascii="宋体" w:hAnsi="宋体" w:eastAsia="宋体" w:cs="宋体"/>
                <w:kern w:val="0"/>
                <w:sz w:val="24"/>
              </w:rPr>
              <w:t xml:space="preserve"> 分析师会议</w:t>
            </w:r>
          </w:p>
          <w:p>
            <w:pPr>
              <w:spacing w:before="156" w:beforeLines="50" w:after="156" w:afterLines="50"/>
              <w:rPr>
                <w:rFonts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 现场参观                              </w:t>
            </w:r>
            <w:r>
              <w:rPr>
                <w:rFonts w:hint="eastAsia" w:ascii="宋体" w:hAnsi="宋体" w:eastAsia="宋体" w:cs="宋体"/>
                <w:kern w:val="0"/>
                <w:sz w:val="24"/>
              </w:rPr>
              <w:sym w:font="Wingdings 2" w:char="00A3"/>
            </w:r>
            <w:r>
              <w:rPr>
                <w:rFonts w:hint="eastAsia" w:ascii="宋体" w:hAnsi="宋体" w:eastAsia="宋体" w:cs="宋体"/>
                <w:kern w:val="0"/>
                <w:sz w:val="24"/>
              </w:rPr>
              <w:t xml:space="preserve"> 业绩说明会</w:t>
            </w:r>
          </w:p>
          <w:p>
            <w:pPr>
              <w:spacing w:before="156" w:beforeLines="50" w:after="156" w:afterLines="50"/>
              <w:rPr>
                <w:rFonts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 新闻发布会                            </w:t>
            </w:r>
            <w:r>
              <w:rPr>
                <w:rFonts w:hint="eastAsia" w:ascii="宋体" w:hAnsi="宋体" w:eastAsia="宋体" w:cs="宋体"/>
                <w:kern w:val="0"/>
                <w:sz w:val="24"/>
              </w:rPr>
              <w:sym w:font="Wingdings 2" w:char="0052"/>
            </w:r>
            <w:r>
              <w:rPr>
                <w:rFonts w:hint="eastAsia" w:ascii="宋体" w:hAnsi="宋体" w:eastAsia="宋体" w:cs="宋体"/>
                <w:kern w:val="0"/>
                <w:sz w:val="24"/>
              </w:rPr>
              <w:t xml:space="preserve"> 路演活动</w:t>
            </w:r>
          </w:p>
          <w:p>
            <w:pPr>
              <w:spacing w:before="156" w:beforeLines="50" w:after="156" w:afterLines="50"/>
              <w:rPr>
                <w:rFonts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 媒体来访                              </w:t>
            </w:r>
            <w:r>
              <w:rPr>
                <w:rFonts w:hint="eastAsia" w:ascii="宋体" w:hAnsi="宋体" w:eastAsia="宋体" w:cs="宋体"/>
                <w:kern w:val="0"/>
                <w:sz w:val="24"/>
              </w:rPr>
              <w:sym w:font="Wingdings 2" w:char="00A3"/>
            </w:r>
            <w:r>
              <w:rPr>
                <w:rFonts w:hint="eastAsia" w:ascii="宋体" w:hAnsi="宋体" w:eastAsia="宋体" w:cs="宋体"/>
                <w:kern w:val="0"/>
                <w:sz w:val="24"/>
              </w:rPr>
              <w:t>其他（视频+网络会议）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00" w:type="dxa"/>
            <w:vAlign w:val="center"/>
          </w:tcPr>
          <w:p>
            <w:pPr>
              <w:spacing w:before="156" w:beforeLines="50" w:after="156" w:afterLines="50" w:line="500" w:lineRule="exact"/>
              <w:jc w:val="center"/>
              <w:rPr>
                <w:rFonts w:hint="eastAsia" w:ascii="宋体" w:hAnsi="宋体" w:eastAsia="宋体" w:cs="宋体"/>
                <w:kern w:val="0"/>
                <w:sz w:val="24"/>
              </w:rPr>
            </w:pPr>
          </w:p>
          <w:p>
            <w:pPr>
              <w:spacing w:before="156" w:beforeLines="50" w:after="156" w:afterLines="50" w:line="500" w:lineRule="exact"/>
              <w:jc w:val="center"/>
              <w:rPr>
                <w:rFonts w:hint="eastAsia" w:ascii="宋体" w:hAnsi="宋体" w:eastAsia="宋体" w:cs="宋体"/>
                <w:kern w:val="0"/>
                <w:sz w:val="24"/>
              </w:rPr>
            </w:pPr>
          </w:p>
          <w:p>
            <w:pPr>
              <w:spacing w:before="156" w:beforeLines="50" w:after="156" w:afterLines="50" w:line="500" w:lineRule="exact"/>
              <w:jc w:val="center"/>
              <w:rPr>
                <w:rFonts w:hint="eastAsia" w:ascii="宋体" w:hAnsi="宋体" w:eastAsia="宋体" w:cs="宋体"/>
                <w:kern w:val="0"/>
                <w:sz w:val="24"/>
              </w:rPr>
            </w:pPr>
          </w:p>
          <w:p>
            <w:pPr>
              <w:spacing w:before="156" w:beforeLines="50" w:after="156" w:afterLines="50" w:line="500" w:lineRule="exact"/>
              <w:jc w:val="center"/>
              <w:rPr>
                <w:rFonts w:hint="eastAsia" w:ascii="宋体" w:hAnsi="宋体" w:eastAsia="宋体" w:cs="宋体"/>
                <w:kern w:val="0"/>
                <w:sz w:val="24"/>
              </w:rPr>
            </w:pPr>
          </w:p>
          <w:p>
            <w:pPr>
              <w:spacing w:before="156" w:beforeLines="50" w:after="156" w:afterLines="50" w:line="500" w:lineRule="exact"/>
              <w:jc w:val="center"/>
              <w:rPr>
                <w:rFonts w:ascii="宋体" w:hAnsi="宋体" w:eastAsia="宋体" w:cs="宋体"/>
                <w:kern w:val="0"/>
                <w:sz w:val="24"/>
              </w:rPr>
            </w:pPr>
            <w:r>
              <w:rPr>
                <w:rFonts w:hint="eastAsia" w:ascii="宋体" w:hAnsi="宋体" w:eastAsia="宋体" w:cs="宋体"/>
                <w:kern w:val="0"/>
                <w:sz w:val="24"/>
              </w:rPr>
              <w:t>参与单位名称及人员姓名</w:t>
            </w:r>
          </w:p>
        </w:tc>
        <w:tc>
          <w:tcPr>
            <w:tcW w:w="8187" w:type="dxa"/>
          </w:tcPr>
          <w:p>
            <w:pPr>
              <w:spacing w:before="156" w:beforeLines="50" w:after="156" w:afterLines="50" w:line="480" w:lineRule="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中信证券、中金公司、华泰证券、国泰君安证券、浙商证券、东北证券、长江证券、华鑫证券、德邦证券、光大证券、民生证券、海通资管、华创资管、兴证资管、中银资管、浙商自营、复星保德信、华安基金、信诚基金、平安理财、华富基金、华宝基金、安信自营、国鸣投资、石锋资产、淳厚基金、东海基金、泰信基金、西部利得基金、富安达基金、惠升基金、永盈基金、弘毅远方、东海资管、大朴资产、兴</w:t>
            </w:r>
            <w:bookmarkStart w:id="0" w:name="_GoBack"/>
            <w:bookmarkEnd w:id="0"/>
            <w:r>
              <w:rPr>
                <w:rFonts w:hint="eastAsia" w:ascii="宋体" w:hAnsi="宋体" w:eastAsia="宋体" w:cs="宋体"/>
                <w:kern w:val="0"/>
                <w:sz w:val="24"/>
                <w:lang w:val="en-US" w:eastAsia="zh-CN"/>
              </w:rPr>
              <w:t>证资管、建信保险投资、玖鹏资产、旌安投资、敦和资管、胤胜资产、大筝资管、准锦投资、鑫元基金、聚劲投资、友邦中国、国华人寿、Leader Asset、国华兴益、理成资产、和谐汇一、猛虎投资、烁石资本、Hao Capital、驼铃资产、上海曜川基金、恒识投资、同犇投资等分析师、机构投资者共计115人。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00" w:type="dxa"/>
          </w:tcPr>
          <w:p>
            <w:pPr>
              <w:spacing w:before="156" w:beforeLines="50" w:after="156" w:afterLines="50" w:line="500" w:lineRule="exact"/>
              <w:ind w:firstLine="240" w:firstLineChars="100"/>
              <w:jc w:val="center"/>
              <w:rPr>
                <w:rFonts w:ascii="宋体" w:hAnsi="宋体" w:eastAsia="宋体" w:cs="宋体"/>
                <w:kern w:val="0"/>
                <w:sz w:val="24"/>
              </w:rPr>
            </w:pPr>
            <w:r>
              <w:rPr>
                <w:rFonts w:hint="eastAsia" w:ascii="宋体" w:hAnsi="宋体" w:eastAsia="宋体" w:cs="宋体"/>
                <w:kern w:val="0"/>
                <w:sz w:val="24"/>
              </w:rPr>
              <w:t>时间</w:t>
            </w:r>
          </w:p>
        </w:tc>
        <w:tc>
          <w:tcPr>
            <w:tcW w:w="8187" w:type="dxa"/>
          </w:tcPr>
          <w:p>
            <w:pPr>
              <w:spacing w:before="156" w:beforeLines="50" w:after="156" w:afterLines="50" w:line="500" w:lineRule="exact"/>
              <w:jc w:val="left"/>
              <w:rPr>
                <w:rFonts w:hint="default" w:ascii="宋体" w:hAnsi="宋体" w:eastAsia="宋体" w:cs="宋体"/>
                <w:kern w:val="0"/>
                <w:sz w:val="24"/>
                <w:lang w:val="en-US"/>
              </w:rPr>
            </w:pPr>
            <w:r>
              <w:rPr>
                <w:rFonts w:hint="eastAsia" w:ascii="宋体" w:hAnsi="宋体" w:eastAsia="宋体" w:cs="宋体"/>
                <w:kern w:val="0"/>
                <w:sz w:val="24"/>
              </w:rPr>
              <w:t>202</w:t>
            </w:r>
            <w:r>
              <w:rPr>
                <w:rFonts w:hint="eastAsia" w:ascii="宋体" w:hAnsi="宋体" w:eastAsia="宋体" w:cs="宋体"/>
                <w:kern w:val="0"/>
                <w:sz w:val="24"/>
                <w:lang w:val="en-US" w:eastAsia="zh-CN"/>
              </w:rPr>
              <w:t>3</w:t>
            </w:r>
            <w:r>
              <w:rPr>
                <w:rFonts w:hint="eastAsia" w:ascii="宋体" w:hAnsi="宋体" w:eastAsia="宋体" w:cs="宋体"/>
                <w:kern w:val="0"/>
                <w:sz w:val="24"/>
              </w:rPr>
              <w:t>年</w:t>
            </w:r>
            <w:r>
              <w:rPr>
                <w:rFonts w:hint="eastAsia" w:ascii="宋体" w:hAnsi="宋体" w:eastAsia="宋体" w:cs="宋体"/>
                <w:kern w:val="0"/>
                <w:sz w:val="24"/>
                <w:lang w:val="en-US" w:eastAsia="zh-CN"/>
              </w:rPr>
              <w:t>9月25日下午14:30-16:00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000" w:type="dxa"/>
          </w:tcPr>
          <w:p>
            <w:pPr>
              <w:spacing w:before="156" w:beforeLines="50" w:after="156" w:afterLines="50" w:line="500" w:lineRule="exact"/>
              <w:ind w:firstLine="240" w:firstLineChars="100"/>
              <w:jc w:val="center"/>
              <w:rPr>
                <w:rFonts w:ascii="宋体" w:hAnsi="宋体" w:eastAsia="宋体" w:cs="宋体"/>
                <w:kern w:val="0"/>
                <w:sz w:val="24"/>
              </w:rPr>
            </w:pPr>
            <w:r>
              <w:rPr>
                <w:rFonts w:hint="eastAsia" w:ascii="宋体" w:hAnsi="宋体" w:eastAsia="宋体" w:cs="宋体"/>
                <w:kern w:val="0"/>
                <w:sz w:val="24"/>
              </w:rPr>
              <w:t>地点</w:t>
            </w:r>
          </w:p>
        </w:tc>
        <w:tc>
          <w:tcPr>
            <w:tcW w:w="8187" w:type="dxa"/>
          </w:tcPr>
          <w:p>
            <w:pPr>
              <w:spacing w:before="156" w:beforeLines="50" w:after="156" w:afterLines="50" w:line="500" w:lineRule="exac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上海外滩金融中心（BFC）39楼会议室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000" w:type="dxa"/>
            <w:vAlign w:val="center"/>
          </w:tcPr>
          <w:p>
            <w:pPr>
              <w:spacing w:before="156" w:beforeLines="50" w:after="156" w:afterLines="50" w:line="500" w:lineRule="exact"/>
              <w:jc w:val="center"/>
              <w:rPr>
                <w:rFonts w:ascii="宋体" w:hAnsi="宋体" w:eastAsia="宋体" w:cs="宋体"/>
                <w:kern w:val="0"/>
                <w:sz w:val="24"/>
              </w:rPr>
            </w:pPr>
            <w:r>
              <w:rPr>
                <w:rFonts w:hint="eastAsia" w:ascii="宋体" w:hAnsi="宋体" w:eastAsia="宋体" w:cs="宋体"/>
                <w:kern w:val="0"/>
                <w:sz w:val="24"/>
              </w:rPr>
              <w:t>上市公司接待</w:t>
            </w:r>
          </w:p>
          <w:p>
            <w:pPr>
              <w:spacing w:before="156" w:beforeLines="50" w:after="156" w:afterLines="50" w:line="500" w:lineRule="exact"/>
              <w:jc w:val="center"/>
              <w:rPr>
                <w:rFonts w:ascii="宋体" w:hAnsi="宋体" w:eastAsia="宋体" w:cs="宋体"/>
                <w:kern w:val="0"/>
                <w:sz w:val="24"/>
              </w:rPr>
            </w:pPr>
            <w:r>
              <w:rPr>
                <w:rFonts w:hint="eastAsia" w:ascii="宋体" w:hAnsi="宋体" w:eastAsia="宋体" w:cs="宋体"/>
                <w:kern w:val="0"/>
                <w:sz w:val="24"/>
              </w:rPr>
              <w:t>人员姓名</w:t>
            </w:r>
          </w:p>
        </w:tc>
        <w:tc>
          <w:tcPr>
            <w:tcW w:w="8187" w:type="dxa"/>
          </w:tcPr>
          <w:p>
            <w:pPr>
              <w:spacing w:before="312" w:beforeLines="100" w:after="156" w:afterLines="50" w:line="500" w:lineRule="exact"/>
              <w:rPr>
                <w:rFonts w:hint="eastAsia" w:ascii="宋体" w:hAnsi="宋体" w:eastAsia="宋体" w:cs="宋体"/>
                <w:kern w:val="0"/>
                <w:sz w:val="24"/>
              </w:rPr>
            </w:pPr>
            <w:r>
              <w:rPr>
                <w:rFonts w:hint="eastAsia" w:ascii="宋体" w:hAnsi="宋体" w:eastAsia="宋体" w:cs="宋体"/>
                <w:kern w:val="0"/>
                <w:sz w:val="24"/>
              </w:rPr>
              <w:t>董事会秘书：张伟先生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00" w:type="dxa"/>
            <w:vAlign w:val="center"/>
          </w:tcPr>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rPr>
                <w:rFonts w:ascii="宋体" w:hAnsi="宋体" w:eastAsia="宋体" w:cs="宋体"/>
                <w:kern w:val="0"/>
                <w:sz w:val="24"/>
              </w:rPr>
            </w:pPr>
          </w:p>
          <w:p>
            <w:pPr>
              <w:spacing w:line="500" w:lineRule="exact"/>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p>
          <w:p>
            <w:pPr>
              <w:spacing w:line="500" w:lineRule="exact"/>
              <w:jc w:val="center"/>
              <w:rPr>
                <w:rFonts w:ascii="宋体" w:hAnsi="宋体" w:eastAsia="宋体" w:cs="宋体"/>
                <w:kern w:val="0"/>
                <w:sz w:val="24"/>
              </w:rPr>
            </w:pPr>
            <w:r>
              <w:rPr>
                <w:rFonts w:hint="eastAsia" w:ascii="宋体" w:hAnsi="宋体" w:eastAsia="宋体" w:cs="宋体"/>
                <w:kern w:val="0"/>
                <w:sz w:val="24"/>
              </w:rPr>
              <w:t>投资者关系活动主要内容介绍</w:t>
            </w:r>
          </w:p>
        </w:tc>
        <w:tc>
          <w:tcPr>
            <w:tcW w:w="8187" w:type="dxa"/>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482" w:leftChars="0"/>
              <w:jc w:val="both"/>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一、</w:t>
            </w:r>
            <w:r>
              <w:rPr>
                <w:rFonts w:hint="eastAsia" w:ascii="宋体" w:hAnsi="宋体" w:eastAsia="宋体" w:cs="宋体"/>
                <w:b/>
                <w:bCs/>
                <w:kern w:val="0"/>
                <w:sz w:val="24"/>
              </w:rPr>
              <w:t>公司2</w:t>
            </w:r>
            <w:r>
              <w:rPr>
                <w:rFonts w:ascii="宋体" w:hAnsi="宋体" w:eastAsia="宋体" w:cs="宋体"/>
                <w:b/>
                <w:bCs/>
                <w:kern w:val="0"/>
                <w:sz w:val="24"/>
              </w:rPr>
              <w:t>02</w:t>
            </w:r>
            <w:r>
              <w:rPr>
                <w:rFonts w:hint="eastAsia" w:ascii="宋体" w:hAnsi="宋体" w:eastAsia="宋体" w:cs="宋体"/>
                <w:b/>
                <w:bCs/>
                <w:kern w:val="0"/>
                <w:sz w:val="24"/>
                <w:lang w:val="en-US" w:eastAsia="zh-CN"/>
              </w:rPr>
              <w:t>3</w:t>
            </w:r>
            <w:r>
              <w:rPr>
                <w:rFonts w:hint="eastAsia" w:ascii="宋体" w:hAnsi="宋体" w:eastAsia="宋体" w:cs="宋体"/>
                <w:b/>
                <w:bCs/>
                <w:kern w:val="0"/>
                <w:sz w:val="24"/>
              </w:rPr>
              <w:t>年</w:t>
            </w:r>
            <w:r>
              <w:rPr>
                <w:rFonts w:hint="eastAsia" w:ascii="宋体" w:hAnsi="宋体" w:eastAsia="宋体" w:cs="宋体"/>
                <w:b/>
                <w:bCs/>
                <w:kern w:val="0"/>
                <w:sz w:val="24"/>
                <w:lang w:val="en-US" w:eastAsia="zh-CN"/>
              </w:rPr>
              <w:t>半年度经营情况及增长原因介绍</w:t>
            </w:r>
          </w:p>
          <w:p>
            <w:pPr>
              <w:pStyle w:val="12"/>
              <w:keepNext w:val="0"/>
              <w:keepLines w:val="0"/>
              <w:pageBreakBefore w:val="0"/>
              <w:widowControl w:val="0"/>
              <w:kinsoku/>
              <w:wordWrap/>
              <w:overflowPunct/>
              <w:topLinePunct w:val="0"/>
              <w:autoSpaceDE/>
              <w:autoSpaceDN/>
              <w:bidi w:val="0"/>
              <w:spacing w:line="560" w:lineRule="exact"/>
              <w:ind w:firstLine="48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公司2023年上半年实现营业收入35.29亿元，同比增长16.64%；实现营业利润12.14亿元，同比增长7.65%；实现归属于上市公司股东的净利润9.20亿元，同比增长10.07%。其中酒类产品实现营业收入32.71亿元，同比增长15.95%。在酒类产品中，中高档酒实现营业收入27.57亿元，同比增长14.61%；普通酒实现营业收入5.13亿元，同比增长23.75%。</w:t>
            </w:r>
          </w:p>
          <w:p>
            <w:pPr>
              <w:spacing w:line="560" w:lineRule="exact"/>
              <w:ind w:firstLine="480" w:firstLineChars="200"/>
              <w:jc w:val="both"/>
              <w:rPr>
                <w:rFonts w:hint="default" w:ascii="宋体" w:hAnsi="宋体" w:eastAsia="宋体" w:cs="宋体"/>
                <w:sz w:val="24"/>
                <w:lang w:val="en-US" w:eastAsia="zh-CN"/>
              </w:rPr>
            </w:pPr>
            <w:r>
              <w:rPr>
                <w:rFonts w:hint="eastAsia" w:ascii="宋体" w:hAnsi="宋体" w:eastAsia="宋体" w:cs="宋体"/>
                <w:bCs w:val="0"/>
                <w:kern w:val="2"/>
                <w:sz w:val="24"/>
                <w:szCs w:val="24"/>
                <w:lang w:val="en-US" w:eastAsia="zh-CN"/>
              </w:rPr>
              <w:t>公司坚持“老酒、多品牌矩阵、年轻化、国际化”战略，实施老酒“3+6+4”营销策略，秉承“稳价格、强动销、控库存”的核心原则，全面开展老酒馆、老酒盛宴、舍得·智慧之旅、沱牌潮in美好夜、沱牌特级餐饮免费品鉴等消费者体验项目，</w:t>
            </w:r>
            <w:r>
              <w:rPr>
                <w:rFonts w:hint="eastAsia" w:ascii="宋体" w:hAnsi="宋体" w:eastAsia="宋体" w:cs="宋体"/>
                <w:sz w:val="24"/>
                <w:lang w:val="en-US" w:eastAsia="zh-CN"/>
              </w:rPr>
              <w:t>从而实现经营业绩的稳步增长。</w:t>
            </w:r>
          </w:p>
          <w:p>
            <w:pPr>
              <w:pStyle w:val="12"/>
              <w:spacing w:after="156" w:afterLines="50" w:line="560" w:lineRule="exact"/>
              <w:jc w:val="both"/>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二、交流互动</w:t>
            </w:r>
          </w:p>
          <w:p>
            <w:pPr>
              <w:pStyle w:val="13"/>
              <w:pageBreakBefore w:val="0"/>
              <w:widowControl w:val="0"/>
              <w:numPr>
                <w:ilvl w:val="0"/>
                <w:numId w:val="1"/>
              </w:numPr>
              <w:kinsoku/>
              <w:wordWrap/>
              <w:overflowPunct/>
              <w:topLinePunct w:val="0"/>
              <w:autoSpaceDE/>
              <w:autoSpaceDN/>
              <w:bidi w:val="0"/>
              <w:adjustRightInd w:val="0"/>
              <w:snapToGrid w:val="0"/>
              <w:spacing w:line="560" w:lineRule="exact"/>
              <w:ind w:left="482" w:leftChars="0" w:firstLine="0" w:firstLineChars="0"/>
              <w:jc w:val="both"/>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公司如何深化品牌建设，进一步提升品牌影响力？</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答：公司坚持品牌长期性发展的同时，以赋能营销为导向建设品牌，努力实现品效合一。舍得品牌全</w:t>
            </w:r>
            <w:r>
              <w:rPr>
                <w:rFonts w:hint="default" w:ascii="宋体" w:hAnsi="宋体" w:eastAsia="宋体" w:cs="宋体"/>
                <w:bCs w:val="0"/>
                <w:kern w:val="0"/>
                <w:sz w:val="24"/>
                <w:szCs w:val="24"/>
                <w:lang w:val="en-US" w:eastAsia="zh-CN"/>
              </w:rPr>
              <w:t>方位赋能市场建设，尝试生态融通，以更整合、更灵活的方式，延续与深化“品质</w:t>
            </w:r>
            <w:r>
              <w:rPr>
                <w:rFonts w:hint="eastAsia" w:ascii="宋体" w:hAnsi="宋体" w:eastAsia="宋体" w:cs="宋体"/>
                <w:bCs w:val="0"/>
                <w:kern w:val="0"/>
                <w:sz w:val="24"/>
                <w:szCs w:val="24"/>
                <w:lang w:val="en-US" w:eastAsia="zh-CN"/>
              </w:rPr>
              <w:t>+</w:t>
            </w:r>
            <w:r>
              <w:rPr>
                <w:rFonts w:hint="default" w:ascii="宋体" w:hAnsi="宋体" w:eastAsia="宋体" w:cs="宋体"/>
                <w:bCs w:val="0"/>
                <w:kern w:val="0"/>
                <w:sz w:val="24"/>
                <w:szCs w:val="24"/>
                <w:lang w:val="en-US" w:eastAsia="zh-CN"/>
              </w:rPr>
              <w:t>文化”的两大品牌护城河，深度融合东方生活美学，与消费者建立价值共鸣；沱牌品牌关注消费者与市场情况，在沱牌策略升级、品质爆点打造、生动的内容输出、深度情感沟通中，确保品牌策略的精准和有效、品牌执行的品质与成效。通过舍得智慧人物、舍得老酒盛宴、沱牌曲酒故事荟、沱牌潮in美好夜等品牌IP的建设，以及央视、各大网络平台、高铁、户外、头条、抖音等传媒手段，持续提升品牌影响力，形成了品牌与销量双丰收的良好发展态势</w:t>
            </w:r>
            <w:r>
              <w:rPr>
                <w:rFonts w:hint="eastAsia" w:ascii="宋体" w:hAnsi="宋体" w:eastAsia="宋体" w:cs="宋体"/>
                <w:bCs w:val="0"/>
                <w:kern w:val="0"/>
                <w:sz w:val="24"/>
                <w:szCs w:val="24"/>
                <w:lang w:val="en-US" w:eastAsia="zh-CN"/>
              </w:rPr>
              <w:t>。</w:t>
            </w:r>
          </w:p>
          <w:p>
            <w:pPr>
              <w:pStyle w:val="13"/>
              <w:pageBreakBefore w:val="0"/>
              <w:widowControl w:val="0"/>
              <w:numPr>
                <w:ilvl w:val="0"/>
                <w:numId w:val="1"/>
              </w:numPr>
              <w:kinsoku/>
              <w:wordWrap/>
              <w:overflowPunct/>
              <w:topLinePunct w:val="0"/>
              <w:autoSpaceDE/>
              <w:autoSpaceDN/>
              <w:bidi w:val="0"/>
              <w:adjustRightInd w:val="0"/>
              <w:snapToGrid w:val="0"/>
              <w:spacing w:line="560" w:lineRule="exact"/>
              <w:ind w:left="482" w:leftChars="0" w:firstLine="0" w:firstLineChars="0"/>
              <w:jc w:val="both"/>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公司经销商管理体系的介绍？</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bCs w:val="0"/>
                <w:kern w:val="0"/>
                <w:sz w:val="24"/>
                <w:szCs w:val="24"/>
                <w:lang w:val="en-US" w:eastAsia="zh-CN"/>
              </w:rPr>
              <w:t>答：公司构建了以地县级、分品牌代理商为主的经销体系，现有经销商数千家，扁平化的代理模式有利于服务下沉及降低渠道成本。公司搭建了经销商服务的信息管理平台，实现了从经销商到终端渠道的全渠道管理，有效实现渠道掌控和实施精细化营销。</w:t>
            </w:r>
          </w:p>
          <w:p>
            <w:pPr>
              <w:pStyle w:val="13"/>
              <w:pageBreakBefore w:val="0"/>
              <w:widowControl w:val="0"/>
              <w:numPr>
                <w:ilvl w:val="0"/>
                <w:numId w:val="1"/>
              </w:numPr>
              <w:kinsoku/>
              <w:wordWrap/>
              <w:overflowPunct/>
              <w:topLinePunct w:val="0"/>
              <w:autoSpaceDE/>
              <w:autoSpaceDN/>
              <w:bidi w:val="0"/>
              <w:adjustRightInd w:val="0"/>
              <w:snapToGrid w:val="0"/>
              <w:spacing w:line="560" w:lineRule="exact"/>
              <w:ind w:left="482" w:leftChars="0" w:firstLine="0" w:firstLineChars="0"/>
              <w:jc w:val="both"/>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公司开展员工持股计划的原因介绍？</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答：公司开展员工持股计划的目的为鼓励核心员工自愿自主地参与并分享企业的长期利益，以促进公司长远发展。同时，公司围绕战略目标和经营计划设置有严格的员工绩效考核要求，员工利益与公司利益具有充分的一致性，有利于推动公司战略目标的实现。</w:t>
            </w:r>
          </w:p>
          <w:p>
            <w:pPr>
              <w:pStyle w:val="12"/>
              <w:numPr>
                <w:ilvl w:val="0"/>
                <w:numId w:val="1"/>
              </w:numPr>
              <w:spacing w:line="560" w:lineRule="exact"/>
              <w:ind w:left="482" w:leftChars="0" w:firstLine="0" w:firstLineChars="0"/>
              <w:jc w:val="both"/>
              <w:rPr>
                <w:rFonts w:hint="eastAsia" w:ascii="宋体" w:hAnsi="宋体" w:eastAsia="宋体" w:cs="宋体"/>
                <w:b/>
                <w:bCs/>
                <w:kern w:val="0"/>
                <w:sz w:val="24"/>
                <w:lang w:val="en-US" w:eastAsia="zh-CN"/>
              </w:rPr>
            </w:pPr>
            <w:r>
              <w:rPr>
                <w:rFonts w:hint="eastAsia" w:ascii="宋体" w:hAnsi="宋体" w:eastAsia="宋体" w:cs="宋体"/>
                <w:b/>
                <w:bCs/>
                <w:kern w:val="0"/>
                <w:sz w:val="24"/>
                <w:szCs w:val="24"/>
                <w:lang w:val="en-US" w:eastAsia="zh-CN"/>
              </w:rPr>
              <w:t>公司针对核心产品如何形成梯度化市场建设？</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答：</w:t>
            </w:r>
            <w:r>
              <w:rPr>
                <w:rFonts w:hint="default" w:ascii="宋体" w:hAnsi="宋体" w:eastAsia="宋体" w:cs="宋体"/>
                <w:bCs w:val="0"/>
                <w:kern w:val="0"/>
                <w:sz w:val="24"/>
                <w:szCs w:val="24"/>
                <w:lang w:val="en-US" w:eastAsia="zh-CN"/>
              </w:rPr>
              <w:t>公司</w:t>
            </w:r>
            <w:r>
              <w:rPr>
                <w:rFonts w:hint="eastAsia" w:ascii="宋体" w:hAnsi="宋体" w:eastAsia="宋体" w:cs="宋体"/>
                <w:bCs w:val="0"/>
                <w:kern w:val="0"/>
                <w:sz w:val="24"/>
                <w:szCs w:val="24"/>
                <w:lang w:val="en-US" w:eastAsia="zh-CN"/>
              </w:rPr>
              <w:t>坚定执行</w:t>
            </w:r>
            <w:r>
              <w:rPr>
                <w:rFonts w:hint="default" w:ascii="宋体" w:hAnsi="宋体" w:eastAsia="宋体" w:cs="宋体"/>
                <w:bCs w:val="0"/>
                <w:kern w:val="0"/>
                <w:sz w:val="24"/>
                <w:szCs w:val="24"/>
                <w:lang w:val="en-US" w:eastAsia="zh-CN"/>
              </w:rPr>
              <w:t>“战役聚过程，破圈创爆品”的指导思想，针对</w:t>
            </w:r>
            <w:r>
              <w:rPr>
                <w:rFonts w:hint="eastAsia" w:ascii="宋体" w:hAnsi="宋体" w:eastAsia="宋体" w:cs="宋体"/>
                <w:bCs w:val="0"/>
                <w:kern w:val="0"/>
                <w:sz w:val="24"/>
                <w:szCs w:val="24"/>
                <w:lang w:val="en-US" w:eastAsia="zh-CN"/>
              </w:rPr>
              <w:t>核心产品</w:t>
            </w:r>
            <w:r>
              <w:rPr>
                <w:rFonts w:hint="default" w:ascii="宋体" w:hAnsi="宋体" w:eastAsia="宋体" w:cs="宋体"/>
                <w:bCs w:val="0"/>
                <w:kern w:val="0"/>
                <w:sz w:val="24"/>
                <w:szCs w:val="24"/>
                <w:lang w:val="en-US" w:eastAsia="zh-CN"/>
              </w:rPr>
              <w:t>分别确定全国重点市场</w:t>
            </w:r>
            <w:r>
              <w:rPr>
                <w:rFonts w:hint="eastAsia" w:ascii="宋体" w:hAnsi="宋体" w:eastAsia="宋体" w:cs="宋体"/>
                <w:bCs w:val="0"/>
                <w:kern w:val="0"/>
                <w:sz w:val="24"/>
                <w:szCs w:val="24"/>
                <w:lang w:val="en-US" w:eastAsia="zh-CN"/>
              </w:rPr>
              <w:t>。公司针对不同品牌，将市场以城市为单元划分为“重点、发展、潜力”三类，聚焦重点市场，培育发展市场，布局潜力市场，从而形成针对不同品牌的梯度化市场建设。</w:t>
            </w:r>
          </w:p>
          <w:p>
            <w:pPr>
              <w:pStyle w:val="12"/>
              <w:numPr>
                <w:ilvl w:val="0"/>
                <w:numId w:val="1"/>
              </w:numPr>
              <w:spacing w:line="560" w:lineRule="exact"/>
              <w:ind w:left="482" w:leftChars="0" w:firstLine="0" w:firstLineChars="0"/>
              <w:jc w:val="both"/>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公司藏品舍得10年的产品定位及最新进展情况介绍？</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答：公司藏品舍得10年已在全国十余个城市陆续上市，并召开了上市发布会，产品包装及品质深受消费者喜欢。藏品舍得10年是公司布局千元价位的战略级产品，高端酒的打造需要坚定信心，长期坚持，锲而不舍，必有所得。</w:t>
            </w:r>
          </w:p>
          <w:p>
            <w:pPr>
              <w:pStyle w:val="12"/>
              <w:numPr>
                <w:ilvl w:val="0"/>
                <w:numId w:val="1"/>
              </w:numPr>
              <w:spacing w:line="560" w:lineRule="exact"/>
              <w:ind w:left="482" w:leftChars="0" w:firstLine="0" w:firstLineChars="0"/>
              <w:jc w:val="both"/>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公司第四季度在招商方面有什么规划？</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答：公司根据各个品牌的市场情况进行招商布局规划，在有序做好产品招商布局的同时，还要大力做好新经销商的培育工作。</w:t>
            </w:r>
          </w:p>
          <w:p>
            <w:pPr>
              <w:pStyle w:val="12"/>
              <w:numPr>
                <w:ilvl w:val="0"/>
                <w:numId w:val="1"/>
              </w:numPr>
              <w:spacing w:line="560" w:lineRule="exact"/>
              <w:ind w:left="482" w:leftChars="0" w:firstLine="0" w:firstLineChars="0"/>
              <w:jc w:val="both"/>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公司中秋、国庆双节的营销举措？</w:t>
            </w:r>
          </w:p>
          <w:p>
            <w:pPr>
              <w:pStyle w:val="13"/>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答：公司积极备战中秋、国庆双节营销，召集销售骨干人员启动“中秋、国庆战役”，在全国多个核心城市的动车站、机场及各大商圈进行了广泛的品牌宣传，对双节促销工作进行了详细的部署和安排。</w:t>
            </w:r>
          </w:p>
          <w:p>
            <w:pPr>
              <w:pStyle w:val="12"/>
              <w:numPr>
                <w:ilvl w:val="0"/>
                <w:numId w:val="1"/>
              </w:numPr>
              <w:spacing w:line="560" w:lineRule="exact"/>
              <w:ind w:left="482" w:leftChars="0" w:firstLine="0" w:firstLineChars="0"/>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公司近期终端动销表现如何？</w:t>
            </w:r>
          </w:p>
          <w:p>
            <w:pPr>
              <w:pStyle w:val="13"/>
              <w:adjustRightInd w:val="0"/>
              <w:snapToGrid w:val="0"/>
              <w:spacing w:line="560" w:lineRule="exact"/>
              <w:ind w:firstLine="480" w:firstLineChars="20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答：公司</w:t>
            </w:r>
            <w:r>
              <w:rPr>
                <w:rFonts w:ascii="宋体" w:hAnsi="宋体" w:eastAsia="宋体" w:cs="宋体"/>
                <w:kern w:val="0"/>
                <w:sz w:val="24"/>
              </w:rPr>
              <w:t>坚持“稳价格、控库存、强动销”核心原则，强化过程管理，强化市场基础动作，通过宴席营销、团购会销等方式推动终端动销</w:t>
            </w:r>
            <w:r>
              <w:rPr>
                <w:rFonts w:hint="eastAsia" w:ascii="宋体" w:hAnsi="宋体" w:eastAsia="宋体" w:cs="宋体"/>
                <w:kern w:val="0"/>
                <w:sz w:val="24"/>
                <w:szCs w:val="24"/>
                <w:lang w:val="en-US" w:eastAsia="zh-CN" w:bidi="ar-SA"/>
              </w:rPr>
              <w:t>，公司近期</w:t>
            </w:r>
            <w:r>
              <w:rPr>
                <w:rFonts w:hint="default" w:ascii="宋体" w:hAnsi="宋体" w:eastAsia="宋体" w:cs="宋体"/>
                <w:kern w:val="0"/>
                <w:sz w:val="24"/>
                <w:szCs w:val="24"/>
                <w:lang w:val="en-US" w:eastAsia="zh-CN" w:bidi="ar-SA"/>
              </w:rPr>
              <w:t>动销</w:t>
            </w:r>
            <w:r>
              <w:rPr>
                <w:rFonts w:hint="eastAsia" w:ascii="宋体" w:hAnsi="宋体" w:eastAsia="宋体" w:cs="宋体"/>
                <w:kern w:val="0"/>
                <w:sz w:val="24"/>
                <w:szCs w:val="24"/>
                <w:lang w:val="en-US" w:eastAsia="zh-CN" w:bidi="ar-SA"/>
              </w:rPr>
              <w:t>表现</w:t>
            </w:r>
            <w:r>
              <w:rPr>
                <w:rFonts w:hint="default" w:ascii="宋体" w:hAnsi="宋体" w:eastAsia="宋体" w:cs="宋体"/>
                <w:kern w:val="0"/>
                <w:sz w:val="24"/>
                <w:szCs w:val="24"/>
                <w:lang w:val="en-US" w:eastAsia="zh-CN" w:bidi="ar-SA"/>
              </w:rPr>
              <w:t>良</w:t>
            </w:r>
            <w:r>
              <w:rPr>
                <w:rFonts w:hint="eastAsia" w:ascii="宋体" w:hAnsi="宋体" w:eastAsia="宋体" w:cs="宋体"/>
                <w:kern w:val="0"/>
                <w:sz w:val="24"/>
                <w:szCs w:val="24"/>
                <w:lang w:val="en-US" w:eastAsia="zh-CN" w:bidi="ar-SA"/>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00" w:type="dxa"/>
          </w:tcPr>
          <w:p>
            <w:pPr>
              <w:spacing w:before="156" w:beforeLines="50" w:after="156" w:afterLines="50" w:line="500" w:lineRule="exact"/>
              <w:jc w:val="center"/>
              <w:rPr>
                <w:rFonts w:ascii="宋体" w:hAnsi="宋体" w:eastAsia="宋体" w:cs="宋体"/>
                <w:kern w:val="0"/>
                <w:sz w:val="24"/>
              </w:rPr>
            </w:pPr>
            <w:r>
              <w:rPr>
                <w:rFonts w:hint="eastAsia" w:ascii="宋体" w:hAnsi="宋体" w:eastAsia="宋体" w:cs="宋体"/>
                <w:kern w:val="0"/>
                <w:sz w:val="24"/>
              </w:rPr>
              <w:t>附件清单</w:t>
            </w:r>
          </w:p>
        </w:tc>
        <w:tc>
          <w:tcPr>
            <w:tcW w:w="8187" w:type="dxa"/>
          </w:tcPr>
          <w:p>
            <w:pPr>
              <w:spacing w:before="156" w:beforeLines="50" w:after="156" w:afterLines="50" w:line="500" w:lineRule="exact"/>
              <w:ind w:firstLine="480" w:firstLineChars="200"/>
              <w:rPr>
                <w:rFonts w:ascii="宋体" w:hAnsi="宋体" w:eastAsia="宋体" w:cs="宋体"/>
                <w:kern w:val="0"/>
                <w:sz w:val="24"/>
              </w:rPr>
            </w:pPr>
            <w:r>
              <w:rPr>
                <w:rFonts w:hint="eastAsia" w:ascii="宋体" w:hAnsi="宋体" w:eastAsia="宋体" w:cs="宋体"/>
                <w:kern w:val="0"/>
                <w:sz w:val="24"/>
              </w:rPr>
              <w:t>无</w:t>
            </w:r>
          </w:p>
        </w:tc>
      </w:tr>
    </w:tbl>
    <w:p>
      <w:pPr>
        <w:tabs>
          <w:tab w:val="left" w:pos="2050"/>
        </w:tabs>
        <w:ind w:right="211"/>
        <w:jc w:val="left"/>
        <w:rPr>
          <w:rFonts w:ascii="Calibri" w:eastAsia="宋体"/>
        </w:rPr>
      </w:pPr>
    </w:p>
    <w:p/>
    <w:sectPr>
      <w:pgSz w:w="11906" w:h="16838"/>
      <w:pgMar w:top="1383" w:right="896" w:bottom="1440" w:left="89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D482"/>
    <w:multiLevelType w:val="singleLevel"/>
    <w:tmpl w:val="81DBD482"/>
    <w:lvl w:ilvl="0" w:tentative="0">
      <w:start w:val="1"/>
      <w:numFmt w:val="decimal"/>
      <w:suff w:val="space"/>
      <w:lvlText w:val="%1."/>
      <w:lvlJc w:val="left"/>
      <w:pPr>
        <w:tabs>
          <w:tab w:val="left" w:pos="0"/>
        </w:tabs>
        <w:ind w:left="482" w:left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jYjRkOThmN2FmNDhhN2UzM2ExMzUyODg5MDQ3ZjgifQ=="/>
  </w:docVars>
  <w:rsids>
    <w:rsidRoot w:val="00A7577B"/>
    <w:rsid w:val="00044083"/>
    <w:rsid w:val="000721B5"/>
    <w:rsid w:val="000863AD"/>
    <w:rsid w:val="000B1C8A"/>
    <w:rsid w:val="000D49B7"/>
    <w:rsid w:val="000E3C94"/>
    <w:rsid w:val="000F442B"/>
    <w:rsid w:val="00101B87"/>
    <w:rsid w:val="0011251C"/>
    <w:rsid w:val="001276AF"/>
    <w:rsid w:val="00130FB5"/>
    <w:rsid w:val="0014379A"/>
    <w:rsid w:val="001514B6"/>
    <w:rsid w:val="001516EF"/>
    <w:rsid w:val="00170F23"/>
    <w:rsid w:val="001C75E0"/>
    <w:rsid w:val="001D5368"/>
    <w:rsid w:val="001E00D5"/>
    <w:rsid w:val="001E11E2"/>
    <w:rsid w:val="001F31B2"/>
    <w:rsid w:val="0022724E"/>
    <w:rsid w:val="002340C0"/>
    <w:rsid w:val="0025166A"/>
    <w:rsid w:val="00275918"/>
    <w:rsid w:val="002A103F"/>
    <w:rsid w:val="002E5DEA"/>
    <w:rsid w:val="003009E5"/>
    <w:rsid w:val="00324167"/>
    <w:rsid w:val="00333620"/>
    <w:rsid w:val="00333DC2"/>
    <w:rsid w:val="00336579"/>
    <w:rsid w:val="00343214"/>
    <w:rsid w:val="003662BC"/>
    <w:rsid w:val="003730E7"/>
    <w:rsid w:val="003743FF"/>
    <w:rsid w:val="003A12B9"/>
    <w:rsid w:val="003F4CDF"/>
    <w:rsid w:val="00402ED0"/>
    <w:rsid w:val="00423D29"/>
    <w:rsid w:val="00432B43"/>
    <w:rsid w:val="004549D8"/>
    <w:rsid w:val="00470C41"/>
    <w:rsid w:val="00471331"/>
    <w:rsid w:val="004B6BD4"/>
    <w:rsid w:val="004D2B3B"/>
    <w:rsid w:val="00532F85"/>
    <w:rsid w:val="005374F1"/>
    <w:rsid w:val="005622DB"/>
    <w:rsid w:val="00594782"/>
    <w:rsid w:val="005B6804"/>
    <w:rsid w:val="005C05E1"/>
    <w:rsid w:val="005D7FA6"/>
    <w:rsid w:val="005E4A55"/>
    <w:rsid w:val="006540A6"/>
    <w:rsid w:val="00657341"/>
    <w:rsid w:val="00660990"/>
    <w:rsid w:val="0066180C"/>
    <w:rsid w:val="00683553"/>
    <w:rsid w:val="0068581F"/>
    <w:rsid w:val="00691EEE"/>
    <w:rsid w:val="006A3919"/>
    <w:rsid w:val="006D0BF5"/>
    <w:rsid w:val="006F5389"/>
    <w:rsid w:val="006F764D"/>
    <w:rsid w:val="00701804"/>
    <w:rsid w:val="007023BD"/>
    <w:rsid w:val="00710CF3"/>
    <w:rsid w:val="00751C3D"/>
    <w:rsid w:val="0077694A"/>
    <w:rsid w:val="0079303A"/>
    <w:rsid w:val="007931DC"/>
    <w:rsid w:val="007A2CCE"/>
    <w:rsid w:val="007E497B"/>
    <w:rsid w:val="007F4E23"/>
    <w:rsid w:val="00814F2E"/>
    <w:rsid w:val="00816279"/>
    <w:rsid w:val="00847DE1"/>
    <w:rsid w:val="00857905"/>
    <w:rsid w:val="00864ED2"/>
    <w:rsid w:val="008A25F6"/>
    <w:rsid w:val="008B35DE"/>
    <w:rsid w:val="0090591A"/>
    <w:rsid w:val="0091308E"/>
    <w:rsid w:val="00953FB6"/>
    <w:rsid w:val="0098758C"/>
    <w:rsid w:val="009A1C04"/>
    <w:rsid w:val="009C1732"/>
    <w:rsid w:val="009E5413"/>
    <w:rsid w:val="009F4BCF"/>
    <w:rsid w:val="00A442E5"/>
    <w:rsid w:val="00A45182"/>
    <w:rsid w:val="00A70498"/>
    <w:rsid w:val="00A7577B"/>
    <w:rsid w:val="00A918FC"/>
    <w:rsid w:val="00AB73F6"/>
    <w:rsid w:val="00AC791B"/>
    <w:rsid w:val="00AD6B22"/>
    <w:rsid w:val="00AD7281"/>
    <w:rsid w:val="00AF55DB"/>
    <w:rsid w:val="00B01A46"/>
    <w:rsid w:val="00B02E4B"/>
    <w:rsid w:val="00B16BDC"/>
    <w:rsid w:val="00B40CE7"/>
    <w:rsid w:val="00B425A9"/>
    <w:rsid w:val="00B43A5D"/>
    <w:rsid w:val="00B46520"/>
    <w:rsid w:val="00B74910"/>
    <w:rsid w:val="00B767E9"/>
    <w:rsid w:val="00B95B4A"/>
    <w:rsid w:val="00BA7198"/>
    <w:rsid w:val="00BB5F0F"/>
    <w:rsid w:val="00BC2EEE"/>
    <w:rsid w:val="00BC733F"/>
    <w:rsid w:val="00BE14F3"/>
    <w:rsid w:val="00BE6D03"/>
    <w:rsid w:val="00C0287C"/>
    <w:rsid w:val="00C476AE"/>
    <w:rsid w:val="00C83BE1"/>
    <w:rsid w:val="00C90922"/>
    <w:rsid w:val="00CA6CF0"/>
    <w:rsid w:val="00CD0FE3"/>
    <w:rsid w:val="00CD4270"/>
    <w:rsid w:val="00CE1C09"/>
    <w:rsid w:val="00CF2D0E"/>
    <w:rsid w:val="00D123A4"/>
    <w:rsid w:val="00D169D1"/>
    <w:rsid w:val="00D55509"/>
    <w:rsid w:val="00D677F0"/>
    <w:rsid w:val="00D8189B"/>
    <w:rsid w:val="00D94583"/>
    <w:rsid w:val="00D97D0C"/>
    <w:rsid w:val="00DE2B14"/>
    <w:rsid w:val="00DE4659"/>
    <w:rsid w:val="00DF1907"/>
    <w:rsid w:val="00E02415"/>
    <w:rsid w:val="00E50000"/>
    <w:rsid w:val="00E63ABF"/>
    <w:rsid w:val="00E74C3C"/>
    <w:rsid w:val="00EC7F85"/>
    <w:rsid w:val="00EF736C"/>
    <w:rsid w:val="00F00499"/>
    <w:rsid w:val="00F117AA"/>
    <w:rsid w:val="00F22C7F"/>
    <w:rsid w:val="00F30C6F"/>
    <w:rsid w:val="00F449E0"/>
    <w:rsid w:val="00FA31C5"/>
    <w:rsid w:val="00FB4E56"/>
    <w:rsid w:val="00FD5B6F"/>
    <w:rsid w:val="022B4A7D"/>
    <w:rsid w:val="03CF3565"/>
    <w:rsid w:val="045B1542"/>
    <w:rsid w:val="04D65D34"/>
    <w:rsid w:val="04E01B31"/>
    <w:rsid w:val="052264E5"/>
    <w:rsid w:val="05D07816"/>
    <w:rsid w:val="069057EF"/>
    <w:rsid w:val="06B30DD0"/>
    <w:rsid w:val="09120680"/>
    <w:rsid w:val="0C5D7857"/>
    <w:rsid w:val="0CA5180B"/>
    <w:rsid w:val="0D677214"/>
    <w:rsid w:val="0FE32D76"/>
    <w:rsid w:val="103F3A8B"/>
    <w:rsid w:val="10A416B2"/>
    <w:rsid w:val="166A2CFA"/>
    <w:rsid w:val="181A30AD"/>
    <w:rsid w:val="1A6A061D"/>
    <w:rsid w:val="1BB31D50"/>
    <w:rsid w:val="1C4A4D10"/>
    <w:rsid w:val="1D1134D9"/>
    <w:rsid w:val="1D1B5B56"/>
    <w:rsid w:val="21225975"/>
    <w:rsid w:val="21590025"/>
    <w:rsid w:val="21F3253E"/>
    <w:rsid w:val="225B2C40"/>
    <w:rsid w:val="22DD5403"/>
    <w:rsid w:val="231F3C6E"/>
    <w:rsid w:val="254C2D14"/>
    <w:rsid w:val="26345C82"/>
    <w:rsid w:val="27701D9B"/>
    <w:rsid w:val="2812756D"/>
    <w:rsid w:val="28CF1778"/>
    <w:rsid w:val="29F55728"/>
    <w:rsid w:val="2A9573A3"/>
    <w:rsid w:val="2B0901AF"/>
    <w:rsid w:val="2B437329"/>
    <w:rsid w:val="2B8E7DF0"/>
    <w:rsid w:val="2BF67536"/>
    <w:rsid w:val="2DA2605D"/>
    <w:rsid w:val="2E637258"/>
    <w:rsid w:val="30B64012"/>
    <w:rsid w:val="32297D53"/>
    <w:rsid w:val="3715740A"/>
    <w:rsid w:val="388F754B"/>
    <w:rsid w:val="389C54E6"/>
    <w:rsid w:val="38EF77E6"/>
    <w:rsid w:val="38F23D99"/>
    <w:rsid w:val="3B461291"/>
    <w:rsid w:val="3DE90CA8"/>
    <w:rsid w:val="3EE27D6A"/>
    <w:rsid w:val="430B16C1"/>
    <w:rsid w:val="44A22783"/>
    <w:rsid w:val="4585575A"/>
    <w:rsid w:val="466B0DF4"/>
    <w:rsid w:val="47507E4E"/>
    <w:rsid w:val="48211094"/>
    <w:rsid w:val="4968786D"/>
    <w:rsid w:val="4A2A0416"/>
    <w:rsid w:val="4A382345"/>
    <w:rsid w:val="4C4C6129"/>
    <w:rsid w:val="4E022557"/>
    <w:rsid w:val="4ED17C9F"/>
    <w:rsid w:val="4F480EA9"/>
    <w:rsid w:val="4F9C201E"/>
    <w:rsid w:val="51D57A6A"/>
    <w:rsid w:val="5331480B"/>
    <w:rsid w:val="53670B95"/>
    <w:rsid w:val="53FE4465"/>
    <w:rsid w:val="55FC21B7"/>
    <w:rsid w:val="57631674"/>
    <w:rsid w:val="576B46EC"/>
    <w:rsid w:val="57716D68"/>
    <w:rsid w:val="58355E3B"/>
    <w:rsid w:val="5BA01760"/>
    <w:rsid w:val="5D2B12E4"/>
    <w:rsid w:val="5DAA5C90"/>
    <w:rsid w:val="60121E89"/>
    <w:rsid w:val="60C671AE"/>
    <w:rsid w:val="61976DBB"/>
    <w:rsid w:val="62D55117"/>
    <w:rsid w:val="64402D5B"/>
    <w:rsid w:val="64E04161"/>
    <w:rsid w:val="65D82ED8"/>
    <w:rsid w:val="66461956"/>
    <w:rsid w:val="667E5FE0"/>
    <w:rsid w:val="66A23F66"/>
    <w:rsid w:val="6ADE2850"/>
    <w:rsid w:val="6CC133C9"/>
    <w:rsid w:val="6EFD2E7C"/>
    <w:rsid w:val="6F101C89"/>
    <w:rsid w:val="6F8363F9"/>
    <w:rsid w:val="71557FA9"/>
    <w:rsid w:val="73DE5EB2"/>
    <w:rsid w:val="741048D5"/>
    <w:rsid w:val="755E7720"/>
    <w:rsid w:val="76E30F11"/>
    <w:rsid w:val="784A1D68"/>
    <w:rsid w:val="785174EF"/>
    <w:rsid w:val="78852F61"/>
    <w:rsid w:val="791A758F"/>
    <w:rsid w:val="79D13F02"/>
    <w:rsid w:val="79FD76C0"/>
    <w:rsid w:val="7AA716F4"/>
    <w:rsid w:val="7B1C6E04"/>
    <w:rsid w:val="7B825CBD"/>
    <w:rsid w:val="7BC9569A"/>
    <w:rsid w:val="7D07647A"/>
    <w:rsid w:val="7D8A7676"/>
    <w:rsid w:val="7DCE3C71"/>
    <w:rsid w:val="7E2E4986"/>
    <w:rsid w:val="7E3C23CB"/>
    <w:rsid w:val="7E465571"/>
    <w:rsid w:val="7F94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spacing w:before="340" w:after="330" w:line="578" w:lineRule="auto"/>
      <w:jc w:val="both"/>
      <w:textAlignment w:val="auto"/>
      <w:outlineLvl w:val="0"/>
    </w:pPr>
    <w:rPr>
      <w:rFonts w:ascii="Times New Roman" w:hAnsi="Times New Roman" w:eastAsia="微软雅黑"/>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pPr>
      <w:spacing w:before="6"/>
    </w:pPr>
    <w:rPr>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3"/>
    <w:qFormat/>
    <w:uiPriority w:val="1"/>
    <w:rPr>
      <w:sz w:val="24"/>
      <w:szCs w:val="24"/>
    </w:rPr>
  </w:style>
  <w:style w:type="paragraph" w:styleId="12">
    <w:name w:val="List Paragraph"/>
    <w:basedOn w:val="1"/>
    <w:qFormat/>
    <w:uiPriority w:val="99"/>
    <w:pPr>
      <w:ind w:firstLine="420" w:firstLineChars="200"/>
    </w:pPr>
  </w:style>
  <w:style w:type="paragraph" w:customStyle="1" w:styleId="13">
    <w:name w:val="中等深浅网格 21"/>
    <w:qFormat/>
    <w:uiPriority w:val="1"/>
    <w:pPr>
      <w:widowControl w:val="0"/>
      <w:jc w:val="both"/>
    </w:pPr>
    <w:rPr>
      <w:rFonts w:ascii="Calibri" w:hAnsi="Calibri"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1818</Words>
  <Characters>2024</Characters>
  <Lines>13</Lines>
  <Paragraphs>3</Paragraphs>
  <TotalTime>75</TotalTime>
  <ScaleCrop>false</ScaleCrop>
  <LinksUpToDate>false</LinksUpToDate>
  <CharactersWithSpaces>2187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2022-09-20T09:44:00Z</dcterms:created>
  <dc:creator>赵一菲</dc:creator>
  <cp:lastModifiedBy>YIFEI ZHAO</cp:lastModifiedBy>
  <cp:lastPrinted>2023-08-17T01:56:00Z</cp:lastPrinted>
  <dcterms:modified xsi:type="dcterms:W3CDTF">2023-09-26T01:55:57Z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7D09A87EE2B64A65A3E88A0E9E755CBB_13</vt:lpwstr>
  </property>
</Properties>
</file>