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ascii="宋体" w:hAnsi="宋体"/>
          <w:b/>
          <w:bCs/>
          <w:sz w:val="30"/>
          <w:szCs w:val="30"/>
        </w:rPr>
      </w:pPr>
      <w:r>
        <w:rPr>
          <w:rFonts w:hint="eastAsia" w:ascii="宋体" w:hAnsi="宋体"/>
          <w:b/>
          <w:bCs/>
          <w:sz w:val="30"/>
          <w:szCs w:val="30"/>
        </w:rPr>
        <w:t>浙江西大门</w:t>
      </w:r>
      <w:r>
        <w:rPr>
          <w:rFonts w:ascii="宋体" w:hAnsi="宋体"/>
          <w:b/>
          <w:bCs/>
          <w:sz w:val="30"/>
          <w:szCs w:val="30"/>
        </w:rPr>
        <w:t>新材料</w:t>
      </w:r>
      <w:r>
        <w:rPr>
          <w:rFonts w:hint="eastAsia" w:ascii="宋体" w:hAnsi="宋体"/>
          <w:b/>
          <w:bCs/>
          <w:sz w:val="30"/>
          <w:szCs w:val="30"/>
        </w:rPr>
        <w:t>股份有限公司投资者关系活动记录表</w:t>
      </w:r>
    </w:p>
    <w:p>
      <w:pPr>
        <w:spacing w:line="720" w:lineRule="auto"/>
        <w:jc w:val="center"/>
        <w:rPr>
          <w:rFonts w:hint="default" w:ascii="宋体" w:hAnsi="宋体" w:eastAsia="宋体"/>
          <w:b/>
          <w:bCs/>
          <w:sz w:val="30"/>
          <w:szCs w:val="30"/>
          <w:lang w:val="en-US" w:eastAsia="zh-CN"/>
        </w:rPr>
      </w:pPr>
      <w:r>
        <w:rPr>
          <w:rFonts w:hint="eastAsia" w:ascii="宋体" w:hAnsi="宋体"/>
          <w:bCs/>
          <w:szCs w:val="24"/>
        </w:rPr>
        <w:t>证券简称：西大门</w:t>
      </w:r>
      <w:r>
        <w:rPr>
          <w:rFonts w:ascii="宋体" w:hAnsi="宋体"/>
          <w:bCs/>
          <w:szCs w:val="24"/>
        </w:rPr>
        <w:t xml:space="preserve">          </w:t>
      </w:r>
      <w:r>
        <w:rPr>
          <w:rFonts w:hint="eastAsia" w:ascii="宋体" w:hAnsi="宋体"/>
          <w:bCs/>
          <w:szCs w:val="24"/>
        </w:rPr>
        <w:t xml:space="preserve">证券代码：605155 </w:t>
      </w:r>
      <w:r>
        <w:rPr>
          <w:rFonts w:ascii="宋体" w:hAnsi="宋体"/>
          <w:bCs/>
          <w:szCs w:val="24"/>
        </w:rPr>
        <w:t xml:space="preserve">             </w:t>
      </w:r>
      <w:r>
        <w:rPr>
          <w:rFonts w:hint="eastAsia" w:ascii="宋体" w:hAnsi="宋体"/>
          <w:bCs/>
          <w:szCs w:val="24"/>
        </w:rPr>
        <w:t>编号：202</w:t>
      </w:r>
      <w:r>
        <w:rPr>
          <w:rFonts w:hint="eastAsia" w:ascii="宋体" w:hAnsi="宋体"/>
          <w:bCs/>
          <w:szCs w:val="24"/>
          <w:lang w:val="en-US" w:eastAsia="zh-CN"/>
        </w:rPr>
        <w:t>3</w:t>
      </w:r>
      <w:r>
        <w:rPr>
          <w:rFonts w:ascii="宋体" w:hAnsi="宋体"/>
          <w:bCs/>
          <w:szCs w:val="24"/>
        </w:rPr>
        <w:t>0</w:t>
      </w:r>
      <w:r>
        <w:rPr>
          <w:rFonts w:hint="default" w:ascii="宋体" w:hAnsi="宋体"/>
          <w:bCs/>
          <w:szCs w:val="24"/>
          <w:lang w:val="en-US"/>
        </w:rPr>
        <w:t>02</w:t>
      </w:r>
    </w:p>
    <w:tbl>
      <w:tblPr>
        <w:tblStyle w:val="6"/>
        <w:tblW w:w="9498"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9" w:type="dxa"/>
            <w:vAlign w:val="center"/>
          </w:tcPr>
          <w:p>
            <w:pPr>
              <w:jc w:val="center"/>
              <w:rPr>
                <w:rFonts w:ascii="宋体" w:hAnsi="宋体"/>
                <w:bCs/>
                <w:szCs w:val="24"/>
              </w:rPr>
            </w:pPr>
            <w:r>
              <w:rPr>
                <w:rFonts w:hint="eastAsia" w:ascii="宋体" w:hAnsi="宋体"/>
                <w:bCs/>
                <w:szCs w:val="24"/>
              </w:rPr>
              <w:t>投资者关系活动</w:t>
            </w:r>
          </w:p>
          <w:p>
            <w:pPr>
              <w:jc w:val="center"/>
              <w:rPr>
                <w:rFonts w:ascii="宋体" w:hAnsi="宋体"/>
                <w:bCs/>
                <w:szCs w:val="24"/>
              </w:rPr>
            </w:pPr>
            <w:r>
              <w:rPr>
                <w:rFonts w:hint="eastAsia" w:ascii="宋体" w:hAnsi="宋体"/>
                <w:bCs/>
                <w:szCs w:val="24"/>
              </w:rPr>
              <w:t>类别</w:t>
            </w:r>
          </w:p>
        </w:tc>
        <w:tc>
          <w:tcPr>
            <w:tcW w:w="7229" w:type="dxa"/>
            <w:vAlign w:val="center"/>
          </w:tcPr>
          <w:p>
            <w:pPr>
              <w:spacing w:line="360" w:lineRule="auto"/>
              <w:rPr>
                <w:rFonts w:hint="default" w:ascii="宋体" w:hAnsi="宋体"/>
                <w:szCs w:val="24"/>
                <w:lang w:val="en-US"/>
              </w:rPr>
            </w:pPr>
            <w:r>
              <w:rPr>
                <w:rFonts w:hint="eastAsia" w:ascii="宋体" w:hAnsi="宋体"/>
                <w:szCs w:val="24"/>
              </w:rPr>
              <w:sym w:font="Wingdings 2" w:char="F050"/>
            </w:r>
            <w:r>
              <w:rPr>
                <w:rFonts w:ascii="宋体" w:hAnsi="宋体"/>
                <w:szCs w:val="24"/>
              </w:rPr>
              <w:t xml:space="preserve"> </w:t>
            </w:r>
            <w:r>
              <w:rPr>
                <w:rFonts w:hint="eastAsia" w:ascii="宋体" w:hAnsi="宋体"/>
                <w:szCs w:val="24"/>
              </w:rPr>
              <w:t xml:space="preserve">特定对象调研 </w:t>
            </w:r>
            <w:r>
              <w:rPr>
                <w:rFonts w:hint="default" w:ascii="宋体" w:hAnsi="宋体"/>
                <w:szCs w:val="24"/>
                <w:lang w:val="en-US"/>
              </w:rPr>
              <w:t xml:space="preserve">  </w:t>
            </w:r>
            <w:r>
              <w:rPr>
                <w:rFonts w:ascii="宋体" w:hAnsi="宋体"/>
                <w:szCs w:val="24"/>
              </w:rPr>
              <w:t xml:space="preserve"> </w:t>
            </w:r>
            <w:r>
              <w:rPr>
                <w:rFonts w:hint="eastAsia" w:ascii="宋体" w:hAnsi="宋体"/>
                <w:szCs w:val="24"/>
              </w:rPr>
              <w:t>□分析师会议</w:t>
            </w:r>
            <w:r>
              <w:rPr>
                <w:rFonts w:hint="default" w:ascii="宋体" w:hAnsi="宋体"/>
                <w:szCs w:val="24"/>
                <w:lang w:val="en-US"/>
              </w:rPr>
              <w:t xml:space="preserve">   </w:t>
            </w:r>
            <w:r>
              <w:rPr>
                <w:rFonts w:hint="eastAsia" w:ascii="宋体" w:hAnsi="宋体"/>
                <w:szCs w:val="24"/>
              </w:rPr>
              <w:t xml:space="preserve">□媒体采访 </w:t>
            </w:r>
            <w:r>
              <w:rPr>
                <w:rFonts w:ascii="宋体" w:hAnsi="宋体"/>
                <w:szCs w:val="24"/>
              </w:rPr>
              <w:t xml:space="preserve">     </w:t>
            </w:r>
            <w:r>
              <w:rPr>
                <w:rFonts w:hint="default" w:ascii="宋体" w:hAnsi="宋体"/>
                <w:szCs w:val="24"/>
                <w:lang w:val="en-US"/>
              </w:rPr>
              <w:t xml:space="preserve">  </w:t>
            </w:r>
          </w:p>
          <w:p>
            <w:pPr>
              <w:spacing w:line="360" w:lineRule="auto"/>
              <w:rPr>
                <w:rFonts w:ascii="宋体" w:hAnsi="宋体"/>
                <w:szCs w:val="24"/>
              </w:rPr>
            </w:pPr>
            <w:r>
              <w:rPr>
                <w:rFonts w:hint="eastAsia" w:ascii="宋体" w:hAnsi="宋体"/>
                <w:szCs w:val="24"/>
              </w:rPr>
              <w:t>□业绩说明会</w:t>
            </w:r>
            <w:r>
              <w:rPr>
                <w:rFonts w:hint="default" w:ascii="宋体" w:hAnsi="宋体"/>
                <w:szCs w:val="24"/>
                <w:lang w:val="en-US"/>
              </w:rPr>
              <w:t xml:space="preserve">       </w:t>
            </w:r>
            <w:r>
              <w:rPr>
                <w:rFonts w:hint="eastAsia" w:ascii="宋体" w:hAnsi="宋体"/>
                <w:szCs w:val="24"/>
              </w:rPr>
              <w:sym w:font="Wingdings 2" w:char="F050"/>
            </w:r>
            <w:r>
              <w:rPr>
                <w:rFonts w:ascii="宋体" w:hAnsi="宋体"/>
                <w:szCs w:val="24"/>
              </w:rPr>
              <w:t xml:space="preserve"> </w:t>
            </w:r>
            <w:r>
              <w:rPr>
                <w:rFonts w:hint="eastAsia" w:ascii="宋体" w:hAnsi="宋体"/>
                <w:szCs w:val="24"/>
              </w:rPr>
              <w:t xml:space="preserve">现场参观  </w:t>
            </w:r>
            <w:r>
              <w:rPr>
                <w:rFonts w:ascii="宋体" w:hAnsi="宋体"/>
                <w:szCs w:val="24"/>
              </w:rPr>
              <w:t xml:space="preserve">  </w:t>
            </w:r>
            <w:r>
              <w:rPr>
                <w:rFonts w:hint="eastAsia" w:ascii="宋体" w:hAnsi="宋体"/>
                <w:szCs w:val="24"/>
              </w:rPr>
              <w:t>□路演活动</w:t>
            </w:r>
          </w:p>
          <w:p>
            <w:pPr>
              <w:spacing w:line="360" w:lineRule="auto"/>
              <w:rPr>
                <w:rFonts w:ascii="宋体" w:hAnsi="宋体"/>
                <w:szCs w:val="24"/>
              </w:rPr>
            </w:pPr>
            <w:r>
              <w:rPr>
                <w:rFonts w:hint="eastAsia" w:ascii="宋体" w:hAnsi="宋体"/>
                <w:szCs w:val="24"/>
              </w:rPr>
              <w:t xml:space="preserve">□新闻发布会  </w:t>
            </w:r>
            <w:r>
              <w:rPr>
                <w:rFonts w:hint="default" w:ascii="宋体" w:hAnsi="宋体"/>
                <w:szCs w:val="24"/>
                <w:lang w:val="en-US"/>
              </w:rPr>
              <w:t xml:space="preserve"> </w:t>
            </w:r>
            <w:r>
              <w:rPr>
                <w:rFonts w:hint="eastAsia" w:ascii="宋体" w:hAnsi="宋体"/>
                <w:szCs w:val="24"/>
              </w:rPr>
              <w:t xml:space="preserve">  </w:t>
            </w:r>
            <w:r>
              <w:rPr>
                <w:rFonts w:hint="default" w:ascii="宋体" w:hAnsi="宋体"/>
                <w:szCs w:val="24"/>
                <w:lang w:val="en-US"/>
              </w:rPr>
              <w:t xml:space="preserve"> </w:t>
            </w:r>
            <w:r>
              <w:rPr>
                <w:rFonts w:hint="eastAsia" w:ascii="宋体" w:hAnsi="宋体"/>
                <w:szCs w:val="24"/>
              </w:rPr>
              <w:t xml:space="preserve"> </w:t>
            </w:r>
            <w:r>
              <w:rPr>
                <w:rFonts w:hint="eastAsia" w:ascii="宋体" w:hAnsi="宋体"/>
                <w:szCs w:val="24"/>
              </w:rPr>
              <w:sym w:font="Wingdings 2" w:char="F050"/>
            </w:r>
            <w:r>
              <w:rPr>
                <w:rFonts w:ascii="宋体" w:hAnsi="宋体"/>
                <w:szCs w:val="24"/>
              </w:rPr>
              <w:t xml:space="preserve"> </w:t>
            </w:r>
            <w:r>
              <w:rPr>
                <w:rFonts w:hint="eastAsia" w:ascii="宋体" w:hAnsi="宋体"/>
                <w:szCs w:val="24"/>
              </w:rPr>
              <w:t>其他</w:t>
            </w:r>
            <w:r>
              <w:rPr>
                <w:rFonts w:ascii="宋体" w:hAnsi="宋体"/>
                <w:szCs w:val="24"/>
              </w:rPr>
              <w:t>（电话会议）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atLeast"/>
        </w:trPr>
        <w:tc>
          <w:tcPr>
            <w:tcW w:w="2269" w:type="dxa"/>
            <w:vAlign w:val="center"/>
          </w:tcPr>
          <w:p>
            <w:pPr>
              <w:jc w:val="center"/>
              <w:rPr>
                <w:rFonts w:ascii="宋体" w:hAnsi="宋体"/>
                <w:bCs/>
                <w:szCs w:val="24"/>
              </w:rPr>
            </w:pPr>
            <w:r>
              <w:rPr>
                <w:rFonts w:hint="eastAsia" w:ascii="宋体" w:hAnsi="宋体"/>
                <w:bCs/>
                <w:szCs w:val="24"/>
              </w:rPr>
              <w:t>参与单位名称</w:t>
            </w:r>
          </w:p>
          <w:p>
            <w:pPr>
              <w:jc w:val="center"/>
              <w:rPr>
                <w:rFonts w:ascii="宋体" w:hAnsi="宋体"/>
                <w:bCs/>
                <w:szCs w:val="24"/>
              </w:rPr>
            </w:pPr>
            <w:r>
              <w:rPr>
                <w:rFonts w:hint="eastAsia" w:ascii="宋体" w:hAnsi="宋体"/>
                <w:bCs/>
                <w:szCs w:val="24"/>
              </w:rPr>
              <w:t>及人员姓名</w:t>
            </w:r>
          </w:p>
        </w:tc>
        <w:tc>
          <w:tcPr>
            <w:tcW w:w="7229" w:type="dxa"/>
            <w:vAlign w:val="center"/>
          </w:tcPr>
          <w:p>
            <w:pPr>
              <w:jc w:val="left"/>
              <w:rPr>
                <w:rFonts w:hint="eastAsia" w:ascii="宋体" w:hAnsi="宋体"/>
                <w:szCs w:val="24"/>
                <w:lang w:val="en-US" w:eastAsia="zh-CN"/>
              </w:rPr>
            </w:pPr>
            <w:r>
              <w:rPr>
                <w:rFonts w:hint="eastAsia" w:ascii="宋体" w:hAnsi="宋体"/>
                <w:szCs w:val="24"/>
                <w:lang w:val="en-US" w:eastAsia="zh-CN"/>
              </w:rPr>
              <w:t>东方证券 冯孟乾、黄嘉兴、王源庆、余斯杰</w:t>
            </w:r>
          </w:p>
          <w:p>
            <w:pPr>
              <w:jc w:val="left"/>
              <w:rPr>
                <w:rFonts w:hint="eastAsia" w:ascii="宋体" w:hAnsi="宋体"/>
                <w:szCs w:val="24"/>
                <w:lang w:val="en-US" w:eastAsia="zh-CN"/>
              </w:rPr>
            </w:pPr>
            <w:r>
              <w:rPr>
                <w:rFonts w:hint="eastAsia" w:ascii="宋体" w:hAnsi="宋体"/>
                <w:szCs w:val="24"/>
                <w:lang w:val="en-US" w:eastAsia="zh-CN"/>
              </w:rPr>
              <w:t xml:space="preserve">东北证券 陈渊文、单凯迪、裘博文    </w:t>
            </w:r>
          </w:p>
          <w:p>
            <w:pPr>
              <w:jc w:val="left"/>
              <w:rPr>
                <w:rFonts w:hint="default" w:ascii="宋体" w:hAnsi="宋体"/>
                <w:szCs w:val="24"/>
                <w:lang w:val="en-US" w:eastAsia="zh-CN"/>
              </w:rPr>
            </w:pPr>
            <w:r>
              <w:rPr>
                <w:rFonts w:hint="eastAsia" w:ascii="宋体" w:hAnsi="宋体"/>
                <w:szCs w:val="24"/>
                <w:lang w:val="en-US" w:eastAsia="zh-CN"/>
              </w:rPr>
              <w:t>彤天基金 吕桂龙    彤天基金 吕桂龙</w:t>
            </w:r>
          </w:p>
          <w:p>
            <w:pPr>
              <w:jc w:val="left"/>
              <w:rPr>
                <w:rFonts w:hint="eastAsia" w:ascii="宋体" w:hAnsi="宋体"/>
                <w:szCs w:val="24"/>
                <w:lang w:val="en-US" w:eastAsia="zh-CN"/>
              </w:rPr>
            </w:pPr>
            <w:r>
              <w:rPr>
                <w:rFonts w:hint="eastAsia" w:ascii="宋体" w:hAnsi="宋体"/>
                <w:szCs w:val="24"/>
                <w:lang w:val="en-US" w:eastAsia="zh-CN"/>
              </w:rPr>
              <w:t xml:space="preserve">华西证券 徐林锋    象树资产 沈琪  </w:t>
            </w:r>
          </w:p>
          <w:p>
            <w:pPr>
              <w:jc w:val="left"/>
              <w:rPr>
                <w:rFonts w:hint="eastAsia" w:ascii="宋体" w:hAnsi="宋体"/>
                <w:szCs w:val="24"/>
                <w:lang w:val="en-US" w:eastAsia="zh-CN"/>
              </w:rPr>
            </w:pPr>
            <w:r>
              <w:rPr>
                <w:rFonts w:hint="eastAsia" w:ascii="宋体" w:hAnsi="宋体"/>
                <w:szCs w:val="24"/>
                <w:lang w:val="en-US" w:eastAsia="zh-CN"/>
              </w:rPr>
              <w:t>橡木资产 王莉莉    鹏华基金 林伟强、李沙浪</w:t>
            </w:r>
          </w:p>
          <w:p>
            <w:pPr>
              <w:jc w:val="left"/>
              <w:rPr>
                <w:rFonts w:hint="default" w:ascii="宋体" w:hAnsi="宋体"/>
                <w:szCs w:val="24"/>
                <w:lang w:val="en-US" w:eastAsia="zh-CN"/>
              </w:rPr>
            </w:pPr>
            <w:r>
              <w:rPr>
                <w:rFonts w:hint="eastAsia" w:ascii="宋体" w:hAnsi="宋体"/>
                <w:szCs w:val="24"/>
                <w:lang w:val="en-US" w:eastAsia="zh-CN"/>
              </w:rPr>
              <w:t>耀康基金 李佳旭    化雨基金 徐轶凡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2269" w:type="dxa"/>
            <w:vAlign w:val="center"/>
          </w:tcPr>
          <w:p>
            <w:pPr>
              <w:jc w:val="center"/>
              <w:rPr>
                <w:rFonts w:ascii="宋体" w:hAnsi="宋体"/>
                <w:bCs/>
                <w:szCs w:val="24"/>
              </w:rPr>
            </w:pPr>
            <w:r>
              <w:rPr>
                <w:rFonts w:hint="eastAsia" w:ascii="宋体" w:hAnsi="宋体"/>
                <w:bCs/>
                <w:szCs w:val="24"/>
              </w:rPr>
              <w:t>时间</w:t>
            </w:r>
          </w:p>
        </w:tc>
        <w:tc>
          <w:tcPr>
            <w:tcW w:w="7229" w:type="dxa"/>
            <w:vAlign w:val="center"/>
          </w:tcPr>
          <w:p>
            <w:pPr>
              <w:jc w:val="left"/>
              <w:rPr>
                <w:rFonts w:cs="Times New Roman"/>
                <w:szCs w:val="24"/>
              </w:rPr>
            </w:pPr>
            <w:r>
              <w:rPr>
                <w:rFonts w:cs="Times New Roman"/>
                <w:szCs w:val="24"/>
              </w:rPr>
              <w:t xml:space="preserve"> 202</w:t>
            </w:r>
            <w:r>
              <w:rPr>
                <w:rFonts w:hint="eastAsia" w:cs="Times New Roman"/>
                <w:szCs w:val="24"/>
                <w:lang w:val="en-US" w:eastAsia="zh-CN"/>
              </w:rPr>
              <w:t>3</w:t>
            </w:r>
            <w:r>
              <w:rPr>
                <w:rFonts w:cs="Times New Roman"/>
                <w:szCs w:val="24"/>
              </w:rPr>
              <w:t>年</w:t>
            </w:r>
            <w:r>
              <w:rPr>
                <w:rFonts w:hint="eastAsia" w:cs="Times New Roman"/>
                <w:szCs w:val="24"/>
                <w:lang w:val="en-US" w:eastAsia="zh-CN"/>
              </w:rPr>
              <w:t>9</w:t>
            </w:r>
            <w:r>
              <w:rPr>
                <w:rFonts w:cs="Times New Roman"/>
                <w:szCs w:val="24"/>
              </w:rPr>
              <w:t>月</w:t>
            </w:r>
            <w:r>
              <w:rPr>
                <w:rFonts w:hint="eastAsia" w:cs="Times New Roman"/>
                <w:szCs w:val="24"/>
                <w:lang w:val="en-US" w:eastAsia="zh-CN"/>
              </w:rPr>
              <w:t>27</w:t>
            </w:r>
            <w:r>
              <w:rPr>
                <w:rFonts w:cs="Times New Roman"/>
                <w:szCs w:val="24"/>
              </w:rPr>
              <w:t>日</w:t>
            </w:r>
            <w:r>
              <w:rPr>
                <w:rFonts w:hint="eastAsia" w:cs="Times New Roman"/>
                <w:szCs w:val="24"/>
                <w:lang w:val="en-US" w:eastAsia="zh-CN"/>
              </w:rPr>
              <w:t>14</w:t>
            </w:r>
            <w:r>
              <w:rPr>
                <w:rFonts w:cs="Times New Roman"/>
                <w:szCs w:val="24"/>
              </w:rPr>
              <w:t>:00-</w:t>
            </w:r>
            <w:r>
              <w:rPr>
                <w:rFonts w:hint="eastAsia" w:cs="Times New Roman"/>
                <w:szCs w:val="24"/>
                <w:lang w:val="en-US" w:eastAsia="zh-CN"/>
              </w:rPr>
              <w:t>16</w:t>
            </w:r>
            <w:r>
              <w:rPr>
                <w:rFonts w:cs="Times New Roman"/>
                <w:szCs w:val="24"/>
              </w:rPr>
              <w:t xml:space="preserve">:30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2269" w:type="dxa"/>
            <w:vAlign w:val="center"/>
          </w:tcPr>
          <w:p>
            <w:pPr>
              <w:jc w:val="center"/>
              <w:rPr>
                <w:rFonts w:ascii="宋体" w:hAnsi="宋体"/>
                <w:bCs/>
                <w:szCs w:val="24"/>
              </w:rPr>
            </w:pPr>
            <w:r>
              <w:rPr>
                <w:rFonts w:hint="eastAsia" w:ascii="宋体" w:hAnsi="宋体"/>
                <w:bCs/>
                <w:szCs w:val="24"/>
              </w:rPr>
              <w:t>地点</w:t>
            </w:r>
          </w:p>
        </w:tc>
        <w:tc>
          <w:tcPr>
            <w:tcW w:w="7229" w:type="dxa"/>
            <w:vAlign w:val="center"/>
          </w:tcPr>
          <w:p>
            <w:pPr>
              <w:rPr>
                <w:rFonts w:ascii="宋体" w:hAnsi="宋体"/>
                <w:szCs w:val="24"/>
              </w:rPr>
            </w:pPr>
            <w:r>
              <w:rPr>
                <w:rFonts w:hint="eastAsia" w:ascii="宋体" w:hAnsi="宋体"/>
                <w:szCs w:val="24"/>
              </w:rPr>
              <w:t>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6" w:hRule="atLeast"/>
        </w:trPr>
        <w:tc>
          <w:tcPr>
            <w:tcW w:w="2269" w:type="dxa"/>
            <w:vAlign w:val="center"/>
          </w:tcPr>
          <w:p>
            <w:pPr>
              <w:jc w:val="center"/>
              <w:rPr>
                <w:rFonts w:ascii="宋体" w:hAnsi="宋体"/>
                <w:bCs/>
                <w:szCs w:val="24"/>
              </w:rPr>
            </w:pPr>
            <w:r>
              <w:rPr>
                <w:rFonts w:hint="eastAsia" w:ascii="宋体" w:hAnsi="宋体"/>
                <w:bCs/>
                <w:szCs w:val="24"/>
              </w:rPr>
              <w:t>上市公司接待人员姓名</w:t>
            </w:r>
          </w:p>
        </w:tc>
        <w:tc>
          <w:tcPr>
            <w:tcW w:w="7229" w:type="dxa"/>
            <w:vAlign w:val="center"/>
          </w:tcPr>
          <w:p>
            <w:pPr>
              <w:spacing w:line="360" w:lineRule="auto"/>
              <w:rPr>
                <w:rFonts w:ascii="宋体" w:hAnsi="宋体"/>
                <w:szCs w:val="24"/>
              </w:rPr>
            </w:pPr>
            <w:r>
              <w:rPr>
                <w:rFonts w:hint="eastAsia" w:ascii="宋体" w:hAnsi="宋体"/>
                <w:szCs w:val="24"/>
              </w:rPr>
              <w:t xml:space="preserve">董事会秘书 </w:t>
            </w:r>
            <w:r>
              <w:rPr>
                <w:rFonts w:hint="eastAsia" w:ascii="宋体" w:hAnsi="宋体"/>
                <w:szCs w:val="24"/>
                <w:lang w:val="en-US" w:eastAsia="zh-CN"/>
              </w:rPr>
              <w:t xml:space="preserve">  </w:t>
            </w:r>
            <w:r>
              <w:rPr>
                <w:rFonts w:ascii="宋体" w:hAnsi="宋体"/>
                <w:szCs w:val="24"/>
              </w:rPr>
              <w:t>柳英</w:t>
            </w:r>
          </w:p>
          <w:p>
            <w:pPr>
              <w:spacing w:line="360" w:lineRule="auto"/>
              <w:rPr>
                <w:rFonts w:hint="default" w:ascii="宋体" w:hAnsi="宋体" w:eastAsia="宋体"/>
                <w:szCs w:val="24"/>
                <w:lang w:val="en-US" w:eastAsia="zh-CN"/>
              </w:rPr>
            </w:pPr>
            <w:r>
              <w:rPr>
                <w:rFonts w:hint="eastAsia" w:ascii="宋体" w:hAnsi="宋体"/>
                <w:szCs w:val="24"/>
                <w:lang w:val="en-US" w:eastAsia="zh-CN"/>
              </w:rPr>
              <w:t>财务总监     周莉</w:t>
            </w:r>
          </w:p>
          <w:p>
            <w:pPr>
              <w:spacing w:line="360" w:lineRule="auto"/>
              <w:rPr>
                <w:rFonts w:hint="default" w:ascii="宋体" w:hAnsi="宋体" w:eastAsia="宋体"/>
                <w:szCs w:val="24"/>
                <w:lang w:val="en-US" w:eastAsia="zh-CN"/>
              </w:rPr>
            </w:pPr>
            <w:r>
              <w:rPr>
                <w:rFonts w:hint="eastAsia" w:ascii="宋体" w:hAnsi="宋体"/>
                <w:szCs w:val="24"/>
                <w:lang w:eastAsia="zh-CN"/>
              </w:rPr>
              <w:t>证券事务代表</w:t>
            </w:r>
            <w:r>
              <w:rPr>
                <w:rFonts w:hint="eastAsia" w:ascii="宋体" w:hAnsi="宋体"/>
                <w:szCs w:val="24"/>
                <w:lang w:val="en-US" w:eastAsia="zh-CN"/>
              </w:rPr>
              <w:t xml:space="preserve"> 董雨亭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3" w:hRule="atLeast"/>
        </w:trPr>
        <w:tc>
          <w:tcPr>
            <w:tcW w:w="2269" w:type="dxa"/>
            <w:vAlign w:val="center"/>
          </w:tcPr>
          <w:p>
            <w:pPr>
              <w:jc w:val="center"/>
              <w:rPr>
                <w:rFonts w:ascii="宋体" w:hAnsi="宋体"/>
                <w:bCs/>
                <w:szCs w:val="24"/>
              </w:rPr>
            </w:pPr>
            <w:r>
              <w:rPr>
                <w:rFonts w:hint="eastAsia" w:ascii="宋体" w:hAnsi="宋体"/>
                <w:bCs/>
                <w:szCs w:val="24"/>
              </w:rPr>
              <w:t>投资者关系活动主要内容介绍</w:t>
            </w:r>
          </w:p>
        </w:tc>
        <w:tc>
          <w:tcPr>
            <w:tcW w:w="7229" w:type="dxa"/>
            <w:vAlign w:val="center"/>
          </w:tcPr>
          <w:p>
            <w:pPr>
              <w:pStyle w:val="11"/>
              <w:numPr>
                <w:ilvl w:val="0"/>
                <w:numId w:val="1"/>
              </w:numPr>
              <w:spacing w:line="360" w:lineRule="auto"/>
              <w:ind w:firstLineChars="0"/>
              <w:rPr>
                <w:rFonts w:ascii="宋体" w:hAnsi="宋体"/>
                <w:b/>
                <w:szCs w:val="24"/>
              </w:rPr>
            </w:pPr>
            <w:r>
              <w:rPr>
                <w:rFonts w:hint="eastAsia" w:ascii="宋体" w:hAnsi="宋体"/>
                <w:b/>
                <w:szCs w:val="24"/>
                <w:lang w:eastAsia="zh-CN"/>
              </w:rPr>
              <w:t>公司</w:t>
            </w:r>
            <w:r>
              <w:rPr>
                <w:rFonts w:hint="eastAsia" w:ascii="宋体" w:hAnsi="宋体"/>
                <w:b/>
                <w:szCs w:val="24"/>
                <w:lang w:val="en-US" w:eastAsia="zh-CN"/>
              </w:rPr>
              <w:t>的软装业务是否包含窗饰产品？窗饰产品和传统窗帘产品的区别在哪里</w:t>
            </w:r>
            <w:r>
              <w:rPr>
                <w:rFonts w:hint="eastAsia" w:ascii="宋体" w:hAnsi="宋体"/>
                <w:b/>
                <w:szCs w:val="24"/>
                <w:lang w:eastAsia="zh-CN"/>
              </w:rPr>
              <w:t>？</w:t>
            </w:r>
          </w:p>
          <w:p>
            <w:pPr>
              <w:spacing w:line="360" w:lineRule="auto"/>
              <w:ind w:firstLine="480" w:firstLineChars="200"/>
              <w:rPr>
                <w:rFonts w:hint="default" w:ascii="宋体" w:hAnsi="宋体" w:eastAsia="宋体"/>
                <w:szCs w:val="24"/>
                <w:lang w:val="en-US" w:eastAsia="zh-CN"/>
              </w:rPr>
            </w:pPr>
            <w:r>
              <w:rPr>
                <w:rFonts w:hint="eastAsia" w:ascii="宋体" w:hAnsi="宋体"/>
                <w:szCs w:val="24"/>
                <w:lang w:eastAsia="zh-CN"/>
              </w:rPr>
              <w:t>公司</w:t>
            </w:r>
            <w:r>
              <w:rPr>
                <w:rFonts w:hint="eastAsia" w:ascii="宋体" w:hAnsi="宋体"/>
                <w:szCs w:val="24"/>
                <w:lang w:val="en-US" w:eastAsia="zh-CN"/>
              </w:rPr>
              <w:t>软装业务中包含了很大一部分窗饰产品。公司生产的功能性遮阳产品相较于传统的布艺窗帘具有更多的功能性</w:t>
            </w:r>
            <w:r>
              <w:rPr>
                <w:rFonts w:hint="eastAsia" w:ascii="宋体" w:hAnsi="宋体"/>
                <w:szCs w:val="24"/>
              </w:rPr>
              <w:t>。</w:t>
            </w:r>
            <w:r>
              <w:rPr>
                <w:rFonts w:hint="eastAsia" w:ascii="宋体" w:hAnsi="宋体"/>
                <w:szCs w:val="24"/>
                <w:lang w:val="en-US" w:eastAsia="zh-CN"/>
              </w:rPr>
              <w:t>除了可以随意调节光线外，兼具保温、隔热、防火、防水、防菌、防紫外线等功能。其中隔热保暖功能可以有效遮阳，节省空调耗电。光线调节功能可以在遮阳的同时能够捕获自然光线以节约照明电能。</w:t>
            </w:r>
          </w:p>
          <w:p>
            <w:pPr>
              <w:spacing w:line="360" w:lineRule="auto"/>
              <w:rPr>
                <w:rFonts w:hint="default" w:ascii="宋体" w:hAnsi="宋体" w:eastAsia="宋体"/>
                <w:szCs w:val="24"/>
                <w:lang w:val="en-US" w:eastAsia="zh-CN"/>
              </w:rPr>
            </w:pPr>
            <w:r>
              <w:rPr>
                <w:rFonts w:ascii="宋体" w:hAnsi="宋体" w:cs="Times New Roman"/>
                <w:b/>
                <w:szCs w:val="24"/>
              </w:rPr>
              <w:t>2.</w:t>
            </w:r>
            <w:r>
              <w:rPr>
                <w:rFonts w:hint="eastAsia" w:ascii="宋体" w:hAnsi="宋体" w:cs="Times New Roman"/>
                <w:b/>
                <w:szCs w:val="24"/>
                <w:lang w:val="en-US" w:eastAsia="zh-CN"/>
              </w:rPr>
              <w:t>原材料价格的波动对公司价格是否有影响</w:t>
            </w:r>
            <w:r>
              <w:rPr>
                <w:rFonts w:hint="eastAsia" w:ascii="宋体" w:hAnsi="宋体" w:cs="Times New Roman"/>
                <w:b/>
                <w:szCs w:val="24"/>
              </w:rPr>
              <w:t>？</w:t>
            </w:r>
            <w:r>
              <w:rPr>
                <w:rFonts w:hint="eastAsia" w:ascii="宋体" w:hAnsi="宋体"/>
                <w:szCs w:val="24"/>
                <w:lang w:val="en-US" w:eastAsia="zh-CN"/>
              </w:rPr>
              <w:t xml:space="preserve">    </w:t>
            </w:r>
          </w:p>
          <w:p>
            <w:pPr>
              <w:pStyle w:val="11"/>
              <w:numPr>
                <w:ilvl w:val="0"/>
                <w:numId w:val="0"/>
              </w:numPr>
              <w:spacing w:line="360" w:lineRule="auto"/>
              <w:ind w:leftChars="0" w:firstLine="480" w:firstLineChars="200"/>
              <w:rPr>
                <w:rFonts w:hint="eastAsia" w:ascii="宋体" w:hAnsi="宋体"/>
                <w:szCs w:val="24"/>
                <w:lang w:val="en-US" w:eastAsia="zh-CN"/>
              </w:rPr>
            </w:pPr>
            <w:r>
              <w:rPr>
                <w:rFonts w:hint="eastAsia" w:ascii="宋体" w:hAnsi="宋体"/>
                <w:szCs w:val="24"/>
                <w:lang w:val="en-US" w:eastAsia="zh-CN"/>
              </w:rPr>
              <w:t>公司所需的主要原材料为聚酯纤维、水性丙烯酸乳液、PVC 等。目前原材料和大宗商品的价格比较稳定，目前公司价格不会发生变动。</w:t>
            </w:r>
          </w:p>
          <w:p>
            <w:pPr>
              <w:pStyle w:val="11"/>
              <w:numPr>
                <w:ilvl w:val="0"/>
                <w:numId w:val="0"/>
              </w:numPr>
              <w:spacing w:line="360" w:lineRule="auto"/>
              <w:ind w:leftChars="0"/>
              <w:rPr>
                <w:b/>
              </w:rPr>
            </w:pPr>
            <w:r>
              <w:rPr>
                <w:rFonts w:hint="eastAsia"/>
                <w:b/>
                <w:lang w:val="en-US" w:eastAsia="zh-CN"/>
              </w:rPr>
              <w:t>3.公司1-8月的利润增长幅度为何低于营业收入增长</w:t>
            </w:r>
            <w:r>
              <w:rPr>
                <w:rFonts w:hint="eastAsia"/>
                <w:b/>
                <w:lang w:eastAsia="zh-CN"/>
              </w:rPr>
              <w:t>？</w:t>
            </w:r>
          </w:p>
          <w:p>
            <w:pPr>
              <w:spacing w:line="360" w:lineRule="auto"/>
              <w:ind w:firstLine="480" w:firstLineChars="200"/>
              <w:rPr>
                <w:rFonts w:hint="eastAsia" w:ascii="宋体" w:hAnsi="宋体" w:eastAsia="宋体"/>
                <w:szCs w:val="24"/>
                <w:lang w:eastAsia="zh-CN"/>
              </w:rPr>
            </w:pPr>
            <w:r>
              <w:rPr>
                <w:rFonts w:hint="eastAsia" w:ascii="宋体" w:hAnsi="宋体"/>
                <w:szCs w:val="24"/>
                <w:lang w:val="en-US" w:eastAsia="zh-CN"/>
              </w:rPr>
              <w:t>公司1-8月营业收入增长幅度较大，但相较于去年，公司在三季度启动了股权激励项目，有部分利润需要提取用于股权激励项目</w:t>
            </w:r>
            <w:r>
              <w:rPr>
                <w:rFonts w:hint="eastAsia" w:ascii="宋体" w:hAnsi="宋体"/>
                <w:szCs w:val="24"/>
                <w:lang w:eastAsia="zh-CN"/>
              </w:rPr>
              <w:t>。</w:t>
            </w:r>
          </w:p>
          <w:p>
            <w:pPr>
              <w:spacing w:line="360" w:lineRule="auto"/>
              <w:rPr>
                <w:rFonts w:ascii="宋体" w:hAnsi="宋体" w:cs="Times New Roman"/>
                <w:b/>
                <w:szCs w:val="24"/>
              </w:rPr>
            </w:pPr>
            <w:r>
              <w:rPr>
                <w:rFonts w:hint="eastAsia" w:ascii="宋体" w:hAnsi="宋体" w:cs="Times New Roman"/>
                <w:b/>
                <w:szCs w:val="24"/>
                <w:lang w:val="en-US" w:eastAsia="zh-CN"/>
              </w:rPr>
              <w:t>4</w:t>
            </w:r>
            <w:r>
              <w:rPr>
                <w:rFonts w:hint="eastAsia" w:ascii="宋体" w:hAnsi="宋体" w:cs="Times New Roman"/>
                <w:b/>
                <w:szCs w:val="24"/>
              </w:rPr>
              <w:t>.</w:t>
            </w:r>
            <w:r>
              <w:rPr>
                <w:rFonts w:hint="eastAsia" w:ascii="宋体" w:hAnsi="宋体" w:cs="Times New Roman"/>
                <w:b/>
                <w:szCs w:val="24"/>
                <w:lang w:eastAsia="zh-CN"/>
              </w:rPr>
              <w:t>公司</w:t>
            </w:r>
            <w:r>
              <w:rPr>
                <w:rFonts w:hint="eastAsia" w:ascii="宋体" w:hAnsi="宋体" w:cs="Times New Roman"/>
                <w:b/>
                <w:szCs w:val="24"/>
                <w:lang w:val="en-US" w:eastAsia="zh-CN"/>
              </w:rPr>
              <w:t>和国外其他大型遮阳企业相比，有哪些优势</w:t>
            </w:r>
            <w:r>
              <w:rPr>
                <w:rFonts w:ascii="宋体" w:hAnsi="宋体" w:cs="Times New Roman"/>
                <w:b/>
                <w:szCs w:val="24"/>
              </w:rPr>
              <w:t>？</w:t>
            </w:r>
          </w:p>
          <w:p>
            <w:pPr>
              <w:spacing w:line="360" w:lineRule="auto"/>
              <w:ind w:firstLine="480" w:firstLineChars="200"/>
              <w:rPr>
                <w:rFonts w:hint="default" w:ascii="宋体" w:hAnsi="宋体" w:eastAsia="宋体"/>
                <w:szCs w:val="24"/>
                <w:lang w:val="en-US" w:eastAsia="zh-CN"/>
              </w:rPr>
            </w:pPr>
            <w:r>
              <w:rPr>
                <w:rFonts w:hint="eastAsia" w:ascii="宋体" w:hAnsi="宋体"/>
                <w:szCs w:val="24"/>
                <w:lang w:val="en-US" w:eastAsia="zh-CN"/>
              </w:rPr>
              <w:t>国外的大型公司主要以成品销售为主，部分也是我们的客户</w:t>
            </w:r>
            <w:r>
              <w:rPr>
                <w:rFonts w:hint="eastAsia" w:ascii="宋体" w:hAnsi="宋体"/>
                <w:szCs w:val="24"/>
                <w:lang w:eastAsia="zh-CN"/>
              </w:rPr>
              <w:t>。</w:t>
            </w:r>
            <w:r>
              <w:rPr>
                <w:rFonts w:hint="eastAsia" w:ascii="宋体" w:hAnsi="宋体"/>
                <w:szCs w:val="24"/>
                <w:lang w:val="en-US" w:eastAsia="zh-CN"/>
              </w:rPr>
              <w:t>对于生产型企业来讲，由于国外的劳动力成本较高，遮阳产品的生产流程工序复杂，故产业链比较分散，生产的产品也相对单一。公司是全链条一体化生产，且可以一站式采购千余种遮阳产品，价格上和服务体验上更具有优势。</w:t>
            </w:r>
          </w:p>
          <w:p>
            <w:pPr>
              <w:numPr>
                <w:ilvl w:val="0"/>
                <w:numId w:val="2"/>
              </w:numPr>
              <w:spacing w:line="360" w:lineRule="auto"/>
              <w:ind w:firstLine="482" w:firstLineChars="200"/>
              <w:rPr>
                <w:rFonts w:hint="default" w:ascii="宋体" w:hAnsi="宋体"/>
                <w:b/>
                <w:bCs/>
                <w:szCs w:val="24"/>
                <w:lang w:val="en-US" w:eastAsia="zh-CN"/>
              </w:rPr>
            </w:pPr>
            <w:r>
              <w:rPr>
                <w:rFonts w:hint="eastAsia" w:ascii="宋体" w:hAnsi="宋体"/>
                <w:b/>
                <w:bCs/>
                <w:szCs w:val="24"/>
                <w:lang w:val="en-US" w:eastAsia="zh-CN"/>
              </w:rPr>
              <w:t>公司未来的发展策略</w:t>
            </w:r>
          </w:p>
          <w:p>
            <w:pPr>
              <w:spacing w:line="360" w:lineRule="auto"/>
              <w:ind w:firstLine="480" w:firstLineChars="200"/>
              <w:rPr>
                <w:rFonts w:hint="default" w:ascii="宋体" w:hAnsi="宋体" w:cs="Times New Roman"/>
                <w:szCs w:val="24"/>
                <w:lang w:val="en-US" w:eastAsia="zh-CN"/>
              </w:rPr>
            </w:pPr>
            <w:r>
              <w:rPr>
                <w:rFonts w:hint="eastAsia" w:ascii="宋体" w:hAnsi="宋体" w:cs="Times New Roman"/>
                <w:szCs w:val="24"/>
                <w:lang w:val="en-US" w:eastAsia="zh-CN"/>
              </w:rPr>
              <w:t>未来公司将不断拓展室内和户外的遮阳面料市场，用股权激励政策增加员工工作的积极性。同时将协同上下游产业，全方位改进生产技术，优化生产工艺，注重细节，持续改进，降低生产成本，节约能耗。</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9" w:type="dxa"/>
            <w:vAlign w:val="center"/>
          </w:tcPr>
          <w:p>
            <w:pPr>
              <w:rPr>
                <w:rFonts w:ascii="宋体" w:hAnsi="宋体"/>
                <w:bCs/>
                <w:szCs w:val="24"/>
              </w:rPr>
            </w:pPr>
            <w:r>
              <w:rPr>
                <w:rFonts w:hint="eastAsia" w:ascii="宋体" w:hAnsi="宋体"/>
                <w:bCs/>
                <w:szCs w:val="24"/>
              </w:rPr>
              <w:t>附件清单（如有）</w:t>
            </w:r>
          </w:p>
        </w:tc>
        <w:tc>
          <w:tcPr>
            <w:tcW w:w="7229" w:type="dxa"/>
            <w:vAlign w:val="center"/>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2269" w:type="dxa"/>
            <w:vAlign w:val="center"/>
          </w:tcPr>
          <w:p>
            <w:pPr>
              <w:ind w:firstLine="960" w:firstLineChars="400"/>
              <w:rPr>
                <w:rFonts w:ascii="宋体" w:hAnsi="宋体"/>
                <w:bCs/>
                <w:szCs w:val="24"/>
              </w:rPr>
            </w:pPr>
            <w:r>
              <w:rPr>
                <w:rFonts w:hint="eastAsia" w:ascii="宋体" w:hAnsi="宋体"/>
                <w:bCs/>
                <w:szCs w:val="24"/>
              </w:rPr>
              <w:t>日期</w:t>
            </w:r>
          </w:p>
        </w:tc>
        <w:tc>
          <w:tcPr>
            <w:tcW w:w="7229" w:type="dxa"/>
            <w:vAlign w:val="center"/>
          </w:tcPr>
          <w:p>
            <w:pPr>
              <w:rPr>
                <w:rFonts w:ascii="宋体" w:hAnsi="宋体"/>
                <w:szCs w:val="24"/>
              </w:rPr>
            </w:pPr>
            <w:r>
              <w:rPr>
                <w:rFonts w:hint="eastAsia" w:ascii="宋体" w:hAnsi="宋体"/>
                <w:szCs w:val="24"/>
              </w:rPr>
              <w:t>202</w:t>
            </w:r>
            <w:r>
              <w:rPr>
                <w:rFonts w:hint="eastAsia" w:ascii="宋体" w:hAnsi="宋体"/>
                <w:szCs w:val="24"/>
                <w:lang w:val="en-US" w:eastAsia="zh-CN"/>
              </w:rPr>
              <w:t>3</w:t>
            </w:r>
            <w:r>
              <w:rPr>
                <w:rFonts w:hint="eastAsia" w:ascii="宋体" w:hAnsi="宋体"/>
                <w:szCs w:val="24"/>
              </w:rPr>
              <w:t>年</w:t>
            </w:r>
            <w:r>
              <w:rPr>
                <w:rFonts w:hint="eastAsia" w:ascii="宋体" w:hAnsi="宋体"/>
                <w:szCs w:val="24"/>
                <w:lang w:val="en-US" w:eastAsia="zh-CN"/>
              </w:rPr>
              <w:t>9</w:t>
            </w:r>
            <w:r>
              <w:rPr>
                <w:rFonts w:hint="eastAsia" w:ascii="宋体" w:hAnsi="宋体"/>
                <w:szCs w:val="24"/>
              </w:rPr>
              <w:t>月</w:t>
            </w:r>
            <w:r>
              <w:rPr>
                <w:rFonts w:hint="eastAsia" w:ascii="宋体" w:hAnsi="宋体"/>
                <w:szCs w:val="24"/>
                <w:lang w:val="en-US" w:eastAsia="zh-CN"/>
              </w:rPr>
              <w:t>27</w:t>
            </w:r>
            <w:r>
              <w:rPr>
                <w:rFonts w:hint="eastAsia" w:ascii="宋体" w:hAnsi="宋体"/>
                <w:szCs w:val="24"/>
              </w:rPr>
              <w:t>日</w:t>
            </w:r>
          </w:p>
        </w:tc>
      </w:tr>
    </w:tbl>
    <w:p>
      <w:pPr>
        <w:spacing w:line="360" w:lineRule="auto"/>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55A58"/>
    <w:multiLevelType w:val="singleLevel"/>
    <w:tmpl w:val="71C55A58"/>
    <w:lvl w:ilvl="0" w:tentative="0">
      <w:start w:val="5"/>
      <w:numFmt w:val="decimal"/>
      <w:lvlText w:val="%1."/>
      <w:lvlJc w:val="left"/>
      <w:pPr>
        <w:tabs>
          <w:tab w:val="left" w:pos="312"/>
        </w:tabs>
      </w:pPr>
    </w:lvl>
  </w:abstractNum>
  <w:abstractNum w:abstractNumId="1">
    <w:nsid w:val="7FD43353"/>
    <w:multiLevelType w:val="multilevel"/>
    <w:tmpl w:val="7FD4335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46"/>
    <w:rsid w:val="00010914"/>
    <w:rsid w:val="0001668A"/>
    <w:rsid w:val="00017FC7"/>
    <w:rsid w:val="00030820"/>
    <w:rsid w:val="00093170"/>
    <w:rsid w:val="000A2A5E"/>
    <w:rsid w:val="000B61FC"/>
    <w:rsid w:val="000C527B"/>
    <w:rsid w:val="000D0305"/>
    <w:rsid w:val="000D2872"/>
    <w:rsid w:val="000D3651"/>
    <w:rsid w:val="000E1009"/>
    <w:rsid w:val="000F6AE3"/>
    <w:rsid w:val="0011227F"/>
    <w:rsid w:val="00112295"/>
    <w:rsid w:val="00122965"/>
    <w:rsid w:val="001540EC"/>
    <w:rsid w:val="00171B17"/>
    <w:rsid w:val="001A72B0"/>
    <w:rsid w:val="001B09BE"/>
    <w:rsid w:val="001F0F88"/>
    <w:rsid w:val="0020500F"/>
    <w:rsid w:val="00232D6B"/>
    <w:rsid w:val="002424EE"/>
    <w:rsid w:val="0027246B"/>
    <w:rsid w:val="002C77B3"/>
    <w:rsid w:val="002F4965"/>
    <w:rsid w:val="00305250"/>
    <w:rsid w:val="0034287C"/>
    <w:rsid w:val="003429C5"/>
    <w:rsid w:val="00346C4E"/>
    <w:rsid w:val="00364063"/>
    <w:rsid w:val="00370E82"/>
    <w:rsid w:val="00395DEA"/>
    <w:rsid w:val="003A3A46"/>
    <w:rsid w:val="003D300F"/>
    <w:rsid w:val="003D594C"/>
    <w:rsid w:val="003E5F57"/>
    <w:rsid w:val="003F3C92"/>
    <w:rsid w:val="00403F71"/>
    <w:rsid w:val="00422B27"/>
    <w:rsid w:val="00447C38"/>
    <w:rsid w:val="0045631E"/>
    <w:rsid w:val="004754E9"/>
    <w:rsid w:val="00484771"/>
    <w:rsid w:val="004B4F9E"/>
    <w:rsid w:val="004E40CA"/>
    <w:rsid w:val="004F44C0"/>
    <w:rsid w:val="004F567B"/>
    <w:rsid w:val="0050698A"/>
    <w:rsid w:val="00513BB5"/>
    <w:rsid w:val="00546721"/>
    <w:rsid w:val="005B3005"/>
    <w:rsid w:val="005B3C1E"/>
    <w:rsid w:val="005F1076"/>
    <w:rsid w:val="005F1642"/>
    <w:rsid w:val="006028BA"/>
    <w:rsid w:val="00611664"/>
    <w:rsid w:val="006376C5"/>
    <w:rsid w:val="00686DE9"/>
    <w:rsid w:val="0069319E"/>
    <w:rsid w:val="006A162E"/>
    <w:rsid w:val="006B0FCC"/>
    <w:rsid w:val="006B4D65"/>
    <w:rsid w:val="006D1CFD"/>
    <w:rsid w:val="006D795B"/>
    <w:rsid w:val="00700E26"/>
    <w:rsid w:val="007443AE"/>
    <w:rsid w:val="00761D91"/>
    <w:rsid w:val="00770315"/>
    <w:rsid w:val="00773E29"/>
    <w:rsid w:val="00777372"/>
    <w:rsid w:val="00784B32"/>
    <w:rsid w:val="007959A6"/>
    <w:rsid w:val="007B79B7"/>
    <w:rsid w:val="008030E0"/>
    <w:rsid w:val="0084410B"/>
    <w:rsid w:val="00880942"/>
    <w:rsid w:val="008B3DD4"/>
    <w:rsid w:val="008D105D"/>
    <w:rsid w:val="008E1A53"/>
    <w:rsid w:val="008E1D3B"/>
    <w:rsid w:val="008F6F06"/>
    <w:rsid w:val="00924C00"/>
    <w:rsid w:val="00952A56"/>
    <w:rsid w:val="00995A45"/>
    <w:rsid w:val="009B1F9F"/>
    <w:rsid w:val="009F4679"/>
    <w:rsid w:val="00A300B7"/>
    <w:rsid w:val="00A312F2"/>
    <w:rsid w:val="00A32E37"/>
    <w:rsid w:val="00A77C67"/>
    <w:rsid w:val="00A84302"/>
    <w:rsid w:val="00AC54E5"/>
    <w:rsid w:val="00B12AB3"/>
    <w:rsid w:val="00B2253C"/>
    <w:rsid w:val="00B23BD4"/>
    <w:rsid w:val="00B71EE6"/>
    <w:rsid w:val="00B90009"/>
    <w:rsid w:val="00B9039D"/>
    <w:rsid w:val="00B9067E"/>
    <w:rsid w:val="00BB2E0D"/>
    <w:rsid w:val="00BC7837"/>
    <w:rsid w:val="00BE37A5"/>
    <w:rsid w:val="00BF7C30"/>
    <w:rsid w:val="00C01462"/>
    <w:rsid w:val="00C50E69"/>
    <w:rsid w:val="00CA7DEA"/>
    <w:rsid w:val="00CF3A2C"/>
    <w:rsid w:val="00D07C87"/>
    <w:rsid w:val="00DB1078"/>
    <w:rsid w:val="00DC0644"/>
    <w:rsid w:val="00DC5E46"/>
    <w:rsid w:val="00DE2245"/>
    <w:rsid w:val="00E36E2D"/>
    <w:rsid w:val="00E42966"/>
    <w:rsid w:val="00E51992"/>
    <w:rsid w:val="00E532AC"/>
    <w:rsid w:val="00E9000F"/>
    <w:rsid w:val="00E90472"/>
    <w:rsid w:val="00EC315B"/>
    <w:rsid w:val="00EF486B"/>
    <w:rsid w:val="00F025FE"/>
    <w:rsid w:val="00F45C34"/>
    <w:rsid w:val="00F46AAA"/>
    <w:rsid w:val="00F533E5"/>
    <w:rsid w:val="00F74859"/>
    <w:rsid w:val="00F96797"/>
    <w:rsid w:val="0B1905E1"/>
    <w:rsid w:val="0EA23799"/>
    <w:rsid w:val="112E2655"/>
    <w:rsid w:val="15991AE1"/>
    <w:rsid w:val="24BB4FFE"/>
    <w:rsid w:val="35DF15CB"/>
    <w:rsid w:val="3AB718C1"/>
    <w:rsid w:val="3DEC2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4"/>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批注框文本 字符"/>
    <w:basedOn w:val="7"/>
    <w:link w:val="2"/>
    <w:semiHidden/>
    <w:qFormat/>
    <w:uiPriority w:val="99"/>
    <w:rPr>
      <w:rFonts w:ascii="Times New Roman" w:hAnsi="Times New Roman" w:eastAsia="宋体"/>
      <w:sz w:val="18"/>
      <w:szCs w:val="18"/>
    </w:rPr>
  </w:style>
  <w:style w:type="character" w:customStyle="1" w:styleId="9">
    <w:name w:val="页眉 字符"/>
    <w:basedOn w:val="7"/>
    <w:link w:val="4"/>
    <w:qFormat/>
    <w:uiPriority w:val="99"/>
    <w:rPr>
      <w:rFonts w:ascii="Times New Roman" w:hAnsi="Times New Roman" w:eastAsia="宋体"/>
      <w:sz w:val="18"/>
      <w:szCs w:val="18"/>
    </w:rPr>
  </w:style>
  <w:style w:type="character" w:customStyle="1" w:styleId="10">
    <w:name w:val="页脚 字符"/>
    <w:basedOn w:val="7"/>
    <w:link w:val="3"/>
    <w:qFormat/>
    <w:uiPriority w:val="99"/>
    <w:rPr>
      <w:rFonts w:ascii="Times New Roman" w:hAnsi="Times New Roman" w:eastAsia="宋体"/>
      <w:sz w:val="18"/>
      <w:szCs w:val="18"/>
    </w:rPr>
  </w:style>
  <w:style w:type="paragraph" w:styleId="11">
    <w:name w:val="List Paragraph"/>
    <w:basedOn w:val="1"/>
    <w:qFormat/>
    <w:uiPriority w:val="34"/>
    <w:pPr>
      <w:ind w:firstLine="420" w:firstLineChars="200"/>
    </w:pPr>
  </w:style>
  <w:style w:type="paragraph" w:customStyle="1" w:styleId="12">
    <w:name w:val="005正文"/>
    <w:basedOn w:val="1"/>
    <w:link w:val="13"/>
    <w:qFormat/>
    <w:uiPriority w:val="0"/>
    <w:pPr>
      <w:widowControl/>
      <w:spacing w:before="50" w:beforeLines="50" w:after="50" w:afterLines="50" w:line="360" w:lineRule="auto"/>
      <w:ind w:firstLine="200" w:firstLineChars="200"/>
    </w:pPr>
    <w:rPr>
      <w:rFonts w:cs="Times New Roman"/>
      <w:szCs w:val="24"/>
    </w:rPr>
  </w:style>
  <w:style w:type="character" w:customStyle="1" w:styleId="13">
    <w:name w:val="005正文 Char"/>
    <w:link w:val="12"/>
    <w:qFormat/>
    <w:uiPriority w:val="0"/>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168</Words>
  <Characters>958</Characters>
  <Lines>7</Lines>
  <Paragraphs>2</Paragraphs>
  <TotalTime>32</TotalTime>
  <ScaleCrop>false</ScaleCrop>
  <LinksUpToDate>false</LinksUpToDate>
  <CharactersWithSpaces>1124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2021-07-17T05:40:00Z</dcterms:created>
  <dc:creator>荣大-李雷</dc:creator>
  <cp:lastModifiedBy>HP</cp:lastModifiedBy>
  <dcterms:modified xsi:type="dcterms:W3CDTF">2023-09-27T09:24:56Z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