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521" w:rsidRDefault="00B9015F">
      <w:pPr>
        <w:spacing w:beforeLines="50" w:before="156" w:afterLines="50" w:after="156" w:line="400" w:lineRule="exact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5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95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 xml:space="preserve">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证券简称：</w:t>
      </w:r>
      <w:proofErr w:type="gramStart"/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芯海科技</w:t>
      </w:r>
      <w:proofErr w:type="gramEnd"/>
    </w:p>
    <w:p w:rsidR="00E66521" w:rsidRDefault="00E66521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</w:p>
    <w:p w:rsidR="00E66521" w:rsidRDefault="00B9015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proofErr w:type="gramStart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芯海科技</w:t>
      </w:r>
      <w:proofErr w:type="gramEnd"/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（深圳）股份有限公司</w:t>
      </w:r>
    </w:p>
    <w:p w:rsidR="00E66521" w:rsidRDefault="00B9015F">
      <w:pPr>
        <w:spacing w:beforeLines="50" w:before="156" w:afterLines="50" w:after="156" w:line="400" w:lineRule="exact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:rsidR="00E66521" w:rsidRDefault="00B9015F">
      <w:pPr>
        <w:spacing w:line="400" w:lineRule="exact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编号：2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023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>
        <w:rPr>
          <w:rFonts w:ascii="宋体" w:eastAsia="宋体" w:hAnsi="宋体" w:cs="Times New Roman"/>
          <w:bCs/>
          <w:iCs/>
          <w:color w:val="000000"/>
          <w:sz w:val="24"/>
        </w:rPr>
        <w:t>009</w:t>
      </w:r>
    </w:p>
    <w:tbl>
      <w:tblPr>
        <w:tblW w:w="10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4045"/>
        <w:gridCol w:w="2346"/>
        <w:gridCol w:w="2902"/>
      </w:tblGrid>
      <w:tr w:rsidR="00E6652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21" w:rsidRDefault="00B9015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■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特定对象调研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:rsidR="00E66521" w:rsidRDefault="00B9015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媒体采访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</w:p>
          <w:p w:rsidR="00E66521" w:rsidRDefault="00B9015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:rsidR="00E66521" w:rsidRDefault="00B9015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□现场参观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□电话会议</w:t>
            </w:r>
          </w:p>
          <w:p w:rsidR="00E66521" w:rsidRDefault="00B9015F">
            <w:pPr>
              <w:tabs>
                <w:tab w:val="left" w:pos="2808"/>
                <w:tab w:val="center" w:pos="3199"/>
              </w:tabs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□其他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</w:p>
        </w:tc>
      </w:tr>
      <w:tr w:rsidR="00E66521">
        <w:trPr>
          <w:trHeight w:val="90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21" w:rsidRDefault="00B9015F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2023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9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27</w:t>
            </w:r>
            <w: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21" w:rsidRDefault="00B9015F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</w:t>
            </w:r>
          </w:p>
        </w:tc>
      </w:tr>
      <w:tr w:rsidR="00E66521">
        <w:trPr>
          <w:trHeight w:val="3711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21" w:rsidRDefault="00B9015F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当前经济环境不确定性较大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且行业竞争激烈，请问公司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如何展望未来景气度？</w:t>
            </w:r>
          </w:p>
          <w:p w:rsidR="00E66521" w:rsidRDefault="00B9015F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虽然半导体行业去年至今维持去库存态势，但公司始终认为国产替代的逻辑没有改变。目前下游终端产品国产化率依然偏低，对于公司而言仍存在巨大市场空间，未来随着客户库存压力缓解，公司与客户联合定义新产品的创新优势将得到发挥，在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BMS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、传感器调理、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PC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、汽车电子等重点战略方向上，不断提升自身行业地位。</w:t>
            </w:r>
          </w:p>
          <w:p w:rsidR="00E66521" w:rsidRDefault="00B9015F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公司的核心竞争力和竞争策略是什么？</w:t>
            </w:r>
          </w:p>
          <w:p w:rsidR="00E66521" w:rsidRDefault="00B9015F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经过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年的发展，在高精度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ADC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和高可靠性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MCU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领域持续研发，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形成了</w:t>
            </w:r>
            <w:r>
              <w:rPr>
                <w:rFonts w:ascii="宋体" w:eastAsia="宋体" w:hAnsi="宋体" w:cs="宋体"/>
                <w:sz w:val="24"/>
                <w:szCs w:val="24"/>
              </w:rPr>
              <w:t>模拟</w:t>
            </w:r>
            <w:r>
              <w:rPr>
                <w:rFonts w:ascii="宋体" w:eastAsia="宋体" w:hAnsi="宋体" w:cs="宋体"/>
                <w:sz w:val="24"/>
                <w:szCs w:val="24"/>
              </w:rPr>
              <w:t>+MCU</w:t>
            </w:r>
            <w:r>
              <w:rPr>
                <w:rFonts w:ascii="宋体" w:eastAsia="宋体" w:hAnsi="宋体" w:cs="宋体"/>
                <w:sz w:val="24"/>
                <w:szCs w:val="24"/>
              </w:rPr>
              <w:t>的双平台的技术能力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在洞察客户需求的基础上，我们可以基于双平台的优势，快速推出满足客户需求的产品，进而赢得客户，构建竞争壁垒。也因为这种模式，我们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跟行业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内的很多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细分领域的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标杆客户建立了良好的合作关系，为公司后续发展打下了良好的基础。</w:t>
            </w:r>
          </w:p>
          <w:p w:rsidR="00E66521" w:rsidRDefault="00B9015F">
            <w:pPr>
              <w:pStyle w:val="a3"/>
              <w:numPr>
                <w:ilvl w:val="0"/>
                <w:numId w:val="1"/>
              </w:numPr>
              <w:spacing w:line="480" w:lineRule="atLeast"/>
              <w:ind w:left="0" w:firstLineChars="0" w:firstLine="0"/>
              <w:rPr>
                <w:rFonts w:ascii="宋体" w:eastAsia="宋体" w:hAnsi="宋体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毛利率恢复的驱动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力</w:t>
            </w:r>
            <w:r>
              <w:rPr>
                <w:rFonts w:ascii="宋体" w:eastAsia="宋体" w:hAnsi="宋体" w:cs="Times New Roman" w:hint="eastAsia"/>
                <w:b/>
                <w:bCs/>
                <w:iCs/>
                <w:color w:val="000000"/>
                <w:sz w:val="24"/>
                <w:szCs w:val="24"/>
              </w:rPr>
              <w:t>是什么？</w:t>
            </w:r>
          </w:p>
          <w:p w:rsidR="00E66521" w:rsidRDefault="00B9015F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由于产业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供应链端高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库存带来的供需关系错配，加之产品竞争激烈，销售价格承压，部分产品毛利率水平受到较大幅度的影响。随着行业逐步回暖，公司新产品上市，且上游产业</w:t>
            </w:r>
            <w:proofErr w:type="gramStart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链回归</w:t>
            </w:r>
            <w:proofErr w:type="gramEnd"/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“缺货潮”前的产能水平，采购价格逐步回归至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2021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lastRenderedPageBreak/>
              <w:t>年前水平，公司毛利率开始逐步改善</w:t>
            </w:r>
            <w:r>
              <w:rPr>
                <w:rFonts w:ascii="宋体" w:eastAsia="宋体" w:hAnsi="宋体" w:cs="宋体"/>
                <w:sz w:val="24"/>
                <w:szCs w:val="24"/>
              </w:rPr>
              <w:t>。</w:t>
            </w:r>
          </w:p>
          <w:p w:rsidR="00E66521" w:rsidRDefault="00B9015F">
            <w:pPr>
              <w:numPr>
                <w:ilvl w:val="0"/>
                <w:numId w:val="1"/>
              </w:numPr>
              <w:spacing w:line="480" w:lineRule="atLeast"/>
              <w:ind w:left="0" w:firstLine="0"/>
              <w:rPr>
                <w:rFonts w:ascii="宋体" w:eastAsia="宋体" w:hAnsi="宋体" w:cs="Times New Roman"/>
                <w:b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公司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未来研发费用开支是如何规划的</w:t>
            </w:r>
            <w:r>
              <w:rPr>
                <w:rFonts w:ascii="宋体" w:eastAsia="宋体" w:hAnsi="宋体" w:cs="Times New Roman" w:hint="eastAsia"/>
                <w:b/>
                <w:iCs/>
                <w:color w:val="000000"/>
                <w:sz w:val="24"/>
                <w:szCs w:val="24"/>
              </w:rPr>
              <w:t>？</w:t>
            </w:r>
          </w:p>
          <w:p w:rsidR="00E66521" w:rsidRDefault="00B9015F">
            <w:pPr>
              <w:pStyle w:val="a3"/>
              <w:spacing w:line="480" w:lineRule="atLeast"/>
              <w:ind w:leftChars="200" w:left="420" w:firstLineChars="0" w:firstLine="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公司回答：</w:t>
            </w:r>
            <w:r>
              <w:rPr>
                <w:rFonts w:ascii="宋体" w:eastAsia="宋体" w:hAnsi="宋体" w:cs="Times New Roman" w:hint="eastAsia"/>
                <w:iCs/>
                <w:color w:val="000000"/>
                <w:sz w:val="24"/>
                <w:szCs w:val="24"/>
              </w:rPr>
              <w:t>公司研发费用主要来自研发人员薪资，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经过前两年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对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高质量人员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特别是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汽车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电子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工业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电子及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质量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管理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团队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的快速吸收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我们已经构建了较为完善的研发组织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，</w:t>
            </w:r>
            <w:r>
              <w:rPr>
                <w:rFonts w:ascii="宋体" w:eastAsia="宋体" w:hAnsi="宋体" w:cs="宋体"/>
                <w:sz w:val="24"/>
                <w:szCs w:val="24"/>
              </w:rPr>
              <w:t>研发费用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将随之</w:t>
            </w:r>
            <w:r>
              <w:rPr>
                <w:rFonts w:ascii="宋体" w:eastAsia="宋体" w:hAnsi="宋体" w:cs="宋体"/>
                <w:sz w:val="24"/>
                <w:szCs w:val="24"/>
              </w:rPr>
              <w:t>趋于稳定，不会再大幅上涨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未来公司将放缓人员扩张速度，转而将注意力放在提升公司管理效率，降低运营成本，提高公司利润水平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</w:t>
            </w:r>
            <w:r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  <w:t>。</w:t>
            </w:r>
          </w:p>
          <w:p w:rsidR="00E66521" w:rsidRDefault="00E66521">
            <w:pPr>
              <w:pStyle w:val="a3"/>
              <w:spacing w:line="480" w:lineRule="atLeast"/>
              <w:ind w:firstLine="480"/>
              <w:rPr>
                <w:rFonts w:ascii="宋体" w:eastAsia="宋体" w:hAnsi="宋体" w:cs="Times New Roman"/>
                <w:iCs/>
                <w:color w:val="000000"/>
                <w:sz w:val="24"/>
                <w:szCs w:val="24"/>
              </w:rPr>
            </w:pPr>
          </w:p>
        </w:tc>
      </w:tr>
      <w:tr w:rsidR="00E66521">
        <w:trPr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附件清单</w:t>
            </w:r>
          </w:p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（如有）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521" w:rsidRDefault="00B9015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E66521">
        <w:trPr>
          <w:jc w:val="center"/>
        </w:trPr>
        <w:tc>
          <w:tcPr>
            <w:tcW w:w="10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spacing w:line="480" w:lineRule="atLeast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以下为本次活动参与人员签字页</w:t>
            </w:r>
          </w:p>
        </w:tc>
      </w:tr>
      <w:tr w:rsidR="00E66521">
        <w:trPr>
          <w:trHeight w:hRule="exact" w:val="2028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参与单位名称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spacing w:line="480" w:lineRule="atLeas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UG INVESTMENT ADVISORS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GROWTH INTERFACE MANAGEMENT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JENERATION CAPITAL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CENTRAL ASSET INVESTMENTS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YIHENG CAPITAL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COREVIEW CAPITAL MANAGEMENT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FORWARDEDGE 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INVESTMENT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WELLINGTON MANAGEMENT COMPANY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BALYASNY ASSET MANAGEMENT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MORGAN STANLEY</w:t>
            </w:r>
          </w:p>
        </w:tc>
      </w:tr>
      <w:tr w:rsidR="00E66521">
        <w:trPr>
          <w:trHeight w:hRule="exact" w:val="1407"/>
          <w:jc w:val="center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92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6521" w:rsidRDefault="00B9015F">
            <w:pPr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&amp;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副总经理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万巍</w:t>
            </w:r>
          </w:p>
        </w:tc>
      </w:tr>
    </w:tbl>
    <w:p w:rsidR="00E66521" w:rsidRDefault="00E66521"/>
    <w:p w:rsidR="00E66521" w:rsidRDefault="00E66521"/>
    <w:p w:rsidR="00E66521" w:rsidRDefault="00E66521"/>
    <w:p w:rsidR="00E66521" w:rsidRDefault="00E66521"/>
    <w:sectPr w:rsidR="00E6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42B47"/>
    <w:multiLevelType w:val="multilevel"/>
    <w:tmpl w:val="59F42B47"/>
    <w:lvl w:ilvl="0">
      <w:start w:val="1"/>
      <w:numFmt w:val="decimal"/>
      <w:lvlText w:val="%1、"/>
      <w:lvlJc w:val="left"/>
      <w:pPr>
        <w:ind w:left="961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1" w:hanging="420"/>
      </w:pPr>
    </w:lvl>
    <w:lvl w:ilvl="2">
      <w:start w:val="1"/>
      <w:numFmt w:val="lowerRoman"/>
      <w:lvlText w:val="%3."/>
      <w:lvlJc w:val="right"/>
      <w:pPr>
        <w:ind w:left="1501" w:hanging="420"/>
      </w:pPr>
    </w:lvl>
    <w:lvl w:ilvl="3">
      <w:start w:val="1"/>
      <w:numFmt w:val="decimal"/>
      <w:lvlText w:val="%4."/>
      <w:lvlJc w:val="left"/>
      <w:pPr>
        <w:ind w:left="1921" w:hanging="420"/>
      </w:pPr>
    </w:lvl>
    <w:lvl w:ilvl="4">
      <w:start w:val="1"/>
      <w:numFmt w:val="lowerLetter"/>
      <w:lvlText w:val="%5)"/>
      <w:lvlJc w:val="left"/>
      <w:pPr>
        <w:ind w:left="2341" w:hanging="420"/>
      </w:pPr>
    </w:lvl>
    <w:lvl w:ilvl="5">
      <w:start w:val="1"/>
      <w:numFmt w:val="lowerRoman"/>
      <w:lvlText w:val="%6."/>
      <w:lvlJc w:val="right"/>
      <w:pPr>
        <w:ind w:left="2761" w:hanging="420"/>
      </w:pPr>
    </w:lvl>
    <w:lvl w:ilvl="6">
      <w:start w:val="1"/>
      <w:numFmt w:val="decimal"/>
      <w:lvlText w:val="%7."/>
      <w:lvlJc w:val="left"/>
      <w:pPr>
        <w:ind w:left="3181" w:hanging="420"/>
      </w:pPr>
    </w:lvl>
    <w:lvl w:ilvl="7">
      <w:start w:val="1"/>
      <w:numFmt w:val="lowerLetter"/>
      <w:lvlText w:val="%8)"/>
      <w:lvlJc w:val="left"/>
      <w:pPr>
        <w:ind w:left="3601" w:hanging="420"/>
      </w:pPr>
    </w:lvl>
    <w:lvl w:ilvl="8">
      <w:start w:val="1"/>
      <w:numFmt w:val="lowerRoman"/>
      <w:lvlText w:val="%9."/>
      <w:lvlJc w:val="right"/>
      <w:pPr>
        <w:ind w:left="402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72A27"/>
    <w:rsid w:val="00B9015F"/>
    <w:rsid w:val="00E66521"/>
    <w:rsid w:val="06D53C2F"/>
    <w:rsid w:val="08CE7167"/>
    <w:rsid w:val="0BCD51F8"/>
    <w:rsid w:val="0E97168B"/>
    <w:rsid w:val="0F2B1C26"/>
    <w:rsid w:val="0F635FF5"/>
    <w:rsid w:val="14073108"/>
    <w:rsid w:val="142C44D2"/>
    <w:rsid w:val="1E533EAD"/>
    <w:rsid w:val="1E6142E5"/>
    <w:rsid w:val="2185350F"/>
    <w:rsid w:val="21A803FA"/>
    <w:rsid w:val="24B07FC9"/>
    <w:rsid w:val="259031AD"/>
    <w:rsid w:val="267D10F7"/>
    <w:rsid w:val="29160E63"/>
    <w:rsid w:val="29C639D9"/>
    <w:rsid w:val="2B5C0BE8"/>
    <w:rsid w:val="2C3D0FF7"/>
    <w:rsid w:val="2C80321E"/>
    <w:rsid w:val="2CCB5A48"/>
    <w:rsid w:val="32C01D0B"/>
    <w:rsid w:val="33AA18C5"/>
    <w:rsid w:val="33F4636D"/>
    <w:rsid w:val="350B766F"/>
    <w:rsid w:val="38542338"/>
    <w:rsid w:val="3ED74F9B"/>
    <w:rsid w:val="408920A1"/>
    <w:rsid w:val="413A353A"/>
    <w:rsid w:val="417C2021"/>
    <w:rsid w:val="44026277"/>
    <w:rsid w:val="473C5E11"/>
    <w:rsid w:val="476A60E3"/>
    <w:rsid w:val="4896134E"/>
    <w:rsid w:val="492D2BAA"/>
    <w:rsid w:val="504B66F6"/>
    <w:rsid w:val="51675E9B"/>
    <w:rsid w:val="51852684"/>
    <w:rsid w:val="54FD2B57"/>
    <w:rsid w:val="56230B49"/>
    <w:rsid w:val="58A54D50"/>
    <w:rsid w:val="5AD31534"/>
    <w:rsid w:val="614743B7"/>
    <w:rsid w:val="637A5785"/>
    <w:rsid w:val="63AA394A"/>
    <w:rsid w:val="665D27CA"/>
    <w:rsid w:val="670E0286"/>
    <w:rsid w:val="68C441CC"/>
    <w:rsid w:val="698D74BA"/>
    <w:rsid w:val="69C60DB1"/>
    <w:rsid w:val="6A74501D"/>
    <w:rsid w:val="6C5F0D02"/>
    <w:rsid w:val="6D7567EE"/>
    <w:rsid w:val="6FA872BF"/>
    <w:rsid w:val="722F03FF"/>
    <w:rsid w:val="73543AD1"/>
    <w:rsid w:val="77453182"/>
    <w:rsid w:val="777A671F"/>
    <w:rsid w:val="77CF6BFC"/>
    <w:rsid w:val="7A117749"/>
    <w:rsid w:val="7C992F3B"/>
    <w:rsid w:val="7F6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9EC69D"/>
  <w15:docId w15:val="{EC627CDB-ED3A-4484-AB3C-48A871A7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zhoujy</dc:creator>
  <cp:lastModifiedBy>吴元</cp:lastModifiedBy>
  <cp:revision>2</cp:revision>
  <dcterms:created xsi:type="dcterms:W3CDTF">2023-09-28T07:00:00Z</dcterms:created>
  <dcterms:modified xsi:type="dcterms:W3CDTF">2023-09-28T07:00:00Z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