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DA55" w14:textId="77777777" w:rsidR="00A74907" w:rsidRDefault="00A74907" w:rsidP="000F7581">
      <w:pPr>
        <w:pStyle w:val="a3"/>
        <w:tabs>
          <w:tab w:val="left" w:pos="6380"/>
        </w:tabs>
        <w:spacing w:before="89"/>
      </w:pPr>
      <w:r w:rsidRPr="000F7581">
        <w:t>证券代码：688267</w:t>
      </w:r>
      <w:r w:rsidRPr="000F7581">
        <w:tab/>
      </w:r>
      <w:r>
        <w:t>证券简称：</w:t>
      </w:r>
      <w:r>
        <w:rPr>
          <w:rFonts w:hint="eastAsia"/>
        </w:rPr>
        <w:t>中触媒</w:t>
      </w:r>
    </w:p>
    <w:p w14:paraId="439A68D9" w14:textId="77777777" w:rsidR="000F7581" w:rsidRDefault="000F7581" w:rsidP="000F7581">
      <w:pPr>
        <w:pStyle w:val="a3"/>
        <w:spacing w:before="80" w:after="15"/>
        <w:ind w:right="983"/>
        <w:jc w:val="center"/>
        <w:rPr>
          <w:rFonts w:ascii="黑体" w:eastAsia="黑体" w:hAnsi="黑体"/>
          <w:sz w:val="36"/>
          <w:szCs w:val="36"/>
        </w:rPr>
      </w:pPr>
      <w:r>
        <w:rPr>
          <w:rFonts w:hint="eastAsia"/>
        </w:rPr>
        <w:t xml:space="preserve"> </w:t>
      </w:r>
      <w:r>
        <w:t xml:space="preserve">     </w:t>
      </w:r>
      <w:r w:rsidRPr="000F7581">
        <w:rPr>
          <w:rFonts w:ascii="黑体" w:eastAsia="黑体" w:hAnsi="黑体"/>
          <w:sz w:val="36"/>
          <w:szCs w:val="36"/>
        </w:rPr>
        <w:t xml:space="preserve"> </w:t>
      </w:r>
    </w:p>
    <w:p w14:paraId="09D37E69" w14:textId="0B81C1F7" w:rsidR="000F7581" w:rsidRPr="000F7581" w:rsidRDefault="000F7581" w:rsidP="000F7581">
      <w:pPr>
        <w:pStyle w:val="a3"/>
        <w:spacing w:before="80" w:after="15"/>
        <w:ind w:right="983"/>
        <w:jc w:val="center"/>
        <w:rPr>
          <w:rFonts w:ascii="黑体" w:eastAsia="黑体" w:hAnsi="黑体"/>
          <w:sz w:val="36"/>
          <w:szCs w:val="36"/>
        </w:rPr>
      </w:pPr>
      <w:r>
        <w:rPr>
          <w:rFonts w:ascii="黑体" w:eastAsia="黑体" w:hAnsi="黑体" w:hint="eastAsia"/>
          <w:sz w:val="36"/>
          <w:szCs w:val="36"/>
        </w:rPr>
        <w:t xml:space="preserve"> </w:t>
      </w:r>
      <w:r>
        <w:rPr>
          <w:rFonts w:ascii="黑体" w:eastAsia="黑体" w:hAnsi="黑体"/>
          <w:sz w:val="36"/>
          <w:szCs w:val="36"/>
        </w:rPr>
        <w:t xml:space="preserve">       </w:t>
      </w:r>
      <w:r w:rsidRPr="000F7581">
        <w:rPr>
          <w:rFonts w:ascii="黑体" w:eastAsia="黑体" w:hAnsi="黑体" w:hint="eastAsia"/>
          <w:sz w:val="36"/>
          <w:szCs w:val="36"/>
        </w:rPr>
        <w:t>中触媒新材</w:t>
      </w:r>
      <w:r w:rsidR="00C04526">
        <w:rPr>
          <w:rFonts w:ascii="黑体" w:eastAsia="黑体" w:hAnsi="黑体" w:hint="eastAsia"/>
          <w:sz w:val="36"/>
          <w:szCs w:val="36"/>
        </w:rPr>
        <w:t>料</w:t>
      </w:r>
      <w:r w:rsidRPr="000F7581">
        <w:rPr>
          <w:rFonts w:ascii="黑体" w:eastAsia="黑体" w:hAnsi="黑体" w:hint="eastAsia"/>
          <w:sz w:val="36"/>
          <w:szCs w:val="36"/>
        </w:rPr>
        <w:t>股份有限公司</w:t>
      </w:r>
    </w:p>
    <w:p w14:paraId="5141CB55" w14:textId="53AA1FCB" w:rsidR="000F7581" w:rsidRPr="000F7581" w:rsidRDefault="000F7581" w:rsidP="000F7581">
      <w:pPr>
        <w:pStyle w:val="a3"/>
        <w:spacing w:before="80" w:after="15"/>
        <w:ind w:right="983"/>
        <w:jc w:val="center"/>
        <w:rPr>
          <w:rFonts w:ascii="黑体" w:eastAsia="黑体" w:hAnsi="黑体"/>
          <w:sz w:val="36"/>
          <w:szCs w:val="36"/>
        </w:rPr>
      </w:pPr>
      <w:r w:rsidRPr="000F7581">
        <w:rPr>
          <w:rFonts w:ascii="黑体" w:eastAsia="黑体" w:hAnsi="黑体" w:hint="eastAsia"/>
          <w:sz w:val="36"/>
          <w:szCs w:val="36"/>
        </w:rPr>
        <w:t xml:space="preserve"> </w:t>
      </w:r>
      <w:r w:rsidRPr="000F7581">
        <w:rPr>
          <w:rFonts w:ascii="黑体" w:eastAsia="黑体" w:hAnsi="黑体"/>
          <w:sz w:val="36"/>
          <w:szCs w:val="36"/>
        </w:rPr>
        <w:t xml:space="preserve">     </w:t>
      </w:r>
      <w:r>
        <w:rPr>
          <w:rFonts w:ascii="黑体" w:eastAsia="黑体" w:hAnsi="黑体"/>
          <w:sz w:val="36"/>
          <w:szCs w:val="36"/>
        </w:rPr>
        <w:t xml:space="preserve"> </w:t>
      </w:r>
      <w:r w:rsidRPr="000F7581">
        <w:rPr>
          <w:rFonts w:ascii="黑体" w:eastAsia="黑体" w:hAnsi="黑体" w:hint="eastAsia"/>
          <w:sz w:val="36"/>
          <w:szCs w:val="36"/>
        </w:rPr>
        <w:t>投资者关系活动记录表</w:t>
      </w:r>
    </w:p>
    <w:p w14:paraId="46D2B831" w14:textId="55342BE0" w:rsidR="00A74907" w:rsidRPr="00E71412" w:rsidRDefault="000F7581" w:rsidP="000F7581">
      <w:pPr>
        <w:pStyle w:val="a3"/>
        <w:spacing w:before="80" w:after="15"/>
        <w:ind w:right="23"/>
        <w:jc w:val="right"/>
        <w:rPr>
          <w:lang w:val="en-US"/>
        </w:rPr>
      </w:pPr>
      <w:r>
        <w:rPr>
          <w:rFonts w:hint="eastAsia"/>
        </w:rPr>
        <w:t xml:space="preserve"> </w:t>
      </w:r>
      <w:r>
        <w:t xml:space="preserve">     </w:t>
      </w:r>
      <w:r w:rsidR="00A74907">
        <w:t>编号：</w:t>
      </w:r>
      <w:r w:rsidR="00A74907" w:rsidRPr="00E71412">
        <w:t>202</w:t>
      </w:r>
      <w:r w:rsidR="002733AA" w:rsidRPr="00E71412">
        <w:t>3</w:t>
      </w:r>
      <w:r w:rsidR="00A74907" w:rsidRPr="00E71412">
        <w:t>-0</w:t>
      </w:r>
      <w:r w:rsidR="008C0ECD" w:rsidRPr="00E71412">
        <w:t>0</w:t>
      </w:r>
      <w:r w:rsidR="00E71412" w:rsidRPr="00E71412">
        <w:rPr>
          <w:lang w:val="en-US"/>
        </w:rPr>
        <w:t>6</w:t>
      </w:r>
    </w:p>
    <w:tbl>
      <w:tblPr>
        <w:tblStyle w:val="TableNormal"/>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7097"/>
      </w:tblGrid>
      <w:tr w:rsidR="00A74907" w14:paraId="7E71103F" w14:textId="77777777" w:rsidTr="00E35A02">
        <w:trPr>
          <w:trHeight w:val="2665"/>
        </w:trPr>
        <w:tc>
          <w:tcPr>
            <w:tcW w:w="1833" w:type="dxa"/>
          </w:tcPr>
          <w:p w14:paraId="1CF0FAE2" w14:textId="77777777" w:rsidR="00A74907" w:rsidRDefault="00A74907" w:rsidP="0042141B">
            <w:pPr>
              <w:pStyle w:val="TableParagraph"/>
              <w:ind w:left="0"/>
              <w:rPr>
                <w:rFonts w:ascii="Times New Roman"/>
                <w:sz w:val="24"/>
                <w:lang w:eastAsia="zh-CN"/>
              </w:rPr>
            </w:pPr>
          </w:p>
          <w:p w14:paraId="63D563BA" w14:textId="77777777" w:rsidR="00A74907" w:rsidRDefault="00A74907" w:rsidP="0042141B">
            <w:pPr>
              <w:pStyle w:val="TableParagraph"/>
              <w:ind w:left="0"/>
              <w:rPr>
                <w:rFonts w:ascii="Times New Roman"/>
                <w:sz w:val="24"/>
                <w:lang w:eastAsia="zh-CN"/>
              </w:rPr>
            </w:pPr>
          </w:p>
          <w:p w14:paraId="0C5FB62F" w14:textId="77777777" w:rsidR="00A74907" w:rsidRDefault="00A74907" w:rsidP="0042141B">
            <w:pPr>
              <w:pStyle w:val="TableParagraph"/>
              <w:spacing w:before="6"/>
              <w:ind w:left="0"/>
              <w:rPr>
                <w:rFonts w:ascii="Times New Roman"/>
                <w:lang w:eastAsia="zh-CN"/>
              </w:rPr>
            </w:pPr>
          </w:p>
          <w:p w14:paraId="4EDCD3DC" w14:textId="77777777" w:rsidR="00A74907" w:rsidRDefault="00A74907" w:rsidP="0042141B">
            <w:pPr>
              <w:pStyle w:val="TableParagraph"/>
              <w:spacing w:line="364" w:lineRule="auto"/>
              <w:ind w:right="82"/>
              <w:rPr>
                <w:sz w:val="24"/>
              </w:rPr>
            </w:pPr>
            <w:r>
              <w:rPr>
                <w:sz w:val="24"/>
              </w:rPr>
              <w:t>投资者关系活动类别</w:t>
            </w:r>
          </w:p>
        </w:tc>
        <w:tc>
          <w:tcPr>
            <w:tcW w:w="7097" w:type="dxa"/>
          </w:tcPr>
          <w:p w14:paraId="08B86DE6" w14:textId="76FD760E" w:rsidR="00A74907" w:rsidRDefault="00A332A3" w:rsidP="0042141B">
            <w:pPr>
              <w:pStyle w:val="TableParagraph"/>
              <w:tabs>
                <w:tab w:val="left" w:pos="2652"/>
              </w:tabs>
              <w:spacing w:before="170"/>
              <w:rPr>
                <w:sz w:val="24"/>
                <w:lang w:eastAsia="zh-CN"/>
              </w:rPr>
            </w:pPr>
            <w:r>
              <w:rPr>
                <w:rFonts w:ascii="Segoe UI Symbol" w:eastAsiaTheme="minorEastAsia" w:hAnsi="Segoe UI Symbol" w:cs="Segoe UI Symbol"/>
                <w:sz w:val="24"/>
                <w:lang w:eastAsia="zh-CN"/>
              </w:rPr>
              <w:t>☑</w:t>
            </w:r>
            <w:r w:rsidR="00A74907">
              <w:rPr>
                <w:sz w:val="24"/>
                <w:lang w:eastAsia="zh-CN"/>
              </w:rPr>
              <w:t>特定对象调研</w:t>
            </w:r>
            <w:r w:rsidR="00A74907">
              <w:rPr>
                <w:sz w:val="24"/>
                <w:lang w:eastAsia="zh-CN"/>
              </w:rPr>
              <w:tab/>
            </w:r>
            <w:r w:rsidR="00A74907">
              <w:rPr>
                <w:rFonts w:ascii="Times New Roman" w:eastAsia="Times New Roman" w:hAnsi="Times New Roman"/>
                <w:spacing w:val="-1"/>
                <w:sz w:val="24"/>
                <w:lang w:eastAsia="zh-CN"/>
              </w:rPr>
              <w:t>□</w:t>
            </w:r>
            <w:r w:rsidR="00A74907">
              <w:rPr>
                <w:sz w:val="24"/>
                <w:lang w:eastAsia="zh-CN"/>
              </w:rPr>
              <w:t>分析师会议</w:t>
            </w:r>
          </w:p>
          <w:p w14:paraId="265CD544" w14:textId="77777777" w:rsidR="00A74907" w:rsidRDefault="00A74907" w:rsidP="0042141B">
            <w:pPr>
              <w:pStyle w:val="TableParagraph"/>
              <w:tabs>
                <w:tab w:val="left" w:pos="2652"/>
              </w:tabs>
              <w:spacing w:before="172"/>
              <w:rPr>
                <w:sz w:val="24"/>
                <w:lang w:eastAsia="zh-CN"/>
              </w:rPr>
            </w:pPr>
            <w:r>
              <w:rPr>
                <w:rFonts w:ascii="Times New Roman" w:eastAsia="Times New Roman" w:hAnsi="Times New Roman"/>
                <w:sz w:val="24"/>
                <w:lang w:eastAsia="zh-CN"/>
              </w:rPr>
              <w:t>□</w:t>
            </w:r>
            <w:r>
              <w:rPr>
                <w:sz w:val="24"/>
                <w:lang w:eastAsia="zh-CN"/>
              </w:rPr>
              <w:t>媒体采访</w:t>
            </w:r>
            <w:r>
              <w:rPr>
                <w:sz w:val="24"/>
                <w:lang w:eastAsia="zh-CN"/>
              </w:rPr>
              <w:tab/>
            </w:r>
            <w:r>
              <w:rPr>
                <w:rFonts w:ascii="Times New Roman" w:eastAsia="Times New Roman" w:hAnsi="Times New Roman"/>
                <w:spacing w:val="-1"/>
                <w:sz w:val="24"/>
                <w:lang w:eastAsia="zh-CN"/>
              </w:rPr>
              <w:t>□</w:t>
            </w:r>
            <w:r>
              <w:rPr>
                <w:sz w:val="24"/>
                <w:lang w:eastAsia="zh-CN"/>
              </w:rPr>
              <w:t>业绩说明会</w:t>
            </w:r>
          </w:p>
          <w:p w14:paraId="526E5AD5" w14:textId="2A71B187" w:rsidR="00A74907" w:rsidRDefault="00A74907" w:rsidP="0042141B">
            <w:pPr>
              <w:pStyle w:val="TableParagraph"/>
              <w:tabs>
                <w:tab w:val="left" w:pos="2652"/>
              </w:tabs>
              <w:spacing w:before="173"/>
              <w:rPr>
                <w:sz w:val="24"/>
                <w:lang w:eastAsia="zh-CN"/>
              </w:rPr>
            </w:pPr>
            <w:r>
              <w:rPr>
                <w:rFonts w:ascii="Times New Roman" w:eastAsia="Times New Roman" w:hAnsi="Times New Roman"/>
                <w:sz w:val="24"/>
                <w:lang w:eastAsia="zh-CN"/>
              </w:rPr>
              <w:t>□</w:t>
            </w:r>
            <w:r>
              <w:rPr>
                <w:sz w:val="24"/>
                <w:lang w:eastAsia="zh-CN"/>
              </w:rPr>
              <w:t>新闻发布会</w:t>
            </w:r>
            <w:r>
              <w:rPr>
                <w:sz w:val="24"/>
                <w:lang w:eastAsia="zh-CN"/>
              </w:rPr>
              <w:tab/>
            </w:r>
            <w:r w:rsidR="001071E5">
              <w:rPr>
                <w:rFonts w:ascii="Times New Roman" w:eastAsia="Times New Roman" w:hAnsi="Times New Roman"/>
                <w:sz w:val="24"/>
                <w:lang w:eastAsia="zh-CN"/>
              </w:rPr>
              <w:t>□</w:t>
            </w:r>
            <w:r>
              <w:rPr>
                <w:sz w:val="24"/>
                <w:lang w:eastAsia="zh-CN"/>
              </w:rPr>
              <w:t>路演活动</w:t>
            </w:r>
          </w:p>
          <w:p w14:paraId="6E9F8201" w14:textId="29250182" w:rsidR="00A74907" w:rsidRDefault="007D542E" w:rsidP="0042141B">
            <w:pPr>
              <w:pStyle w:val="TableParagraph"/>
              <w:spacing w:before="173"/>
              <w:rPr>
                <w:sz w:val="24"/>
                <w:lang w:eastAsia="zh-CN"/>
              </w:rPr>
            </w:pPr>
            <w:r>
              <w:rPr>
                <w:rFonts w:ascii="Segoe UI Symbol" w:eastAsiaTheme="minorEastAsia" w:hAnsi="Segoe UI Symbol" w:cs="Segoe UI Symbol"/>
                <w:sz w:val="24"/>
                <w:lang w:eastAsia="zh-CN"/>
              </w:rPr>
              <w:t>☑</w:t>
            </w:r>
            <w:r w:rsidR="00A74907">
              <w:rPr>
                <w:sz w:val="24"/>
                <w:lang w:eastAsia="zh-CN"/>
              </w:rPr>
              <w:t>现场参观</w:t>
            </w:r>
          </w:p>
          <w:p w14:paraId="784B5E64" w14:textId="5FDB983A" w:rsidR="00A74907" w:rsidRDefault="00A332A3" w:rsidP="0042141B">
            <w:pPr>
              <w:pStyle w:val="TableParagraph"/>
              <w:tabs>
                <w:tab w:val="left" w:pos="422"/>
              </w:tabs>
              <w:spacing w:before="172" w:line="289" w:lineRule="exact"/>
              <w:rPr>
                <w:sz w:val="24"/>
                <w:lang w:eastAsia="zh-CN"/>
              </w:rPr>
            </w:pPr>
            <w:r>
              <w:rPr>
                <w:rFonts w:ascii="Times New Roman" w:eastAsia="Times New Roman" w:hAnsi="Times New Roman"/>
                <w:sz w:val="24"/>
                <w:lang w:eastAsia="zh-CN"/>
              </w:rPr>
              <w:t>□</w:t>
            </w:r>
            <w:r w:rsidR="00A74907">
              <w:rPr>
                <w:sz w:val="24"/>
                <w:lang w:eastAsia="zh-CN"/>
              </w:rPr>
              <w:t>其他 （</w:t>
            </w:r>
            <w:r w:rsidR="00A74907">
              <w:rPr>
                <w:sz w:val="24"/>
                <w:u w:val="single"/>
                <w:lang w:eastAsia="zh-CN"/>
              </w:rPr>
              <w:t>电话会议）</w:t>
            </w:r>
          </w:p>
        </w:tc>
      </w:tr>
      <w:tr w:rsidR="00A74907" w14:paraId="5102008B" w14:textId="77777777" w:rsidTr="00E35A02">
        <w:trPr>
          <w:trHeight w:val="920"/>
        </w:trPr>
        <w:tc>
          <w:tcPr>
            <w:tcW w:w="1833" w:type="dxa"/>
          </w:tcPr>
          <w:p w14:paraId="52892CB5" w14:textId="479D788D" w:rsidR="00A74907" w:rsidRDefault="00A74907" w:rsidP="0042141B">
            <w:pPr>
              <w:pStyle w:val="TableParagraph"/>
              <w:spacing w:before="175" w:line="364" w:lineRule="auto"/>
              <w:ind w:right="82"/>
              <w:rPr>
                <w:sz w:val="24"/>
                <w:lang w:eastAsia="zh-CN"/>
              </w:rPr>
            </w:pPr>
            <w:r>
              <w:rPr>
                <w:sz w:val="24"/>
                <w:lang w:eastAsia="zh-CN"/>
              </w:rPr>
              <w:t>参与单位名称</w:t>
            </w:r>
          </w:p>
        </w:tc>
        <w:tc>
          <w:tcPr>
            <w:tcW w:w="7097" w:type="dxa"/>
          </w:tcPr>
          <w:p w14:paraId="73850447" w14:textId="7DD2816F" w:rsidR="00F9758A" w:rsidRDefault="007D542E" w:rsidP="001071E5">
            <w:pPr>
              <w:pStyle w:val="TableParagraph"/>
              <w:spacing w:before="170" w:line="374" w:lineRule="auto"/>
              <w:ind w:left="0" w:right="-29"/>
              <w:rPr>
                <w:sz w:val="24"/>
                <w:lang w:eastAsia="zh-CN"/>
              </w:rPr>
            </w:pPr>
            <w:r>
              <w:rPr>
                <w:rFonts w:hint="eastAsia"/>
                <w:sz w:val="24"/>
                <w:lang w:eastAsia="zh-CN"/>
              </w:rPr>
              <w:t>山西</w:t>
            </w:r>
            <w:r w:rsidR="00A332A3">
              <w:rPr>
                <w:rFonts w:hint="eastAsia"/>
                <w:sz w:val="24"/>
                <w:lang w:eastAsia="zh-CN"/>
              </w:rPr>
              <w:t>证券</w:t>
            </w:r>
            <w:r w:rsidR="00BB38F2">
              <w:rPr>
                <w:rFonts w:hint="eastAsia"/>
                <w:sz w:val="24"/>
                <w:lang w:eastAsia="zh-CN"/>
              </w:rPr>
              <w:t>股份有限公司</w:t>
            </w:r>
          </w:p>
        </w:tc>
      </w:tr>
      <w:tr w:rsidR="00A74907" w14:paraId="1D62AFE6" w14:textId="77777777" w:rsidTr="00E35A02">
        <w:trPr>
          <w:trHeight w:val="467"/>
        </w:trPr>
        <w:tc>
          <w:tcPr>
            <w:tcW w:w="1833" w:type="dxa"/>
          </w:tcPr>
          <w:p w14:paraId="54DBABF0" w14:textId="77777777" w:rsidR="00A74907" w:rsidRDefault="00A74907" w:rsidP="0042141B">
            <w:pPr>
              <w:pStyle w:val="TableParagraph"/>
              <w:spacing w:before="79"/>
              <w:rPr>
                <w:sz w:val="24"/>
              </w:rPr>
            </w:pPr>
            <w:r>
              <w:rPr>
                <w:sz w:val="24"/>
              </w:rPr>
              <w:t>时间</w:t>
            </w:r>
          </w:p>
        </w:tc>
        <w:tc>
          <w:tcPr>
            <w:tcW w:w="7097" w:type="dxa"/>
          </w:tcPr>
          <w:p w14:paraId="0A5FEF0E" w14:textId="69912200" w:rsidR="00A74907" w:rsidRPr="000F7581" w:rsidRDefault="008D4936" w:rsidP="0042141B">
            <w:pPr>
              <w:pStyle w:val="TableParagraph"/>
              <w:spacing w:before="79"/>
              <w:ind w:left="0"/>
              <w:rPr>
                <w:sz w:val="24"/>
                <w:lang w:eastAsia="zh-CN"/>
              </w:rPr>
            </w:pPr>
            <w:r w:rsidRPr="000F7581">
              <w:rPr>
                <w:rFonts w:hint="eastAsia"/>
                <w:sz w:val="24"/>
              </w:rPr>
              <w:t>2</w:t>
            </w:r>
            <w:r w:rsidRPr="000F7581">
              <w:rPr>
                <w:sz w:val="24"/>
              </w:rPr>
              <w:t>02</w:t>
            </w:r>
            <w:r>
              <w:rPr>
                <w:sz w:val="24"/>
              </w:rPr>
              <w:t>3</w:t>
            </w:r>
            <w:r w:rsidRPr="000F7581">
              <w:rPr>
                <w:rFonts w:hint="eastAsia"/>
                <w:sz w:val="24"/>
              </w:rPr>
              <w:t>年</w:t>
            </w:r>
            <w:r w:rsidR="001071E5">
              <w:rPr>
                <w:sz w:val="24"/>
              </w:rPr>
              <w:t>9</w:t>
            </w:r>
            <w:r w:rsidRPr="000F7581">
              <w:rPr>
                <w:rFonts w:hint="eastAsia"/>
                <w:sz w:val="24"/>
              </w:rPr>
              <w:t>月</w:t>
            </w:r>
            <w:r w:rsidR="00A332A3">
              <w:rPr>
                <w:sz w:val="24"/>
                <w:lang w:eastAsia="zh-CN"/>
              </w:rPr>
              <w:t>28</w:t>
            </w:r>
            <w:r w:rsidR="001071E5">
              <w:rPr>
                <w:rFonts w:hint="eastAsia"/>
                <w:sz w:val="24"/>
                <w:lang w:eastAsia="zh-CN"/>
              </w:rPr>
              <w:t>日</w:t>
            </w:r>
          </w:p>
        </w:tc>
      </w:tr>
      <w:tr w:rsidR="00A74907" w14:paraId="086F25B2" w14:textId="77777777" w:rsidTr="00E35A02">
        <w:trPr>
          <w:trHeight w:val="467"/>
        </w:trPr>
        <w:tc>
          <w:tcPr>
            <w:tcW w:w="1833" w:type="dxa"/>
          </w:tcPr>
          <w:p w14:paraId="6E02CCCA" w14:textId="77777777" w:rsidR="00A74907" w:rsidRDefault="00A74907" w:rsidP="0042141B">
            <w:pPr>
              <w:pStyle w:val="TableParagraph"/>
              <w:spacing w:before="79"/>
              <w:rPr>
                <w:sz w:val="24"/>
              </w:rPr>
            </w:pPr>
            <w:r>
              <w:rPr>
                <w:sz w:val="24"/>
              </w:rPr>
              <w:t>地点</w:t>
            </w:r>
          </w:p>
        </w:tc>
        <w:tc>
          <w:tcPr>
            <w:tcW w:w="7097" w:type="dxa"/>
          </w:tcPr>
          <w:p w14:paraId="7C775119" w14:textId="27B2F991" w:rsidR="00A74907" w:rsidRPr="000F7581" w:rsidRDefault="00A332A3" w:rsidP="0042141B">
            <w:pPr>
              <w:pStyle w:val="TableParagraph"/>
              <w:spacing w:before="79"/>
              <w:ind w:left="0"/>
              <w:rPr>
                <w:sz w:val="24"/>
                <w:lang w:eastAsia="zh-CN"/>
              </w:rPr>
            </w:pPr>
            <w:r w:rsidRPr="00A332A3">
              <w:rPr>
                <w:rFonts w:hint="eastAsia"/>
                <w:sz w:val="24"/>
                <w:lang w:eastAsia="zh-CN"/>
              </w:rPr>
              <w:t>公司会议室</w:t>
            </w:r>
          </w:p>
        </w:tc>
      </w:tr>
      <w:tr w:rsidR="00A74907" w14:paraId="16E56831" w14:textId="77777777" w:rsidTr="00E35A02">
        <w:trPr>
          <w:trHeight w:val="1159"/>
        </w:trPr>
        <w:tc>
          <w:tcPr>
            <w:tcW w:w="1833" w:type="dxa"/>
          </w:tcPr>
          <w:p w14:paraId="2B05C9A6" w14:textId="77777777" w:rsidR="00A74907" w:rsidRDefault="00A74907" w:rsidP="008C29B2">
            <w:pPr>
              <w:pStyle w:val="TableParagraph"/>
              <w:spacing w:before="175" w:line="364" w:lineRule="auto"/>
              <w:ind w:right="82"/>
              <w:rPr>
                <w:sz w:val="24"/>
                <w:lang w:eastAsia="zh-CN"/>
              </w:rPr>
            </w:pPr>
            <w:r>
              <w:rPr>
                <w:sz w:val="24"/>
                <w:lang w:eastAsia="zh-CN"/>
              </w:rPr>
              <w:t>上市公司接待人员姓名</w:t>
            </w:r>
          </w:p>
        </w:tc>
        <w:tc>
          <w:tcPr>
            <w:tcW w:w="7097" w:type="dxa"/>
          </w:tcPr>
          <w:p w14:paraId="313E6B39" w14:textId="77777777" w:rsidR="00A74907" w:rsidRDefault="005B5575" w:rsidP="0042141B">
            <w:pPr>
              <w:pStyle w:val="TableParagraph"/>
              <w:spacing w:before="79"/>
              <w:ind w:left="0"/>
              <w:rPr>
                <w:sz w:val="24"/>
                <w:lang w:eastAsia="zh-CN"/>
              </w:rPr>
            </w:pPr>
            <w:r>
              <w:rPr>
                <w:rFonts w:hint="eastAsia"/>
                <w:sz w:val="24"/>
                <w:lang w:eastAsia="zh-CN"/>
              </w:rPr>
              <w:t>董事、副总经理、</w:t>
            </w:r>
            <w:r w:rsidR="00A74907">
              <w:rPr>
                <w:rFonts w:hint="eastAsia"/>
                <w:sz w:val="24"/>
                <w:lang w:eastAsia="zh-CN"/>
              </w:rPr>
              <w:t>董事会秘书</w:t>
            </w:r>
            <w:r w:rsidR="008D4936">
              <w:rPr>
                <w:rFonts w:hint="eastAsia"/>
                <w:sz w:val="24"/>
                <w:lang w:eastAsia="zh-CN"/>
              </w:rPr>
              <w:t>：</w:t>
            </w:r>
            <w:r w:rsidR="00A74907">
              <w:rPr>
                <w:rFonts w:hint="eastAsia"/>
                <w:sz w:val="24"/>
                <w:lang w:eastAsia="zh-CN"/>
              </w:rPr>
              <w:t>金钟先生</w:t>
            </w:r>
          </w:p>
          <w:p w14:paraId="7F8B1D06" w14:textId="18AD0E06" w:rsidR="001071E5" w:rsidRDefault="001071E5" w:rsidP="0042141B">
            <w:pPr>
              <w:pStyle w:val="TableParagraph"/>
              <w:spacing w:before="79"/>
              <w:ind w:left="0"/>
              <w:rPr>
                <w:sz w:val="24"/>
                <w:lang w:eastAsia="zh-CN"/>
              </w:rPr>
            </w:pPr>
            <w:r>
              <w:rPr>
                <w:rFonts w:hint="eastAsia"/>
                <w:sz w:val="24"/>
                <w:lang w:eastAsia="zh-CN"/>
              </w:rPr>
              <w:t>证券事务代表：赵克伟先生</w:t>
            </w:r>
          </w:p>
        </w:tc>
      </w:tr>
      <w:tr w:rsidR="00D201B3" w14:paraId="4CAA33DA" w14:textId="77777777" w:rsidTr="00E35A02">
        <w:trPr>
          <w:trHeight w:val="2044"/>
        </w:trPr>
        <w:tc>
          <w:tcPr>
            <w:tcW w:w="1833" w:type="dxa"/>
          </w:tcPr>
          <w:p w14:paraId="4F06D4E7" w14:textId="22930776" w:rsidR="00D201B3" w:rsidRDefault="00D201B3" w:rsidP="008C29B2">
            <w:pPr>
              <w:pStyle w:val="TableParagraph"/>
              <w:spacing w:before="175" w:line="364" w:lineRule="auto"/>
              <w:ind w:right="82"/>
              <w:rPr>
                <w:sz w:val="24"/>
              </w:rPr>
            </w:pPr>
            <w:r>
              <w:rPr>
                <w:sz w:val="24"/>
                <w:lang w:eastAsia="zh-CN"/>
              </w:rPr>
              <w:t>投资者关系活动主要内容介绍</w:t>
            </w:r>
          </w:p>
        </w:tc>
        <w:tc>
          <w:tcPr>
            <w:tcW w:w="7097" w:type="dxa"/>
          </w:tcPr>
          <w:p w14:paraId="085BA535" w14:textId="77777777" w:rsidR="00D201B3" w:rsidRPr="005D74ED" w:rsidRDefault="00D201B3" w:rsidP="00D201B3">
            <w:pPr>
              <w:pStyle w:val="TableParagraph"/>
              <w:spacing w:before="3" w:line="360" w:lineRule="auto"/>
              <w:ind w:left="0" w:firstLineChars="200" w:firstLine="480"/>
              <w:rPr>
                <w:sz w:val="24"/>
                <w:szCs w:val="24"/>
                <w:lang w:eastAsia="zh-CN"/>
              </w:rPr>
            </w:pPr>
            <w:r w:rsidRPr="005D74ED">
              <w:rPr>
                <w:rFonts w:hint="eastAsia"/>
                <w:sz w:val="24"/>
                <w:szCs w:val="24"/>
                <w:lang w:eastAsia="zh-CN"/>
              </w:rPr>
              <w:t>本次交流的主要问题及答复如下：</w:t>
            </w:r>
          </w:p>
          <w:p w14:paraId="7763E24D" w14:textId="3FCE5687" w:rsidR="00BB38F2" w:rsidRPr="005D74ED" w:rsidRDefault="00D201B3" w:rsidP="00BB38F2">
            <w:pPr>
              <w:pStyle w:val="TableParagraph"/>
              <w:spacing w:before="3" w:line="360" w:lineRule="auto"/>
              <w:ind w:left="0" w:firstLineChars="200" w:firstLine="482"/>
              <w:rPr>
                <w:b/>
                <w:bCs/>
                <w:sz w:val="24"/>
                <w:szCs w:val="24"/>
                <w:lang w:eastAsia="zh-CN"/>
              </w:rPr>
            </w:pPr>
            <w:r w:rsidRPr="005D74ED">
              <w:rPr>
                <w:rFonts w:hint="eastAsia"/>
                <w:b/>
                <w:bCs/>
                <w:sz w:val="24"/>
                <w:szCs w:val="24"/>
                <w:lang w:eastAsia="zh-CN"/>
              </w:rPr>
              <w:t>问题</w:t>
            </w:r>
            <w:r w:rsidR="00BB38F2">
              <w:rPr>
                <w:b/>
                <w:bCs/>
                <w:sz w:val="24"/>
                <w:szCs w:val="24"/>
                <w:lang w:eastAsia="zh-CN"/>
              </w:rPr>
              <w:t>1</w:t>
            </w:r>
            <w:r w:rsidR="00BB38F2" w:rsidRPr="005D74ED">
              <w:rPr>
                <w:b/>
                <w:bCs/>
                <w:sz w:val="24"/>
                <w:szCs w:val="24"/>
                <w:lang w:eastAsia="zh-CN"/>
              </w:rPr>
              <w:t>.</w:t>
            </w:r>
            <w:r w:rsidR="00BB38F2">
              <w:rPr>
                <w:rFonts w:hint="eastAsia"/>
                <w:b/>
                <w:bCs/>
                <w:sz w:val="24"/>
                <w:szCs w:val="24"/>
                <w:lang w:eastAsia="zh-CN"/>
              </w:rPr>
              <w:t>公司上半年的销售情况</w:t>
            </w:r>
            <w:r w:rsidR="00BB38F2" w:rsidRPr="005D74ED">
              <w:rPr>
                <w:rFonts w:hint="eastAsia"/>
                <w:b/>
                <w:bCs/>
                <w:sz w:val="24"/>
                <w:szCs w:val="24"/>
                <w:lang w:eastAsia="zh-CN"/>
              </w:rPr>
              <w:t>？</w:t>
            </w:r>
          </w:p>
          <w:p w14:paraId="4DED9830" w14:textId="2C470D32" w:rsidR="00BB38F2" w:rsidRDefault="00BB38F2" w:rsidP="00BB38F2">
            <w:pPr>
              <w:pStyle w:val="TableParagraph"/>
              <w:spacing w:before="3" w:line="360" w:lineRule="auto"/>
              <w:ind w:left="0" w:firstLineChars="200" w:firstLine="480"/>
              <w:rPr>
                <w:sz w:val="24"/>
                <w:szCs w:val="24"/>
                <w:lang w:eastAsia="zh-CN"/>
              </w:rPr>
            </w:pPr>
            <w:r w:rsidRPr="005D74ED">
              <w:rPr>
                <w:rFonts w:hint="eastAsia"/>
                <w:sz w:val="24"/>
                <w:szCs w:val="24"/>
                <w:lang w:eastAsia="zh-CN"/>
              </w:rPr>
              <w:t>答复：</w:t>
            </w:r>
            <w:r>
              <w:rPr>
                <w:rFonts w:hint="eastAsia"/>
                <w:sz w:val="24"/>
                <w:szCs w:val="24"/>
                <w:lang w:eastAsia="zh-CN"/>
              </w:rPr>
              <w:t>公司移动源脱硝分子筛是巴斯夫在亚太地区的独家供应商，并于去年与巴斯夫签订补充协议，对巴斯夫的销售区域从亚太拓展至全球，</w:t>
            </w:r>
            <w:r w:rsidRPr="00E124E5">
              <w:rPr>
                <w:sz w:val="24"/>
                <w:szCs w:val="24"/>
                <w:lang w:eastAsia="zh-CN"/>
              </w:rPr>
              <w:t>公司的移动源脱硝分子筛已实现向德国、波兰、美国及南非销售</w:t>
            </w:r>
            <w:r>
              <w:rPr>
                <w:rFonts w:hint="eastAsia"/>
                <w:sz w:val="24"/>
                <w:szCs w:val="24"/>
                <w:lang w:eastAsia="zh-CN"/>
              </w:rPr>
              <w:t>，</w:t>
            </w:r>
            <w:r w:rsidRPr="00E124E5">
              <w:rPr>
                <w:sz w:val="24"/>
                <w:szCs w:val="24"/>
                <w:lang w:eastAsia="zh-CN"/>
              </w:rPr>
              <w:t>目前欧洲、北美、非洲的移动源脱硝分子筛需求较为稳定，市场规模较大</w:t>
            </w:r>
            <w:r w:rsidRPr="00E124E5">
              <w:rPr>
                <w:rFonts w:hint="eastAsia"/>
                <w:sz w:val="24"/>
                <w:szCs w:val="24"/>
                <w:lang w:eastAsia="zh-CN"/>
              </w:rPr>
              <w:t>，</w:t>
            </w:r>
            <w:r>
              <w:rPr>
                <w:rFonts w:hint="eastAsia"/>
                <w:sz w:val="24"/>
                <w:szCs w:val="24"/>
                <w:lang w:eastAsia="zh-CN"/>
              </w:rPr>
              <w:t>后续有望通过扩大销售区域实现收入增长</w:t>
            </w:r>
            <w:r w:rsidRPr="00E124E5">
              <w:rPr>
                <w:rFonts w:hint="eastAsia"/>
                <w:sz w:val="24"/>
                <w:szCs w:val="24"/>
                <w:lang w:eastAsia="zh-CN"/>
              </w:rPr>
              <w:t>。</w:t>
            </w:r>
            <w:r>
              <w:rPr>
                <w:rFonts w:hint="eastAsia"/>
                <w:sz w:val="24"/>
                <w:szCs w:val="24"/>
                <w:lang w:eastAsia="zh-CN"/>
              </w:rPr>
              <w:t>公司其他主要产品，如钛硅分子筛、金属催化剂、H</w:t>
            </w:r>
            <w:r>
              <w:rPr>
                <w:sz w:val="24"/>
                <w:szCs w:val="24"/>
                <w:lang w:eastAsia="zh-CN"/>
              </w:rPr>
              <w:t>PPO</w:t>
            </w:r>
            <w:r>
              <w:rPr>
                <w:rFonts w:hint="eastAsia"/>
                <w:sz w:val="24"/>
                <w:szCs w:val="24"/>
                <w:lang w:eastAsia="zh-CN"/>
              </w:rPr>
              <w:t>工艺包等，目前主要面向国内市场。公司积极开拓国内外市场，扩大自身销售区域，努力实现业绩稳步发展。</w:t>
            </w:r>
          </w:p>
          <w:p w14:paraId="48746F30" w14:textId="6844EA90" w:rsidR="00BD767E" w:rsidRDefault="00BD767E" w:rsidP="00BD767E">
            <w:pPr>
              <w:pStyle w:val="TableParagraph"/>
              <w:spacing w:before="3" w:line="360" w:lineRule="auto"/>
              <w:ind w:left="0"/>
              <w:rPr>
                <w:b/>
                <w:bCs/>
                <w:sz w:val="24"/>
                <w:szCs w:val="24"/>
                <w:lang w:eastAsia="zh-CN"/>
              </w:rPr>
            </w:pPr>
          </w:p>
          <w:p w14:paraId="2713F357" w14:textId="06C82D09" w:rsidR="00BB38F2" w:rsidRPr="005D74ED" w:rsidRDefault="00BB38F2" w:rsidP="001F5375">
            <w:pPr>
              <w:pStyle w:val="TableParagraph"/>
              <w:spacing w:before="3" w:line="360" w:lineRule="auto"/>
              <w:ind w:left="0" w:firstLineChars="200" w:firstLine="482"/>
              <w:rPr>
                <w:b/>
                <w:bCs/>
                <w:sz w:val="24"/>
                <w:szCs w:val="24"/>
                <w:lang w:eastAsia="zh-CN"/>
              </w:rPr>
            </w:pPr>
            <w:r w:rsidRPr="005D74ED">
              <w:rPr>
                <w:rFonts w:hint="eastAsia"/>
                <w:b/>
                <w:bCs/>
                <w:sz w:val="24"/>
                <w:szCs w:val="24"/>
                <w:lang w:eastAsia="zh-CN"/>
              </w:rPr>
              <w:lastRenderedPageBreak/>
              <w:t>问题2</w:t>
            </w:r>
            <w:r w:rsidRPr="005D74ED">
              <w:rPr>
                <w:b/>
                <w:bCs/>
                <w:sz w:val="24"/>
                <w:szCs w:val="24"/>
                <w:lang w:eastAsia="zh-CN"/>
              </w:rPr>
              <w:t>.</w:t>
            </w:r>
            <w:r w:rsidRPr="00CD293C">
              <w:rPr>
                <w:rFonts w:hint="eastAsia"/>
                <w:b/>
                <w:bCs/>
                <w:sz w:val="24"/>
                <w:szCs w:val="24"/>
                <w:lang w:eastAsia="zh-CN"/>
              </w:rPr>
              <w:t>公司固定源脱硝分子筛发展状况？</w:t>
            </w:r>
          </w:p>
          <w:p w14:paraId="7AA7FA21" w14:textId="67DE78D8" w:rsidR="005C33F6" w:rsidRPr="005D74ED" w:rsidRDefault="00D201B3" w:rsidP="00BB38F2">
            <w:pPr>
              <w:pStyle w:val="TableParagraph"/>
              <w:spacing w:before="3" w:line="360" w:lineRule="auto"/>
              <w:ind w:left="0" w:firstLineChars="200" w:firstLine="480"/>
              <w:jc w:val="both"/>
              <w:rPr>
                <w:sz w:val="24"/>
                <w:szCs w:val="24"/>
                <w:lang w:eastAsia="zh-CN"/>
              </w:rPr>
            </w:pPr>
            <w:r w:rsidRPr="005D74ED">
              <w:rPr>
                <w:rFonts w:hint="eastAsia"/>
                <w:sz w:val="24"/>
                <w:szCs w:val="24"/>
                <w:lang w:eastAsia="zh-CN"/>
              </w:rPr>
              <w:t>答复：</w:t>
            </w:r>
            <w:r w:rsidR="00CD293C" w:rsidRPr="00CD293C">
              <w:rPr>
                <w:rFonts w:hint="eastAsia"/>
                <w:sz w:val="24"/>
                <w:szCs w:val="24"/>
                <w:lang w:eastAsia="zh-CN"/>
              </w:rPr>
              <w:t>公司依托在移动源脱硝分子筛的技术优势，研发生产的固定源脱硝分子筛，可实现低温脱硝</w:t>
            </w:r>
            <w:r w:rsidR="0073280E">
              <w:rPr>
                <w:rFonts w:hint="eastAsia"/>
                <w:sz w:val="24"/>
                <w:szCs w:val="24"/>
                <w:lang w:eastAsia="zh-CN"/>
              </w:rPr>
              <w:t>和“超净排放”</w:t>
            </w:r>
            <w:r w:rsidR="00CD293C" w:rsidRPr="00CD293C">
              <w:rPr>
                <w:rFonts w:hint="eastAsia"/>
                <w:sz w:val="24"/>
                <w:szCs w:val="24"/>
                <w:lang w:eastAsia="zh-CN"/>
              </w:rPr>
              <w:t>，具有性能优势。公司</w:t>
            </w:r>
            <w:r w:rsidR="0073280E">
              <w:rPr>
                <w:rFonts w:hint="eastAsia"/>
                <w:sz w:val="24"/>
                <w:szCs w:val="24"/>
                <w:lang w:eastAsia="zh-CN"/>
              </w:rPr>
              <w:t>产品</w:t>
            </w:r>
            <w:r w:rsidR="00CD293C" w:rsidRPr="00CD293C">
              <w:rPr>
                <w:rFonts w:hint="eastAsia"/>
                <w:sz w:val="24"/>
                <w:szCs w:val="24"/>
                <w:lang w:eastAsia="zh-CN"/>
              </w:rPr>
              <w:t>已在钢厂进行工业使用，随着后续钢厂、电厂、水泥厂等排放标准趋严，公司生产的固定源脱硝分子筛产品将具有更广阔的市场空间。</w:t>
            </w:r>
          </w:p>
          <w:p w14:paraId="3B348B24" w14:textId="77777777" w:rsidR="00680163" w:rsidRDefault="00680163" w:rsidP="001F5375">
            <w:pPr>
              <w:pStyle w:val="TableParagraph"/>
              <w:spacing w:before="3" w:line="360" w:lineRule="auto"/>
              <w:ind w:left="0"/>
              <w:rPr>
                <w:rFonts w:hint="eastAsia"/>
                <w:sz w:val="24"/>
                <w:szCs w:val="24"/>
                <w:lang w:eastAsia="zh-CN"/>
              </w:rPr>
            </w:pPr>
          </w:p>
          <w:p w14:paraId="559EAC77" w14:textId="0EC15927" w:rsidR="00680163" w:rsidRPr="001467CF" w:rsidRDefault="00680163" w:rsidP="00680163">
            <w:pPr>
              <w:pStyle w:val="TableParagraph"/>
              <w:spacing w:before="3" w:line="360" w:lineRule="auto"/>
              <w:ind w:firstLineChars="200" w:firstLine="482"/>
              <w:rPr>
                <w:b/>
                <w:bCs/>
                <w:sz w:val="24"/>
                <w:szCs w:val="24"/>
                <w:lang w:eastAsia="zh-CN"/>
              </w:rPr>
            </w:pPr>
            <w:r w:rsidRPr="001467CF">
              <w:rPr>
                <w:rFonts w:hint="eastAsia"/>
                <w:b/>
                <w:bCs/>
                <w:sz w:val="24"/>
                <w:szCs w:val="24"/>
                <w:lang w:eastAsia="zh-CN"/>
              </w:rPr>
              <w:t>问题</w:t>
            </w:r>
            <w:r w:rsidR="00BB38F2">
              <w:rPr>
                <w:rFonts w:hint="eastAsia"/>
                <w:b/>
                <w:bCs/>
                <w:sz w:val="24"/>
                <w:szCs w:val="24"/>
                <w:lang w:eastAsia="zh-CN"/>
              </w:rPr>
              <w:t>3</w:t>
            </w:r>
            <w:r w:rsidR="00BB38F2">
              <w:rPr>
                <w:b/>
                <w:bCs/>
                <w:sz w:val="24"/>
                <w:szCs w:val="24"/>
                <w:lang w:eastAsia="zh-CN"/>
              </w:rPr>
              <w:t>.</w:t>
            </w:r>
            <w:r w:rsidRPr="001467CF">
              <w:rPr>
                <w:b/>
                <w:bCs/>
                <w:sz w:val="24"/>
                <w:szCs w:val="24"/>
                <w:lang w:eastAsia="zh-CN"/>
              </w:rPr>
              <w:t>公司环氧丙烷销售</w:t>
            </w:r>
            <w:r w:rsidRPr="001467CF">
              <w:rPr>
                <w:rFonts w:hint="eastAsia"/>
                <w:b/>
                <w:bCs/>
                <w:sz w:val="24"/>
                <w:szCs w:val="24"/>
                <w:lang w:eastAsia="zh-CN"/>
              </w:rPr>
              <w:t>进展情况？</w:t>
            </w:r>
          </w:p>
          <w:p w14:paraId="4CEB5E45" w14:textId="7B7CB32F" w:rsidR="005C33F6" w:rsidRDefault="00680163" w:rsidP="00680163">
            <w:pPr>
              <w:pStyle w:val="TableParagraph"/>
              <w:spacing w:before="3" w:line="360" w:lineRule="auto"/>
              <w:ind w:firstLineChars="200" w:firstLine="480"/>
              <w:rPr>
                <w:sz w:val="24"/>
                <w:szCs w:val="24"/>
                <w:lang w:eastAsia="zh-CN"/>
              </w:rPr>
            </w:pPr>
            <w:r w:rsidRPr="001467CF">
              <w:rPr>
                <w:rFonts w:hint="eastAsia"/>
                <w:sz w:val="24"/>
                <w:szCs w:val="24"/>
                <w:lang w:eastAsia="zh-CN"/>
              </w:rPr>
              <w:t>答复：</w:t>
            </w:r>
            <w:r>
              <w:rPr>
                <w:rFonts w:hint="eastAsia"/>
                <w:sz w:val="24"/>
                <w:szCs w:val="24"/>
                <w:lang w:eastAsia="zh-CN"/>
              </w:rPr>
              <w:t>公司首套</w:t>
            </w:r>
            <w:r w:rsidRPr="001467CF">
              <w:rPr>
                <w:sz w:val="24"/>
                <w:szCs w:val="24"/>
                <w:lang w:eastAsia="zh-CN"/>
              </w:rPr>
              <w:t>HPPO</w:t>
            </w:r>
            <w:r w:rsidRPr="001467CF">
              <w:rPr>
                <w:rFonts w:hint="eastAsia"/>
                <w:sz w:val="24"/>
                <w:szCs w:val="24"/>
                <w:lang w:eastAsia="zh-CN"/>
              </w:rPr>
              <w:t>工艺包验收成功，工业示范效果</w:t>
            </w:r>
            <w:r>
              <w:rPr>
                <w:rFonts w:hint="eastAsia"/>
                <w:sz w:val="24"/>
                <w:szCs w:val="24"/>
                <w:lang w:eastAsia="zh-CN"/>
              </w:rPr>
              <w:t>良</w:t>
            </w:r>
            <w:r w:rsidRPr="001467CF">
              <w:rPr>
                <w:rFonts w:hint="eastAsia"/>
                <w:sz w:val="24"/>
                <w:szCs w:val="24"/>
                <w:lang w:eastAsia="zh-CN"/>
              </w:rPr>
              <w:t>好，</w:t>
            </w:r>
            <w:r w:rsidRPr="001467CF">
              <w:rPr>
                <w:sz w:val="24"/>
                <w:szCs w:val="24"/>
                <w:lang w:eastAsia="zh-CN"/>
              </w:rPr>
              <w:t>HPPO</w:t>
            </w:r>
            <w:r w:rsidRPr="001467CF">
              <w:rPr>
                <w:rFonts w:hint="eastAsia"/>
                <w:sz w:val="24"/>
                <w:szCs w:val="24"/>
                <w:lang w:eastAsia="zh-CN"/>
              </w:rPr>
              <w:t>工艺推广也是公司重点发展方向</w:t>
            </w:r>
            <w:r>
              <w:rPr>
                <w:rFonts w:hint="eastAsia"/>
                <w:sz w:val="24"/>
                <w:szCs w:val="24"/>
                <w:lang w:eastAsia="zh-CN"/>
              </w:rPr>
              <w:t>。</w:t>
            </w:r>
          </w:p>
          <w:p w14:paraId="248A154F" w14:textId="77777777" w:rsidR="005C33F6" w:rsidRDefault="005C33F6" w:rsidP="002453BD">
            <w:pPr>
              <w:pStyle w:val="TableParagraph"/>
              <w:spacing w:before="3" w:line="360" w:lineRule="auto"/>
              <w:ind w:left="0"/>
              <w:rPr>
                <w:sz w:val="24"/>
                <w:lang w:eastAsia="zh-CN"/>
              </w:rPr>
            </w:pPr>
          </w:p>
          <w:p w14:paraId="134661AD" w14:textId="48DB4A59" w:rsidR="004C6FF4" w:rsidRDefault="004C6FF4" w:rsidP="004C6FF4">
            <w:pPr>
              <w:pStyle w:val="TableParagraph"/>
              <w:spacing w:before="3" w:line="360" w:lineRule="auto"/>
              <w:ind w:firstLineChars="200" w:firstLine="482"/>
              <w:rPr>
                <w:b/>
                <w:bCs/>
                <w:sz w:val="24"/>
                <w:szCs w:val="24"/>
                <w:lang w:eastAsia="zh-CN"/>
              </w:rPr>
            </w:pPr>
            <w:r w:rsidRPr="005D74ED">
              <w:rPr>
                <w:rFonts w:hint="eastAsia"/>
                <w:b/>
                <w:bCs/>
                <w:sz w:val="24"/>
                <w:szCs w:val="24"/>
                <w:lang w:eastAsia="zh-CN"/>
              </w:rPr>
              <w:t>问题</w:t>
            </w:r>
            <w:r w:rsidR="00BB38F2">
              <w:rPr>
                <w:b/>
                <w:bCs/>
                <w:sz w:val="24"/>
                <w:szCs w:val="24"/>
                <w:lang w:eastAsia="zh-CN"/>
              </w:rPr>
              <w:t>4</w:t>
            </w:r>
            <w:r w:rsidRPr="005D74ED">
              <w:rPr>
                <w:b/>
                <w:bCs/>
                <w:sz w:val="24"/>
                <w:szCs w:val="24"/>
                <w:lang w:eastAsia="zh-CN"/>
              </w:rPr>
              <w:t>.</w:t>
            </w:r>
            <w:r>
              <w:rPr>
                <w:rFonts w:hint="eastAsia"/>
                <w:b/>
                <w:bCs/>
                <w:sz w:val="24"/>
                <w:szCs w:val="24"/>
                <w:lang w:eastAsia="zh-CN"/>
              </w:rPr>
              <w:t>公司的技术特点及技术水平</w:t>
            </w:r>
            <w:r w:rsidRPr="005D74ED">
              <w:rPr>
                <w:rFonts w:hint="eastAsia"/>
                <w:b/>
                <w:bCs/>
                <w:sz w:val="24"/>
                <w:szCs w:val="24"/>
                <w:lang w:eastAsia="zh-CN"/>
              </w:rPr>
              <w:t>？</w:t>
            </w:r>
          </w:p>
          <w:p w14:paraId="0FC1E438" w14:textId="0F004EAA" w:rsidR="004C6FF4" w:rsidRDefault="004C6FF4" w:rsidP="004C6FF4">
            <w:pPr>
              <w:pStyle w:val="TableParagraph"/>
              <w:spacing w:before="3" w:line="360" w:lineRule="auto"/>
              <w:ind w:firstLineChars="200" w:firstLine="480"/>
              <w:rPr>
                <w:sz w:val="24"/>
                <w:szCs w:val="24"/>
                <w:lang w:eastAsia="zh-CN"/>
              </w:rPr>
            </w:pPr>
            <w:r w:rsidRPr="005D74ED">
              <w:rPr>
                <w:rFonts w:hint="eastAsia"/>
                <w:sz w:val="24"/>
                <w:szCs w:val="24"/>
                <w:lang w:eastAsia="zh-CN"/>
              </w:rPr>
              <w:t>答复：</w:t>
            </w:r>
            <w:r w:rsidRPr="00BE4B6B">
              <w:rPr>
                <w:sz w:val="24"/>
                <w:szCs w:val="24"/>
                <w:lang w:eastAsia="zh-CN"/>
              </w:rPr>
              <w:t>催化剂新产品、新技术的开发需要企业首先了解用户的需求和工业技术的发展情况，并经过基础研究开发等多个环节，逐步进行工业放大试验和工业应用试验，最终实现产品和技术的工业应用。因此，除了攻克技术成果实现工业化生产的瓶颈以外，还需要能够根据生产企业的要求设计并生产出满足特定企业的催化剂产品</w:t>
            </w:r>
            <w:r>
              <w:rPr>
                <w:rFonts w:hint="eastAsia"/>
                <w:sz w:val="24"/>
                <w:szCs w:val="24"/>
                <w:lang w:eastAsia="zh-CN"/>
              </w:rPr>
              <w:t>。</w:t>
            </w:r>
            <w:r w:rsidRPr="007A464A">
              <w:rPr>
                <w:rFonts w:hint="eastAsia"/>
                <w:sz w:val="24"/>
                <w:szCs w:val="24"/>
                <w:lang w:eastAsia="zh-CN"/>
              </w:rPr>
              <w:t>公司根据市场调研、技术进步、客户反馈等情况不断对各项核心技术进行更新迭代，在提升现有产品的技术水平和生产效率的同时，不断实现新的产品应用。公司</w:t>
            </w:r>
            <w:r>
              <w:rPr>
                <w:rFonts w:hint="eastAsia"/>
                <w:sz w:val="24"/>
                <w:szCs w:val="24"/>
                <w:lang w:eastAsia="zh-CN"/>
              </w:rPr>
              <w:t>现已</w:t>
            </w:r>
            <w:r w:rsidRPr="007A464A">
              <w:rPr>
                <w:rFonts w:hint="eastAsia"/>
                <w:sz w:val="24"/>
                <w:szCs w:val="24"/>
                <w:lang w:eastAsia="zh-CN"/>
              </w:rPr>
              <w:t>掌握了多种特种分子筛及催化剂、非分子筛催化剂制备过程中的核心技术，</w:t>
            </w:r>
            <w:r w:rsidR="001F5375" w:rsidRPr="001F5375">
              <w:rPr>
                <w:rFonts w:hint="eastAsia"/>
                <w:sz w:val="24"/>
                <w:szCs w:val="24"/>
                <w:lang w:eastAsia="zh-CN"/>
              </w:rPr>
              <w:t>具有满足客户</w:t>
            </w:r>
            <w:r w:rsidR="001F5375">
              <w:rPr>
                <w:rFonts w:hint="eastAsia"/>
                <w:sz w:val="24"/>
                <w:szCs w:val="24"/>
                <w:lang w:eastAsia="zh-CN"/>
              </w:rPr>
              <w:t>对</w:t>
            </w:r>
            <w:r w:rsidR="001F5375" w:rsidRPr="001F5375">
              <w:rPr>
                <w:rFonts w:hint="eastAsia"/>
                <w:sz w:val="24"/>
                <w:szCs w:val="24"/>
                <w:lang w:eastAsia="zh-CN"/>
              </w:rPr>
              <w:t>不同催化剂产品</w:t>
            </w:r>
            <w:r w:rsidR="001F5375">
              <w:rPr>
                <w:rFonts w:hint="eastAsia"/>
                <w:sz w:val="24"/>
                <w:szCs w:val="24"/>
                <w:lang w:eastAsia="zh-CN"/>
              </w:rPr>
              <w:t>需求</w:t>
            </w:r>
            <w:r w:rsidR="001F5375" w:rsidRPr="001F5375">
              <w:rPr>
                <w:rFonts w:hint="eastAsia"/>
                <w:sz w:val="24"/>
                <w:szCs w:val="24"/>
                <w:lang w:eastAsia="zh-CN"/>
              </w:rPr>
              <w:t>的生产能力。</w:t>
            </w:r>
          </w:p>
          <w:p w14:paraId="5E98312D" w14:textId="77777777" w:rsidR="00540F31" w:rsidRDefault="00540F31" w:rsidP="004C6FF4">
            <w:pPr>
              <w:pStyle w:val="TableParagraph"/>
              <w:spacing w:before="3" w:line="360" w:lineRule="auto"/>
              <w:ind w:firstLineChars="200" w:firstLine="480"/>
              <w:rPr>
                <w:sz w:val="24"/>
                <w:szCs w:val="24"/>
                <w:lang w:eastAsia="zh-CN"/>
              </w:rPr>
            </w:pPr>
          </w:p>
          <w:p w14:paraId="707B7F4B" w14:textId="3CFCF9ED" w:rsidR="004C6FF4" w:rsidRDefault="004C6FF4" w:rsidP="004C6FF4">
            <w:pPr>
              <w:pStyle w:val="TableParagraph"/>
              <w:spacing w:before="3" w:line="360" w:lineRule="auto"/>
              <w:ind w:firstLineChars="200" w:firstLine="482"/>
              <w:rPr>
                <w:b/>
                <w:bCs/>
                <w:sz w:val="24"/>
                <w:szCs w:val="24"/>
                <w:lang w:eastAsia="zh-CN"/>
              </w:rPr>
            </w:pPr>
            <w:r w:rsidRPr="005D74ED">
              <w:rPr>
                <w:rFonts w:hint="eastAsia"/>
                <w:b/>
                <w:bCs/>
                <w:sz w:val="24"/>
                <w:szCs w:val="24"/>
                <w:lang w:eastAsia="zh-CN"/>
              </w:rPr>
              <w:t>问题</w:t>
            </w:r>
            <w:r w:rsidR="002432A6">
              <w:rPr>
                <w:b/>
                <w:bCs/>
                <w:sz w:val="24"/>
                <w:szCs w:val="24"/>
                <w:lang w:eastAsia="zh-CN"/>
              </w:rPr>
              <w:t>5</w:t>
            </w:r>
            <w:r w:rsidRPr="005D74ED">
              <w:rPr>
                <w:b/>
                <w:bCs/>
                <w:sz w:val="24"/>
                <w:szCs w:val="24"/>
                <w:lang w:eastAsia="zh-CN"/>
              </w:rPr>
              <w:t>.</w:t>
            </w:r>
            <w:r>
              <w:rPr>
                <w:rFonts w:hint="eastAsia"/>
                <w:b/>
                <w:bCs/>
                <w:sz w:val="24"/>
                <w:szCs w:val="24"/>
                <w:lang w:eastAsia="zh-CN"/>
              </w:rPr>
              <w:t>公司产品的竞争优势是什么</w:t>
            </w:r>
            <w:r w:rsidRPr="005D74ED">
              <w:rPr>
                <w:rFonts w:hint="eastAsia"/>
                <w:b/>
                <w:bCs/>
                <w:sz w:val="24"/>
                <w:szCs w:val="24"/>
                <w:lang w:eastAsia="zh-CN"/>
              </w:rPr>
              <w:t>？</w:t>
            </w:r>
          </w:p>
          <w:p w14:paraId="4787A3A5" w14:textId="443E7281" w:rsidR="00BB38F2" w:rsidRDefault="004C6FF4" w:rsidP="004C6FF4">
            <w:pPr>
              <w:pStyle w:val="TableParagraph"/>
              <w:spacing w:before="3" w:line="360" w:lineRule="auto"/>
              <w:ind w:firstLineChars="200" w:firstLine="480"/>
              <w:rPr>
                <w:sz w:val="24"/>
                <w:szCs w:val="24"/>
                <w:lang w:eastAsia="zh-CN"/>
              </w:rPr>
            </w:pPr>
            <w:r w:rsidRPr="005D74ED">
              <w:rPr>
                <w:rFonts w:hint="eastAsia"/>
                <w:sz w:val="24"/>
                <w:szCs w:val="24"/>
                <w:lang w:eastAsia="zh-CN"/>
              </w:rPr>
              <w:t>答复：</w:t>
            </w:r>
            <w:r w:rsidRPr="007A464A">
              <w:rPr>
                <w:rFonts w:hint="eastAsia"/>
                <w:sz w:val="24"/>
                <w:szCs w:val="24"/>
                <w:lang w:eastAsia="zh-CN"/>
              </w:rPr>
              <w:t>公司始终专注于自主研发投入和相关平台搭建，</w:t>
            </w:r>
            <w:r>
              <w:rPr>
                <w:rFonts w:hint="eastAsia"/>
                <w:sz w:val="24"/>
                <w:szCs w:val="24"/>
                <w:lang w:eastAsia="zh-CN"/>
              </w:rPr>
              <w:t>并且</w:t>
            </w:r>
            <w:r w:rsidRPr="007A464A">
              <w:rPr>
                <w:sz w:val="24"/>
                <w:szCs w:val="24"/>
                <w:lang w:eastAsia="zh-CN"/>
              </w:rPr>
              <w:t>拥有设施完善、技术领先的研发中心和中试平台</w:t>
            </w:r>
            <w:r>
              <w:rPr>
                <w:rFonts w:hint="eastAsia"/>
                <w:sz w:val="24"/>
                <w:szCs w:val="24"/>
                <w:lang w:eastAsia="zh-CN"/>
              </w:rPr>
              <w:t>，同时</w:t>
            </w:r>
            <w:r w:rsidR="008610BA">
              <w:rPr>
                <w:rFonts w:hint="eastAsia"/>
                <w:sz w:val="24"/>
                <w:szCs w:val="24"/>
                <w:lang w:eastAsia="zh-CN"/>
              </w:rPr>
              <w:t>公司</w:t>
            </w:r>
            <w:r w:rsidRPr="007A464A">
              <w:rPr>
                <w:rFonts w:hint="eastAsia"/>
                <w:sz w:val="24"/>
                <w:szCs w:val="24"/>
                <w:lang w:eastAsia="zh-CN"/>
              </w:rPr>
              <w:t>高度重视研发人才队伍的建设，通过技术人才培养和引进，已组建由多位博士及技术专家为核心，数十位具有硕士及中级以上技术职称的专业技术人员为研发中坚力量的研发团队</w:t>
            </w:r>
            <w:r>
              <w:rPr>
                <w:rFonts w:hint="eastAsia"/>
                <w:sz w:val="24"/>
                <w:szCs w:val="24"/>
                <w:lang w:eastAsia="zh-CN"/>
              </w:rPr>
              <w:t>，</w:t>
            </w:r>
            <w:r w:rsidR="008610BA">
              <w:rPr>
                <w:rFonts w:hint="eastAsia"/>
                <w:sz w:val="24"/>
                <w:szCs w:val="24"/>
                <w:lang w:eastAsia="zh-CN"/>
              </w:rPr>
              <w:t>且</w:t>
            </w:r>
            <w:r w:rsidRPr="004C6FF4">
              <w:rPr>
                <w:rFonts w:hint="eastAsia"/>
                <w:sz w:val="24"/>
                <w:szCs w:val="24"/>
                <w:lang w:eastAsia="zh-CN"/>
              </w:rPr>
              <w:t>与大连化物所、大连理工</w:t>
            </w:r>
            <w:r w:rsidRPr="004C6FF4">
              <w:rPr>
                <w:rFonts w:hint="eastAsia"/>
                <w:sz w:val="24"/>
                <w:szCs w:val="24"/>
                <w:lang w:eastAsia="zh-CN"/>
              </w:rPr>
              <w:lastRenderedPageBreak/>
              <w:t>大学等知名研究院及高校进行深入合作</w:t>
            </w:r>
            <w:r>
              <w:rPr>
                <w:rFonts w:hint="eastAsia"/>
                <w:sz w:val="24"/>
                <w:szCs w:val="24"/>
                <w:lang w:eastAsia="zh-CN"/>
              </w:rPr>
              <w:t>。</w:t>
            </w:r>
            <w:r w:rsidRPr="00CD4C44">
              <w:rPr>
                <w:rFonts w:cs="Times New Roman" w:hint="eastAsia"/>
                <w:bCs/>
                <w:iCs/>
                <w:color w:val="000000"/>
                <w:sz w:val="24"/>
                <w:szCs w:val="24"/>
                <w:lang w:eastAsia="zh-CN"/>
              </w:rPr>
              <w:t>公司主要产品的市场认可度较高，市场占有率较大，且与包括巴斯夫、扬农、万华等国内外知名企业建立了良好的合作关系。</w:t>
            </w:r>
            <w:r w:rsidRPr="007A464A">
              <w:rPr>
                <w:rFonts w:hint="eastAsia"/>
                <w:sz w:val="24"/>
                <w:szCs w:val="24"/>
                <w:lang w:eastAsia="zh-CN"/>
              </w:rPr>
              <w:t>公司能够帮助客户有效利用公司产品，提高企业生产能力与利润水平，提升企业产品竞争力和市场份额。</w:t>
            </w:r>
            <w:r>
              <w:rPr>
                <w:rFonts w:hint="eastAsia"/>
                <w:sz w:val="24"/>
                <w:szCs w:val="24"/>
                <w:lang w:eastAsia="zh-CN"/>
              </w:rPr>
              <w:t>现</w:t>
            </w:r>
            <w:r w:rsidRPr="007A464A">
              <w:rPr>
                <w:rFonts w:hint="eastAsia"/>
                <w:sz w:val="24"/>
                <w:szCs w:val="24"/>
                <w:lang w:eastAsia="zh-CN"/>
              </w:rPr>
              <w:t>已形成了成熟的产品研发体系和生产工艺体系，帮助公司拓展产品其他领域奠定基础，未来根据市场变化</w:t>
            </w:r>
            <w:r w:rsidR="002432A6">
              <w:rPr>
                <w:rFonts w:hint="eastAsia"/>
                <w:sz w:val="24"/>
                <w:szCs w:val="24"/>
                <w:lang w:eastAsia="zh-CN"/>
              </w:rPr>
              <w:t>努力提升</w:t>
            </w:r>
            <w:r w:rsidRPr="007A464A">
              <w:rPr>
                <w:rFonts w:hint="eastAsia"/>
                <w:sz w:val="24"/>
                <w:szCs w:val="24"/>
                <w:lang w:eastAsia="zh-CN"/>
              </w:rPr>
              <w:t>公司产品创新、生产工艺技术的优势。</w:t>
            </w:r>
          </w:p>
          <w:p w14:paraId="2ABB87FF" w14:textId="77777777" w:rsidR="00A55FFD" w:rsidRDefault="00A55FFD" w:rsidP="004C6FF4">
            <w:pPr>
              <w:pStyle w:val="TableParagraph"/>
              <w:spacing w:before="3" w:line="360" w:lineRule="auto"/>
              <w:ind w:firstLineChars="200" w:firstLine="480"/>
              <w:rPr>
                <w:rFonts w:hint="eastAsia"/>
                <w:sz w:val="24"/>
                <w:szCs w:val="24"/>
                <w:lang w:eastAsia="zh-CN"/>
              </w:rPr>
            </w:pPr>
          </w:p>
          <w:p w14:paraId="166F6E17" w14:textId="78A72F15" w:rsidR="00BB38F2" w:rsidRPr="005D74ED" w:rsidRDefault="00BB38F2" w:rsidP="001F5375">
            <w:pPr>
              <w:pStyle w:val="TableParagraph"/>
              <w:spacing w:before="3" w:line="360" w:lineRule="auto"/>
              <w:ind w:firstLineChars="200" w:firstLine="482"/>
              <w:rPr>
                <w:b/>
                <w:bCs/>
                <w:sz w:val="24"/>
                <w:szCs w:val="24"/>
                <w:lang w:eastAsia="zh-CN"/>
              </w:rPr>
            </w:pPr>
            <w:r>
              <w:rPr>
                <w:rFonts w:hint="eastAsia"/>
                <w:b/>
                <w:bCs/>
                <w:sz w:val="24"/>
                <w:szCs w:val="24"/>
                <w:lang w:eastAsia="zh-CN"/>
              </w:rPr>
              <w:t>问题6</w:t>
            </w:r>
            <w:r>
              <w:rPr>
                <w:b/>
                <w:bCs/>
                <w:sz w:val="24"/>
                <w:szCs w:val="24"/>
                <w:lang w:eastAsia="zh-CN"/>
              </w:rPr>
              <w:t>.</w:t>
            </w:r>
            <w:r w:rsidRPr="005D74ED">
              <w:rPr>
                <w:rFonts w:hint="eastAsia"/>
                <w:b/>
                <w:bCs/>
                <w:sz w:val="24"/>
                <w:szCs w:val="24"/>
                <w:lang w:eastAsia="zh-CN"/>
              </w:rPr>
              <w:t>公司</w:t>
            </w:r>
            <w:r>
              <w:rPr>
                <w:rFonts w:hint="eastAsia"/>
                <w:b/>
                <w:bCs/>
                <w:sz w:val="24"/>
                <w:szCs w:val="24"/>
                <w:lang w:eastAsia="zh-CN"/>
              </w:rPr>
              <w:t>未来发展方向</w:t>
            </w:r>
            <w:r w:rsidRPr="005D74ED">
              <w:rPr>
                <w:rFonts w:hint="eastAsia"/>
                <w:b/>
                <w:bCs/>
                <w:sz w:val="24"/>
                <w:szCs w:val="24"/>
                <w:lang w:eastAsia="zh-CN"/>
              </w:rPr>
              <w:t>？</w:t>
            </w:r>
          </w:p>
          <w:p w14:paraId="180D4D0F" w14:textId="77777777" w:rsidR="004C6FF4" w:rsidRDefault="00BB38F2" w:rsidP="00BB38F2">
            <w:pPr>
              <w:pStyle w:val="TableParagraph"/>
              <w:spacing w:before="3" w:line="360" w:lineRule="auto"/>
              <w:ind w:firstLineChars="200" w:firstLine="480"/>
              <w:rPr>
                <w:sz w:val="24"/>
                <w:szCs w:val="24"/>
                <w:lang w:eastAsia="zh-CN"/>
              </w:rPr>
            </w:pPr>
            <w:r w:rsidRPr="005D74ED">
              <w:rPr>
                <w:rFonts w:hint="eastAsia"/>
                <w:sz w:val="24"/>
                <w:szCs w:val="24"/>
                <w:lang w:eastAsia="zh-CN"/>
              </w:rPr>
              <w:t>答复：</w:t>
            </w:r>
            <w:r w:rsidRPr="006660D1">
              <w:rPr>
                <w:rFonts w:hint="eastAsia"/>
                <w:sz w:val="24"/>
                <w:szCs w:val="24"/>
                <w:lang w:eastAsia="zh-CN"/>
              </w:rPr>
              <w:t>经过多年发展，公司已积累了充足的技术储备，</w:t>
            </w:r>
            <w:r>
              <w:rPr>
                <w:rFonts w:hint="eastAsia"/>
                <w:sz w:val="24"/>
                <w:szCs w:val="24"/>
                <w:lang w:eastAsia="zh-CN"/>
              </w:rPr>
              <w:t>在今后的发展中，将立足于自身分子筛、催化剂的竞争优势，整合行业上下游，延伸产业链，并努力打造产业链闭环</w:t>
            </w:r>
            <w:r w:rsidRPr="005D74ED">
              <w:rPr>
                <w:rFonts w:hint="eastAsia"/>
                <w:sz w:val="24"/>
                <w:szCs w:val="24"/>
                <w:lang w:eastAsia="zh-CN"/>
              </w:rPr>
              <w:t>。</w:t>
            </w:r>
            <w:r>
              <w:rPr>
                <w:rFonts w:hint="eastAsia"/>
                <w:sz w:val="24"/>
                <w:szCs w:val="24"/>
                <w:lang w:eastAsia="zh-CN"/>
              </w:rPr>
              <w:t>公司募投项目中包含金属催化剂、高纯</w:t>
            </w:r>
            <w:r w:rsidR="00862468">
              <w:rPr>
                <w:rFonts w:hint="eastAsia"/>
                <w:sz w:val="24"/>
                <w:szCs w:val="24"/>
                <w:lang w:eastAsia="zh-CN"/>
              </w:rPr>
              <w:t>二</w:t>
            </w:r>
            <w:r>
              <w:rPr>
                <w:rFonts w:hint="eastAsia"/>
                <w:sz w:val="24"/>
                <w:szCs w:val="24"/>
                <w:lang w:eastAsia="zh-CN"/>
              </w:rPr>
              <w:t>氧化硅、高纯氧化铝</w:t>
            </w:r>
            <w:r w:rsidR="002432A6">
              <w:rPr>
                <w:rFonts w:hint="eastAsia"/>
                <w:sz w:val="24"/>
                <w:szCs w:val="24"/>
                <w:lang w:eastAsia="zh-CN"/>
              </w:rPr>
              <w:t>以及</w:t>
            </w:r>
            <w:r>
              <w:rPr>
                <w:rFonts w:hint="eastAsia"/>
                <w:sz w:val="24"/>
                <w:szCs w:val="24"/>
                <w:lang w:eastAsia="zh-CN"/>
              </w:rPr>
              <w:t>精细化学品间甲酚。公司未来将立足自身技术储备优势，围绕</w:t>
            </w:r>
            <w:r w:rsidR="002432A6">
              <w:rPr>
                <w:rFonts w:hint="eastAsia"/>
                <w:sz w:val="24"/>
                <w:szCs w:val="24"/>
                <w:lang w:eastAsia="zh-CN"/>
              </w:rPr>
              <w:t>特种分子筛及</w:t>
            </w:r>
            <w:r>
              <w:rPr>
                <w:rFonts w:hint="eastAsia"/>
                <w:sz w:val="24"/>
                <w:szCs w:val="24"/>
                <w:lang w:eastAsia="zh-CN"/>
              </w:rPr>
              <w:t>催化剂、新材料、精细化学品，实现多赛道共同发展。</w:t>
            </w:r>
          </w:p>
          <w:p w14:paraId="54228DE4" w14:textId="59406FC9" w:rsidR="00A55FFD" w:rsidRPr="001467CF" w:rsidRDefault="00A55FFD" w:rsidP="00BB38F2">
            <w:pPr>
              <w:pStyle w:val="TableParagraph"/>
              <w:spacing w:before="3" w:line="360" w:lineRule="auto"/>
              <w:ind w:firstLineChars="200" w:firstLine="482"/>
              <w:rPr>
                <w:rFonts w:hint="eastAsia"/>
                <w:b/>
                <w:bCs/>
                <w:sz w:val="24"/>
                <w:szCs w:val="24"/>
                <w:lang w:val="en-US" w:eastAsia="zh-CN"/>
              </w:rPr>
            </w:pPr>
          </w:p>
        </w:tc>
      </w:tr>
      <w:tr w:rsidR="00A74907" w14:paraId="668431CD" w14:textId="77777777" w:rsidTr="00E35A02">
        <w:trPr>
          <w:trHeight w:val="1125"/>
        </w:trPr>
        <w:tc>
          <w:tcPr>
            <w:tcW w:w="1833" w:type="dxa"/>
          </w:tcPr>
          <w:p w14:paraId="69E80FC3" w14:textId="77777777" w:rsidR="00A74907" w:rsidRDefault="00A74907" w:rsidP="0042141B">
            <w:pPr>
              <w:pStyle w:val="TableParagraph"/>
              <w:spacing w:before="79"/>
              <w:rPr>
                <w:sz w:val="24"/>
              </w:rPr>
            </w:pPr>
            <w:r>
              <w:rPr>
                <w:sz w:val="24"/>
              </w:rPr>
              <w:lastRenderedPageBreak/>
              <w:t>附件清单（如有）</w:t>
            </w:r>
          </w:p>
        </w:tc>
        <w:tc>
          <w:tcPr>
            <w:tcW w:w="7097" w:type="dxa"/>
          </w:tcPr>
          <w:p w14:paraId="06B19A96" w14:textId="77777777" w:rsidR="00A74907" w:rsidRPr="00CC4DB9" w:rsidRDefault="00A74907" w:rsidP="008C29B2">
            <w:pPr>
              <w:pStyle w:val="TableParagraph"/>
              <w:spacing w:before="3" w:line="360" w:lineRule="auto"/>
              <w:ind w:left="0" w:firstLineChars="200" w:firstLine="480"/>
              <w:rPr>
                <w:sz w:val="24"/>
                <w:szCs w:val="24"/>
              </w:rPr>
            </w:pPr>
            <w:r>
              <w:rPr>
                <w:rFonts w:hint="eastAsia"/>
                <w:sz w:val="24"/>
                <w:szCs w:val="24"/>
              </w:rPr>
              <w:t>无</w:t>
            </w:r>
          </w:p>
        </w:tc>
      </w:tr>
      <w:tr w:rsidR="00A74907" w14:paraId="1A162BC8" w14:textId="77777777" w:rsidTr="00E35A02">
        <w:trPr>
          <w:trHeight w:val="699"/>
        </w:trPr>
        <w:tc>
          <w:tcPr>
            <w:tcW w:w="1833" w:type="dxa"/>
          </w:tcPr>
          <w:p w14:paraId="78775FFC" w14:textId="77777777" w:rsidR="00A74907" w:rsidRDefault="00A74907" w:rsidP="0042141B">
            <w:pPr>
              <w:pStyle w:val="TableParagraph"/>
              <w:spacing w:before="79"/>
              <w:rPr>
                <w:sz w:val="24"/>
              </w:rPr>
            </w:pPr>
            <w:r>
              <w:rPr>
                <w:rFonts w:hint="eastAsia"/>
                <w:sz w:val="24"/>
              </w:rPr>
              <w:t>日期</w:t>
            </w:r>
          </w:p>
        </w:tc>
        <w:tc>
          <w:tcPr>
            <w:tcW w:w="7097" w:type="dxa"/>
          </w:tcPr>
          <w:p w14:paraId="16AA3093" w14:textId="1E7C555F" w:rsidR="00A74907" w:rsidRDefault="00483531" w:rsidP="008C29B2">
            <w:pPr>
              <w:pStyle w:val="TableParagraph"/>
              <w:spacing w:before="3" w:line="360" w:lineRule="auto"/>
              <w:ind w:left="0" w:firstLineChars="200" w:firstLine="480"/>
              <w:rPr>
                <w:sz w:val="24"/>
                <w:szCs w:val="24"/>
                <w:lang w:eastAsia="zh-CN"/>
              </w:rPr>
            </w:pPr>
            <w:r>
              <w:rPr>
                <w:rFonts w:hint="eastAsia"/>
                <w:sz w:val="24"/>
                <w:szCs w:val="24"/>
              </w:rPr>
              <w:t>2</w:t>
            </w:r>
            <w:r>
              <w:rPr>
                <w:sz w:val="24"/>
                <w:szCs w:val="24"/>
              </w:rPr>
              <w:t>023</w:t>
            </w:r>
            <w:r>
              <w:rPr>
                <w:rFonts w:hint="eastAsia"/>
                <w:sz w:val="24"/>
                <w:szCs w:val="24"/>
              </w:rPr>
              <w:t>年</w:t>
            </w:r>
            <w:r w:rsidR="001071E5">
              <w:rPr>
                <w:sz w:val="24"/>
                <w:szCs w:val="24"/>
                <w:lang w:eastAsia="zh-CN"/>
              </w:rPr>
              <w:t>9</w:t>
            </w:r>
            <w:r w:rsidR="00F57D5A">
              <w:rPr>
                <w:rFonts w:hint="eastAsia"/>
                <w:sz w:val="24"/>
                <w:szCs w:val="24"/>
                <w:lang w:eastAsia="zh-CN"/>
              </w:rPr>
              <w:t>月</w:t>
            </w:r>
            <w:r w:rsidR="0073280E">
              <w:rPr>
                <w:sz w:val="24"/>
                <w:szCs w:val="24"/>
                <w:lang w:eastAsia="zh-CN"/>
              </w:rPr>
              <w:t>28</w:t>
            </w:r>
            <w:r w:rsidR="001071E5">
              <w:rPr>
                <w:rFonts w:hint="eastAsia"/>
                <w:sz w:val="24"/>
                <w:szCs w:val="24"/>
                <w:lang w:eastAsia="zh-CN"/>
              </w:rPr>
              <w:t>日</w:t>
            </w:r>
          </w:p>
        </w:tc>
      </w:tr>
    </w:tbl>
    <w:p w14:paraId="252F9428" w14:textId="77777777" w:rsidR="00FA1D1A" w:rsidRDefault="00FA1D1A" w:rsidP="0081080E"/>
    <w:sectPr w:rsidR="00FA1D1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4157" w14:textId="77777777" w:rsidR="00EE561A" w:rsidRDefault="00EE561A">
      <w:r>
        <w:separator/>
      </w:r>
    </w:p>
  </w:endnote>
  <w:endnote w:type="continuationSeparator" w:id="0">
    <w:p w14:paraId="15FBCFC1" w14:textId="77777777" w:rsidR="00EE561A" w:rsidRDefault="00EE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373B" w14:textId="77777777" w:rsidR="00EE561A" w:rsidRDefault="00EE561A">
      <w:r>
        <w:separator/>
      </w:r>
    </w:p>
  </w:footnote>
  <w:footnote w:type="continuationSeparator" w:id="0">
    <w:p w14:paraId="4199A0E4" w14:textId="77777777" w:rsidR="00EE561A" w:rsidRDefault="00EE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4B39" w14:textId="66A0F7ED" w:rsidR="002B3250" w:rsidRDefault="008C29B2">
    <w:pPr>
      <w:pStyle w:val="a3"/>
      <w:spacing w:line="14" w:lineRule="auto"/>
      <w:rPr>
        <w:sz w:val="20"/>
      </w:rPr>
    </w:pPr>
    <w:r>
      <w:rPr>
        <w:noProof/>
      </w:rPr>
      <mc:AlternateContent>
        <mc:Choice Requires="wps">
          <w:drawing>
            <wp:anchor distT="4294967295" distB="4294967295" distL="114300" distR="114300" simplePos="0" relativeHeight="251659264" behindDoc="1" locked="0" layoutInCell="1" allowOverlap="1" wp14:anchorId="273CFBD5" wp14:editId="1E48B6FE">
              <wp:simplePos x="0" y="0"/>
              <wp:positionH relativeFrom="page">
                <wp:posOffset>1125220</wp:posOffset>
              </wp:positionH>
              <wp:positionV relativeFrom="page">
                <wp:posOffset>688974</wp:posOffset>
              </wp:positionV>
              <wp:extent cx="531177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92F88" id="直接连接符 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8.6pt,54.25pt" to="506.8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" strokeweight=".72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07"/>
    <w:rsid w:val="000061AF"/>
    <w:rsid w:val="000215D9"/>
    <w:rsid w:val="000233EC"/>
    <w:rsid w:val="00023709"/>
    <w:rsid w:val="00027A0A"/>
    <w:rsid w:val="00055559"/>
    <w:rsid w:val="000577AB"/>
    <w:rsid w:val="000637C4"/>
    <w:rsid w:val="00064F70"/>
    <w:rsid w:val="000658F1"/>
    <w:rsid w:val="00070B3F"/>
    <w:rsid w:val="000711A0"/>
    <w:rsid w:val="00076D58"/>
    <w:rsid w:val="00077867"/>
    <w:rsid w:val="00082C14"/>
    <w:rsid w:val="00084001"/>
    <w:rsid w:val="000854B3"/>
    <w:rsid w:val="00085FD3"/>
    <w:rsid w:val="00086060"/>
    <w:rsid w:val="00093A7E"/>
    <w:rsid w:val="00093BB5"/>
    <w:rsid w:val="00093DB2"/>
    <w:rsid w:val="0009583D"/>
    <w:rsid w:val="000A0563"/>
    <w:rsid w:val="000A413B"/>
    <w:rsid w:val="000B2199"/>
    <w:rsid w:val="000B2552"/>
    <w:rsid w:val="000B71F3"/>
    <w:rsid w:val="000C0528"/>
    <w:rsid w:val="000C4EC7"/>
    <w:rsid w:val="000D66B0"/>
    <w:rsid w:val="000E07A6"/>
    <w:rsid w:val="000E2E9D"/>
    <w:rsid w:val="000F64C3"/>
    <w:rsid w:val="000F7581"/>
    <w:rsid w:val="0010230A"/>
    <w:rsid w:val="00102D16"/>
    <w:rsid w:val="001071E5"/>
    <w:rsid w:val="001243D0"/>
    <w:rsid w:val="00126233"/>
    <w:rsid w:val="001270C7"/>
    <w:rsid w:val="00131B00"/>
    <w:rsid w:val="00140C65"/>
    <w:rsid w:val="001419BA"/>
    <w:rsid w:val="00143B1C"/>
    <w:rsid w:val="0014456C"/>
    <w:rsid w:val="0014572E"/>
    <w:rsid w:val="001467CF"/>
    <w:rsid w:val="00146B7A"/>
    <w:rsid w:val="0015266C"/>
    <w:rsid w:val="00152B63"/>
    <w:rsid w:val="00153016"/>
    <w:rsid w:val="00162805"/>
    <w:rsid w:val="001810E8"/>
    <w:rsid w:val="001815A5"/>
    <w:rsid w:val="00182B4F"/>
    <w:rsid w:val="001845B3"/>
    <w:rsid w:val="00190BA5"/>
    <w:rsid w:val="001A082D"/>
    <w:rsid w:val="001A15C0"/>
    <w:rsid w:val="001A3D19"/>
    <w:rsid w:val="001A3E6D"/>
    <w:rsid w:val="001B389E"/>
    <w:rsid w:val="001B6239"/>
    <w:rsid w:val="001C2B03"/>
    <w:rsid w:val="001C352D"/>
    <w:rsid w:val="001E3CD6"/>
    <w:rsid w:val="001E4AC8"/>
    <w:rsid w:val="001E661B"/>
    <w:rsid w:val="001F5375"/>
    <w:rsid w:val="00201A77"/>
    <w:rsid w:val="0020255F"/>
    <w:rsid w:val="0020720D"/>
    <w:rsid w:val="00211F9C"/>
    <w:rsid w:val="00214AF3"/>
    <w:rsid w:val="0023005A"/>
    <w:rsid w:val="002301EB"/>
    <w:rsid w:val="00233CF7"/>
    <w:rsid w:val="00234AA4"/>
    <w:rsid w:val="002432A6"/>
    <w:rsid w:val="00243C1D"/>
    <w:rsid w:val="002453BD"/>
    <w:rsid w:val="00262B0D"/>
    <w:rsid w:val="0026428B"/>
    <w:rsid w:val="002733AA"/>
    <w:rsid w:val="00277AA9"/>
    <w:rsid w:val="0028117E"/>
    <w:rsid w:val="0028194E"/>
    <w:rsid w:val="00281A80"/>
    <w:rsid w:val="00284AF2"/>
    <w:rsid w:val="00285157"/>
    <w:rsid w:val="00285AE1"/>
    <w:rsid w:val="00287B0F"/>
    <w:rsid w:val="002A3ED7"/>
    <w:rsid w:val="002B2540"/>
    <w:rsid w:val="002B4D5D"/>
    <w:rsid w:val="002B7712"/>
    <w:rsid w:val="002C1D3E"/>
    <w:rsid w:val="002C44BD"/>
    <w:rsid w:val="002C76DF"/>
    <w:rsid w:val="002E3348"/>
    <w:rsid w:val="002E62A4"/>
    <w:rsid w:val="002E77FE"/>
    <w:rsid w:val="002F17A0"/>
    <w:rsid w:val="002F37D0"/>
    <w:rsid w:val="00300005"/>
    <w:rsid w:val="00301358"/>
    <w:rsid w:val="00303B02"/>
    <w:rsid w:val="00303D38"/>
    <w:rsid w:val="00306065"/>
    <w:rsid w:val="003062BC"/>
    <w:rsid w:val="00312B99"/>
    <w:rsid w:val="00325736"/>
    <w:rsid w:val="00330F22"/>
    <w:rsid w:val="00331AF4"/>
    <w:rsid w:val="00345FEA"/>
    <w:rsid w:val="003463D1"/>
    <w:rsid w:val="0038060D"/>
    <w:rsid w:val="00383CE5"/>
    <w:rsid w:val="00387BB6"/>
    <w:rsid w:val="00393C4C"/>
    <w:rsid w:val="003A056E"/>
    <w:rsid w:val="003A3C62"/>
    <w:rsid w:val="003A4450"/>
    <w:rsid w:val="003A609D"/>
    <w:rsid w:val="003B0BF9"/>
    <w:rsid w:val="003B43EC"/>
    <w:rsid w:val="003B4E41"/>
    <w:rsid w:val="003B7655"/>
    <w:rsid w:val="003C2284"/>
    <w:rsid w:val="003D3F65"/>
    <w:rsid w:val="003D4F1A"/>
    <w:rsid w:val="003E2745"/>
    <w:rsid w:val="003E6AD3"/>
    <w:rsid w:val="003E7378"/>
    <w:rsid w:val="003F0F22"/>
    <w:rsid w:val="003F205F"/>
    <w:rsid w:val="00401118"/>
    <w:rsid w:val="0040114B"/>
    <w:rsid w:val="00401500"/>
    <w:rsid w:val="004022BF"/>
    <w:rsid w:val="00402ECA"/>
    <w:rsid w:val="004040E8"/>
    <w:rsid w:val="0040442C"/>
    <w:rsid w:val="00405B40"/>
    <w:rsid w:val="00410122"/>
    <w:rsid w:val="0041022B"/>
    <w:rsid w:val="00414337"/>
    <w:rsid w:val="004202CA"/>
    <w:rsid w:val="00424D05"/>
    <w:rsid w:val="0042686E"/>
    <w:rsid w:val="00434F05"/>
    <w:rsid w:val="00447CB8"/>
    <w:rsid w:val="00451358"/>
    <w:rsid w:val="00451E9B"/>
    <w:rsid w:val="004623AD"/>
    <w:rsid w:val="00467674"/>
    <w:rsid w:val="00467C07"/>
    <w:rsid w:val="00473129"/>
    <w:rsid w:val="004731DA"/>
    <w:rsid w:val="004750A7"/>
    <w:rsid w:val="00482605"/>
    <w:rsid w:val="00482BB0"/>
    <w:rsid w:val="00483531"/>
    <w:rsid w:val="004A12C4"/>
    <w:rsid w:val="004A437D"/>
    <w:rsid w:val="004A6780"/>
    <w:rsid w:val="004A7863"/>
    <w:rsid w:val="004B7B57"/>
    <w:rsid w:val="004C2BBF"/>
    <w:rsid w:val="004C2C80"/>
    <w:rsid w:val="004C39DE"/>
    <w:rsid w:val="004C6FF4"/>
    <w:rsid w:val="004D28CB"/>
    <w:rsid w:val="004D33D2"/>
    <w:rsid w:val="004D388A"/>
    <w:rsid w:val="004D56D4"/>
    <w:rsid w:val="004D5CBB"/>
    <w:rsid w:val="004D766A"/>
    <w:rsid w:val="004E0308"/>
    <w:rsid w:val="004E3DA7"/>
    <w:rsid w:val="004E41F8"/>
    <w:rsid w:val="004E646A"/>
    <w:rsid w:val="004E7163"/>
    <w:rsid w:val="004E7D20"/>
    <w:rsid w:val="004F15D7"/>
    <w:rsid w:val="004F183B"/>
    <w:rsid w:val="004F56D3"/>
    <w:rsid w:val="004F701C"/>
    <w:rsid w:val="00500EEA"/>
    <w:rsid w:val="00502715"/>
    <w:rsid w:val="00504460"/>
    <w:rsid w:val="00507C6C"/>
    <w:rsid w:val="00510A7E"/>
    <w:rsid w:val="0051117F"/>
    <w:rsid w:val="00514BA9"/>
    <w:rsid w:val="005172EF"/>
    <w:rsid w:val="0052457F"/>
    <w:rsid w:val="0052513A"/>
    <w:rsid w:val="0052584E"/>
    <w:rsid w:val="00531643"/>
    <w:rsid w:val="005351BF"/>
    <w:rsid w:val="00537F54"/>
    <w:rsid w:val="00540F31"/>
    <w:rsid w:val="0054186A"/>
    <w:rsid w:val="005420CC"/>
    <w:rsid w:val="00543B0C"/>
    <w:rsid w:val="005616D4"/>
    <w:rsid w:val="00562AC5"/>
    <w:rsid w:val="00562D2A"/>
    <w:rsid w:val="00562F2A"/>
    <w:rsid w:val="00565208"/>
    <w:rsid w:val="00566781"/>
    <w:rsid w:val="00570DA8"/>
    <w:rsid w:val="00571E4D"/>
    <w:rsid w:val="005868CE"/>
    <w:rsid w:val="00586A54"/>
    <w:rsid w:val="005925FF"/>
    <w:rsid w:val="00594BF5"/>
    <w:rsid w:val="00595E49"/>
    <w:rsid w:val="00596C04"/>
    <w:rsid w:val="005A7EF3"/>
    <w:rsid w:val="005B23E1"/>
    <w:rsid w:val="005B5575"/>
    <w:rsid w:val="005C0B35"/>
    <w:rsid w:val="005C0B48"/>
    <w:rsid w:val="005C148D"/>
    <w:rsid w:val="005C33F6"/>
    <w:rsid w:val="005D12FD"/>
    <w:rsid w:val="005D546C"/>
    <w:rsid w:val="005D6604"/>
    <w:rsid w:val="005D74ED"/>
    <w:rsid w:val="005E12EF"/>
    <w:rsid w:val="005F33F4"/>
    <w:rsid w:val="005F370A"/>
    <w:rsid w:val="005F5B21"/>
    <w:rsid w:val="00604DFF"/>
    <w:rsid w:val="00605EA0"/>
    <w:rsid w:val="006119CC"/>
    <w:rsid w:val="00614718"/>
    <w:rsid w:val="006203FF"/>
    <w:rsid w:val="006211B9"/>
    <w:rsid w:val="00622F95"/>
    <w:rsid w:val="006251E0"/>
    <w:rsid w:val="0063094F"/>
    <w:rsid w:val="00635EE1"/>
    <w:rsid w:val="00635F3F"/>
    <w:rsid w:val="00636279"/>
    <w:rsid w:val="006375F2"/>
    <w:rsid w:val="00641D72"/>
    <w:rsid w:val="00650066"/>
    <w:rsid w:val="006510D0"/>
    <w:rsid w:val="0065283D"/>
    <w:rsid w:val="006530D0"/>
    <w:rsid w:val="0065657E"/>
    <w:rsid w:val="006571F2"/>
    <w:rsid w:val="006660D1"/>
    <w:rsid w:val="00667FA1"/>
    <w:rsid w:val="00670DC4"/>
    <w:rsid w:val="0067213F"/>
    <w:rsid w:val="00672FA0"/>
    <w:rsid w:val="00680163"/>
    <w:rsid w:val="006848A5"/>
    <w:rsid w:val="00690A76"/>
    <w:rsid w:val="00692A00"/>
    <w:rsid w:val="006931DD"/>
    <w:rsid w:val="00693EAD"/>
    <w:rsid w:val="006A1323"/>
    <w:rsid w:val="006A5C03"/>
    <w:rsid w:val="006A76F9"/>
    <w:rsid w:val="006B1E7F"/>
    <w:rsid w:val="006B36A6"/>
    <w:rsid w:val="006B52D6"/>
    <w:rsid w:val="006C31EB"/>
    <w:rsid w:val="006D5D87"/>
    <w:rsid w:val="006F427F"/>
    <w:rsid w:val="006F4E3B"/>
    <w:rsid w:val="006F5B56"/>
    <w:rsid w:val="0070323B"/>
    <w:rsid w:val="00703CA8"/>
    <w:rsid w:val="007061E9"/>
    <w:rsid w:val="00710887"/>
    <w:rsid w:val="00711B7A"/>
    <w:rsid w:val="00724A3F"/>
    <w:rsid w:val="007257A3"/>
    <w:rsid w:val="0072640E"/>
    <w:rsid w:val="0073280E"/>
    <w:rsid w:val="0073383B"/>
    <w:rsid w:val="00741B1C"/>
    <w:rsid w:val="00742381"/>
    <w:rsid w:val="00742660"/>
    <w:rsid w:val="00744CA6"/>
    <w:rsid w:val="007453F4"/>
    <w:rsid w:val="00752250"/>
    <w:rsid w:val="00753D4E"/>
    <w:rsid w:val="0076103A"/>
    <w:rsid w:val="007704C4"/>
    <w:rsid w:val="00770DA1"/>
    <w:rsid w:val="00771FF3"/>
    <w:rsid w:val="00774BEA"/>
    <w:rsid w:val="00790B7A"/>
    <w:rsid w:val="00791F48"/>
    <w:rsid w:val="00797437"/>
    <w:rsid w:val="007A6703"/>
    <w:rsid w:val="007A774C"/>
    <w:rsid w:val="007B2316"/>
    <w:rsid w:val="007C2170"/>
    <w:rsid w:val="007C2D26"/>
    <w:rsid w:val="007C4D01"/>
    <w:rsid w:val="007C57DE"/>
    <w:rsid w:val="007D542E"/>
    <w:rsid w:val="007D64B9"/>
    <w:rsid w:val="007E0A1E"/>
    <w:rsid w:val="007F22A1"/>
    <w:rsid w:val="007F2B1C"/>
    <w:rsid w:val="007F378C"/>
    <w:rsid w:val="0080465E"/>
    <w:rsid w:val="0081080E"/>
    <w:rsid w:val="00811BDB"/>
    <w:rsid w:val="00822528"/>
    <w:rsid w:val="00826770"/>
    <w:rsid w:val="008336EB"/>
    <w:rsid w:val="008407FD"/>
    <w:rsid w:val="0084127C"/>
    <w:rsid w:val="00841CC9"/>
    <w:rsid w:val="00843184"/>
    <w:rsid w:val="008432DC"/>
    <w:rsid w:val="00846400"/>
    <w:rsid w:val="00846D3E"/>
    <w:rsid w:val="00850E10"/>
    <w:rsid w:val="00852512"/>
    <w:rsid w:val="00854EB8"/>
    <w:rsid w:val="0086006A"/>
    <w:rsid w:val="008610BA"/>
    <w:rsid w:val="0086110D"/>
    <w:rsid w:val="00862468"/>
    <w:rsid w:val="0086613E"/>
    <w:rsid w:val="00877E9E"/>
    <w:rsid w:val="00885D84"/>
    <w:rsid w:val="0088623E"/>
    <w:rsid w:val="00895298"/>
    <w:rsid w:val="008972B3"/>
    <w:rsid w:val="008A1C8E"/>
    <w:rsid w:val="008A2714"/>
    <w:rsid w:val="008A4172"/>
    <w:rsid w:val="008A702B"/>
    <w:rsid w:val="008B2A0D"/>
    <w:rsid w:val="008B2D85"/>
    <w:rsid w:val="008B4335"/>
    <w:rsid w:val="008B5C32"/>
    <w:rsid w:val="008B6628"/>
    <w:rsid w:val="008B7631"/>
    <w:rsid w:val="008C035A"/>
    <w:rsid w:val="008C0ECD"/>
    <w:rsid w:val="008C29B2"/>
    <w:rsid w:val="008D0CDB"/>
    <w:rsid w:val="008D2EF6"/>
    <w:rsid w:val="008D4936"/>
    <w:rsid w:val="008D5E59"/>
    <w:rsid w:val="008E0445"/>
    <w:rsid w:val="008F291C"/>
    <w:rsid w:val="008F2E74"/>
    <w:rsid w:val="008F3287"/>
    <w:rsid w:val="009021E8"/>
    <w:rsid w:val="00910877"/>
    <w:rsid w:val="00917035"/>
    <w:rsid w:val="009179D1"/>
    <w:rsid w:val="009259BF"/>
    <w:rsid w:val="00932192"/>
    <w:rsid w:val="009349AF"/>
    <w:rsid w:val="00937518"/>
    <w:rsid w:val="00956036"/>
    <w:rsid w:val="009629C8"/>
    <w:rsid w:val="009633AF"/>
    <w:rsid w:val="00963A20"/>
    <w:rsid w:val="00965E41"/>
    <w:rsid w:val="0097190F"/>
    <w:rsid w:val="00971F5B"/>
    <w:rsid w:val="0097419E"/>
    <w:rsid w:val="0097438A"/>
    <w:rsid w:val="009A73D2"/>
    <w:rsid w:val="009C33C1"/>
    <w:rsid w:val="009C7A87"/>
    <w:rsid w:val="009E25DA"/>
    <w:rsid w:val="009F06A4"/>
    <w:rsid w:val="009F1126"/>
    <w:rsid w:val="009F389B"/>
    <w:rsid w:val="009F3CA5"/>
    <w:rsid w:val="009F6CFD"/>
    <w:rsid w:val="00A04412"/>
    <w:rsid w:val="00A0752D"/>
    <w:rsid w:val="00A17CD2"/>
    <w:rsid w:val="00A20E17"/>
    <w:rsid w:val="00A233BB"/>
    <w:rsid w:val="00A24D18"/>
    <w:rsid w:val="00A332A3"/>
    <w:rsid w:val="00A36075"/>
    <w:rsid w:val="00A3668E"/>
    <w:rsid w:val="00A45001"/>
    <w:rsid w:val="00A4559C"/>
    <w:rsid w:val="00A513F5"/>
    <w:rsid w:val="00A55FFD"/>
    <w:rsid w:val="00A630BA"/>
    <w:rsid w:val="00A71581"/>
    <w:rsid w:val="00A74907"/>
    <w:rsid w:val="00A76F2A"/>
    <w:rsid w:val="00A778EB"/>
    <w:rsid w:val="00A81CAF"/>
    <w:rsid w:val="00A90908"/>
    <w:rsid w:val="00A97C2E"/>
    <w:rsid w:val="00AA0355"/>
    <w:rsid w:val="00AA39A2"/>
    <w:rsid w:val="00AB0EFE"/>
    <w:rsid w:val="00AB1F2D"/>
    <w:rsid w:val="00AB4D34"/>
    <w:rsid w:val="00AB531F"/>
    <w:rsid w:val="00AC2F4B"/>
    <w:rsid w:val="00AD48DE"/>
    <w:rsid w:val="00AD5264"/>
    <w:rsid w:val="00AE0A6E"/>
    <w:rsid w:val="00AE18B9"/>
    <w:rsid w:val="00AE4C84"/>
    <w:rsid w:val="00AE6797"/>
    <w:rsid w:val="00AF6A67"/>
    <w:rsid w:val="00B0240E"/>
    <w:rsid w:val="00B03000"/>
    <w:rsid w:val="00B07CC0"/>
    <w:rsid w:val="00B11CD2"/>
    <w:rsid w:val="00B134FE"/>
    <w:rsid w:val="00B164C1"/>
    <w:rsid w:val="00B2518B"/>
    <w:rsid w:val="00B25323"/>
    <w:rsid w:val="00B369D8"/>
    <w:rsid w:val="00B37886"/>
    <w:rsid w:val="00B4276F"/>
    <w:rsid w:val="00B43D43"/>
    <w:rsid w:val="00B52959"/>
    <w:rsid w:val="00B64476"/>
    <w:rsid w:val="00B72DB8"/>
    <w:rsid w:val="00B731DC"/>
    <w:rsid w:val="00B86A60"/>
    <w:rsid w:val="00B86F1A"/>
    <w:rsid w:val="00B87564"/>
    <w:rsid w:val="00BA24C1"/>
    <w:rsid w:val="00BA485C"/>
    <w:rsid w:val="00BB38F2"/>
    <w:rsid w:val="00BB47CA"/>
    <w:rsid w:val="00BD10CE"/>
    <w:rsid w:val="00BD767E"/>
    <w:rsid w:val="00BE7B04"/>
    <w:rsid w:val="00BE7D5B"/>
    <w:rsid w:val="00C00A55"/>
    <w:rsid w:val="00C04473"/>
    <w:rsid w:val="00C04526"/>
    <w:rsid w:val="00C147F2"/>
    <w:rsid w:val="00C169D4"/>
    <w:rsid w:val="00C20862"/>
    <w:rsid w:val="00C225A0"/>
    <w:rsid w:val="00C30B24"/>
    <w:rsid w:val="00C32FF5"/>
    <w:rsid w:val="00C34652"/>
    <w:rsid w:val="00C474FB"/>
    <w:rsid w:val="00C566C6"/>
    <w:rsid w:val="00C57162"/>
    <w:rsid w:val="00C5766F"/>
    <w:rsid w:val="00C57E68"/>
    <w:rsid w:val="00C7169C"/>
    <w:rsid w:val="00C84C65"/>
    <w:rsid w:val="00C9557F"/>
    <w:rsid w:val="00C96A9A"/>
    <w:rsid w:val="00C97A10"/>
    <w:rsid w:val="00CA5FA5"/>
    <w:rsid w:val="00CA680B"/>
    <w:rsid w:val="00CB5EE2"/>
    <w:rsid w:val="00CB77E7"/>
    <w:rsid w:val="00CC303C"/>
    <w:rsid w:val="00CD27FB"/>
    <w:rsid w:val="00CD293C"/>
    <w:rsid w:val="00CD370B"/>
    <w:rsid w:val="00CD7C9F"/>
    <w:rsid w:val="00CE029D"/>
    <w:rsid w:val="00CE1F99"/>
    <w:rsid w:val="00CE22E1"/>
    <w:rsid w:val="00CE5814"/>
    <w:rsid w:val="00CF134E"/>
    <w:rsid w:val="00CF77CC"/>
    <w:rsid w:val="00D07409"/>
    <w:rsid w:val="00D1180D"/>
    <w:rsid w:val="00D12976"/>
    <w:rsid w:val="00D12EBE"/>
    <w:rsid w:val="00D1493E"/>
    <w:rsid w:val="00D201B3"/>
    <w:rsid w:val="00D21EAE"/>
    <w:rsid w:val="00D232FC"/>
    <w:rsid w:val="00D31D77"/>
    <w:rsid w:val="00D42BF9"/>
    <w:rsid w:val="00D43094"/>
    <w:rsid w:val="00D443BB"/>
    <w:rsid w:val="00D51D2A"/>
    <w:rsid w:val="00D63A24"/>
    <w:rsid w:val="00D733BC"/>
    <w:rsid w:val="00D74C34"/>
    <w:rsid w:val="00D75486"/>
    <w:rsid w:val="00D83E79"/>
    <w:rsid w:val="00D83EE8"/>
    <w:rsid w:val="00D85F0F"/>
    <w:rsid w:val="00D924F6"/>
    <w:rsid w:val="00DA28B4"/>
    <w:rsid w:val="00DA5F4F"/>
    <w:rsid w:val="00DA69B6"/>
    <w:rsid w:val="00DB19CD"/>
    <w:rsid w:val="00DB5AE3"/>
    <w:rsid w:val="00DC090D"/>
    <w:rsid w:val="00DC1E44"/>
    <w:rsid w:val="00DC5743"/>
    <w:rsid w:val="00DD1934"/>
    <w:rsid w:val="00DD3B3A"/>
    <w:rsid w:val="00DD421B"/>
    <w:rsid w:val="00DD5F3D"/>
    <w:rsid w:val="00DD682D"/>
    <w:rsid w:val="00DE5D7C"/>
    <w:rsid w:val="00DE7CA2"/>
    <w:rsid w:val="00DF608B"/>
    <w:rsid w:val="00E00CE9"/>
    <w:rsid w:val="00E02146"/>
    <w:rsid w:val="00E0532C"/>
    <w:rsid w:val="00E07B8E"/>
    <w:rsid w:val="00E07F14"/>
    <w:rsid w:val="00E124E5"/>
    <w:rsid w:val="00E132C7"/>
    <w:rsid w:val="00E14D5A"/>
    <w:rsid w:val="00E20447"/>
    <w:rsid w:val="00E2240C"/>
    <w:rsid w:val="00E2368F"/>
    <w:rsid w:val="00E256BC"/>
    <w:rsid w:val="00E27ABE"/>
    <w:rsid w:val="00E30E0B"/>
    <w:rsid w:val="00E35A02"/>
    <w:rsid w:val="00E4022C"/>
    <w:rsid w:val="00E47D3D"/>
    <w:rsid w:val="00E71412"/>
    <w:rsid w:val="00E77BC4"/>
    <w:rsid w:val="00E84B9A"/>
    <w:rsid w:val="00E94847"/>
    <w:rsid w:val="00EA047A"/>
    <w:rsid w:val="00EA073E"/>
    <w:rsid w:val="00EB50C6"/>
    <w:rsid w:val="00EB7646"/>
    <w:rsid w:val="00EC74DD"/>
    <w:rsid w:val="00ED09FF"/>
    <w:rsid w:val="00ED4D04"/>
    <w:rsid w:val="00ED66AE"/>
    <w:rsid w:val="00EE561A"/>
    <w:rsid w:val="00EF0BDC"/>
    <w:rsid w:val="00EF2244"/>
    <w:rsid w:val="00F02A63"/>
    <w:rsid w:val="00F06CF2"/>
    <w:rsid w:val="00F1575E"/>
    <w:rsid w:val="00F20C48"/>
    <w:rsid w:val="00F21F35"/>
    <w:rsid w:val="00F252B7"/>
    <w:rsid w:val="00F33E15"/>
    <w:rsid w:val="00F33FAC"/>
    <w:rsid w:val="00F34323"/>
    <w:rsid w:val="00F34B09"/>
    <w:rsid w:val="00F34FBC"/>
    <w:rsid w:val="00F35DA2"/>
    <w:rsid w:val="00F37A86"/>
    <w:rsid w:val="00F4150A"/>
    <w:rsid w:val="00F43577"/>
    <w:rsid w:val="00F57477"/>
    <w:rsid w:val="00F57B23"/>
    <w:rsid w:val="00F57D5A"/>
    <w:rsid w:val="00F624B6"/>
    <w:rsid w:val="00F63B37"/>
    <w:rsid w:val="00F72A9D"/>
    <w:rsid w:val="00F85F9B"/>
    <w:rsid w:val="00F94194"/>
    <w:rsid w:val="00F95E49"/>
    <w:rsid w:val="00F9758A"/>
    <w:rsid w:val="00FA1D1A"/>
    <w:rsid w:val="00FA44BA"/>
    <w:rsid w:val="00FB1B6B"/>
    <w:rsid w:val="00FD0049"/>
    <w:rsid w:val="00FD4D47"/>
    <w:rsid w:val="00FD5A1C"/>
    <w:rsid w:val="00FE0016"/>
    <w:rsid w:val="00FE1A25"/>
    <w:rsid w:val="00FE2E1B"/>
    <w:rsid w:val="00FE43BD"/>
    <w:rsid w:val="00FE7F02"/>
    <w:rsid w:val="00FF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6C478"/>
  <w15:chartTrackingRefBased/>
  <w15:docId w15:val="{F67907C5-5409-467B-A6E4-5DFCFB7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907"/>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490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74907"/>
    <w:rPr>
      <w:sz w:val="24"/>
      <w:szCs w:val="24"/>
    </w:rPr>
  </w:style>
  <w:style w:type="character" w:customStyle="1" w:styleId="a4">
    <w:name w:val="正文文本 字符"/>
    <w:basedOn w:val="a0"/>
    <w:link w:val="a3"/>
    <w:uiPriority w:val="1"/>
    <w:rsid w:val="00A74907"/>
    <w:rPr>
      <w:rFonts w:ascii="宋体" w:eastAsia="宋体" w:hAnsi="宋体" w:cs="宋体"/>
      <w:kern w:val="0"/>
      <w:sz w:val="24"/>
      <w:szCs w:val="24"/>
      <w:lang w:val="zh-CN" w:bidi="zh-CN"/>
    </w:rPr>
  </w:style>
  <w:style w:type="paragraph" w:customStyle="1" w:styleId="TableParagraph">
    <w:name w:val="Table Paragraph"/>
    <w:basedOn w:val="a"/>
    <w:uiPriority w:val="1"/>
    <w:qFormat/>
    <w:rsid w:val="00A74907"/>
    <w:pPr>
      <w:ind w:left="107"/>
    </w:pPr>
  </w:style>
  <w:style w:type="paragraph" w:styleId="a5">
    <w:name w:val="header"/>
    <w:basedOn w:val="a"/>
    <w:link w:val="a6"/>
    <w:uiPriority w:val="99"/>
    <w:unhideWhenUsed/>
    <w:rsid w:val="002C76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C76DF"/>
    <w:rPr>
      <w:rFonts w:ascii="宋体" w:eastAsia="宋体" w:hAnsi="宋体" w:cs="宋体"/>
      <w:kern w:val="0"/>
      <w:sz w:val="18"/>
      <w:szCs w:val="18"/>
      <w:lang w:val="zh-CN" w:bidi="zh-CN"/>
    </w:rPr>
  </w:style>
  <w:style w:type="paragraph" w:styleId="a7">
    <w:name w:val="footer"/>
    <w:basedOn w:val="a"/>
    <w:link w:val="a8"/>
    <w:uiPriority w:val="99"/>
    <w:unhideWhenUsed/>
    <w:rsid w:val="002C76DF"/>
    <w:pPr>
      <w:tabs>
        <w:tab w:val="center" w:pos="4153"/>
        <w:tab w:val="right" w:pos="8306"/>
      </w:tabs>
      <w:snapToGrid w:val="0"/>
    </w:pPr>
    <w:rPr>
      <w:sz w:val="18"/>
      <w:szCs w:val="18"/>
    </w:rPr>
  </w:style>
  <w:style w:type="character" w:customStyle="1" w:styleId="a8">
    <w:name w:val="页脚 字符"/>
    <w:basedOn w:val="a0"/>
    <w:link w:val="a7"/>
    <w:uiPriority w:val="99"/>
    <w:rsid w:val="002C76DF"/>
    <w:rPr>
      <w:rFonts w:ascii="宋体" w:eastAsia="宋体" w:hAnsi="宋体" w:cs="宋体"/>
      <w:kern w:val="0"/>
      <w:sz w:val="18"/>
      <w:szCs w:val="18"/>
      <w:lang w:val="zh-CN" w:bidi="zh-CN"/>
    </w:rPr>
  </w:style>
  <w:style w:type="paragraph" w:styleId="a9">
    <w:name w:val="Revision"/>
    <w:hidden/>
    <w:uiPriority w:val="99"/>
    <w:semiHidden/>
    <w:rsid w:val="00306065"/>
    <w:rPr>
      <w:rFonts w:ascii="宋体" w:eastAsia="宋体" w:hAnsi="宋体" w:cs="宋体"/>
      <w:kern w:val="0"/>
      <w:sz w:val="22"/>
      <w:lang w:val="zh-CN" w:bidi="zh-CN"/>
    </w:rPr>
  </w:style>
  <w:style w:type="character" w:customStyle="1" w:styleId="highlight">
    <w:name w:val="highlight"/>
    <w:basedOn w:val="a0"/>
    <w:rsid w:val="00E2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张理</dc:creator>
  <cp:keywords/>
  <dc:description/>
  <cp:lastModifiedBy>ccgzq</cp:lastModifiedBy>
  <cp:revision>18</cp:revision>
  <dcterms:created xsi:type="dcterms:W3CDTF">2023-09-28T04:26:00Z</dcterms:created>
  <dcterms:modified xsi:type="dcterms:W3CDTF">2023-09-28T06:33:00Z</dcterms:modified>
</cp:coreProperties>
</file>