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hint="eastAsia" w:ascii="楷体" w:hAnsi="楷体" w:eastAsia="楷体" w:cs="楷体"/>
          <w:b/>
          <w:bCs/>
          <w:kern w:val="0"/>
          <w:sz w:val="36"/>
          <w:szCs w:val="28"/>
          <w:lang w:bidi="ar"/>
        </w:rPr>
      </w:pPr>
      <w:r>
        <w:rPr>
          <w:rFonts w:hint="eastAsia" w:ascii="楷体" w:hAnsi="楷体" w:eastAsia="楷体" w:cs="楷体"/>
          <w:b/>
          <w:bCs/>
          <w:kern w:val="0"/>
          <w:sz w:val="36"/>
          <w:szCs w:val="28"/>
          <w:lang w:bidi="ar"/>
        </w:rPr>
        <w:t>中国汽研（601965）机构调研纪要（2023年9月）</w:t>
      </w:r>
    </w:p>
    <w:tbl>
      <w:tblPr>
        <w:tblStyle w:val="7"/>
        <w:tblW w:w="8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2310"/>
        <w:gridCol w:w="5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2" w:type="dxa"/>
            <w:gridSpan w:val="2"/>
            <w:shd w:val="clear" w:color="auto" w:fill="D8D8D8" w:themeFill="background1" w:themeFillShade="D9"/>
            <w:vAlign w:val="center"/>
          </w:tcPr>
          <w:p>
            <w:pPr>
              <w:widowControl/>
              <w:jc w:val="center"/>
              <w:rPr>
                <w:rFonts w:hint="eastAsia" w:ascii="楷体" w:hAnsi="楷体" w:eastAsia="楷体" w:cs="楷体"/>
                <w:b/>
                <w:kern w:val="0"/>
                <w:sz w:val="21"/>
                <w:szCs w:val="21"/>
                <w:lang w:val="en-US" w:eastAsia="zh-CN" w:bidi="ar"/>
              </w:rPr>
            </w:pPr>
            <w:r>
              <w:rPr>
                <w:rFonts w:hint="eastAsia" w:ascii="楷体" w:hAnsi="楷体" w:eastAsia="楷体" w:cs="楷体"/>
                <w:b/>
                <w:kern w:val="0"/>
                <w:sz w:val="21"/>
                <w:szCs w:val="21"/>
                <w:lang w:val="en-US" w:eastAsia="zh-CN" w:bidi="ar"/>
              </w:rPr>
              <w:t>基本信息</w:t>
            </w:r>
          </w:p>
        </w:tc>
        <w:tc>
          <w:tcPr>
            <w:tcW w:w="5144" w:type="dxa"/>
            <w:shd w:val="clear" w:color="auto" w:fill="D8D8D8" w:themeFill="background1" w:themeFillShade="D9"/>
            <w:vAlign w:val="center"/>
          </w:tcPr>
          <w:p>
            <w:pPr>
              <w:widowControl/>
              <w:jc w:val="center"/>
              <w:rPr>
                <w:rFonts w:hint="eastAsia" w:ascii="楷体" w:hAnsi="楷体" w:eastAsia="楷体" w:cs="楷体"/>
                <w:b/>
                <w:kern w:val="0"/>
                <w:sz w:val="21"/>
                <w:szCs w:val="21"/>
                <w:lang w:val="en-US" w:eastAsia="zh-CN" w:bidi="ar"/>
              </w:rPr>
            </w:pPr>
            <w:r>
              <w:rPr>
                <w:rFonts w:hint="eastAsia" w:ascii="楷体" w:hAnsi="楷体" w:eastAsia="楷体" w:cs="楷体"/>
                <w:b/>
                <w:kern w:val="0"/>
                <w:sz w:val="21"/>
                <w:szCs w:val="21"/>
                <w:lang w:bidi="ar"/>
              </w:rPr>
              <w:t>交流机构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92" w:type="dxa"/>
            <w:vAlign w:val="center"/>
          </w:tcPr>
          <w:p>
            <w:pPr>
              <w:widowControl/>
              <w:spacing w:line="400" w:lineRule="exact"/>
              <w:jc w:val="center"/>
              <w:rPr>
                <w:rFonts w:hint="eastAsia" w:ascii="楷体" w:hAnsi="楷体" w:eastAsia="楷体" w:cs="楷体"/>
                <w:b/>
                <w:bCs w:val="0"/>
                <w:kern w:val="0"/>
                <w:sz w:val="21"/>
                <w:szCs w:val="21"/>
                <w:lang w:bidi="ar"/>
              </w:rPr>
            </w:pPr>
            <w:r>
              <w:rPr>
                <w:rFonts w:hint="eastAsia" w:ascii="楷体" w:hAnsi="楷体" w:eastAsia="楷体" w:cs="楷体"/>
                <w:b/>
                <w:bCs w:val="0"/>
                <w:kern w:val="0"/>
                <w:sz w:val="21"/>
                <w:szCs w:val="21"/>
                <w:lang w:bidi="ar"/>
              </w:rPr>
              <w:t>日期</w:t>
            </w:r>
          </w:p>
        </w:tc>
        <w:tc>
          <w:tcPr>
            <w:tcW w:w="2310" w:type="dxa"/>
            <w:vAlign w:val="center"/>
          </w:tcPr>
          <w:p>
            <w:pPr>
              <w:widowControl/>
              <w:spacing w:line="400" w:lineRule="exact"/>
              <w:jc w:val="center"/>
              <w:rPr>
                <w:rFonts w:hint="eastAsia" w:ascii="楷体" w:hAnsi="楷体" w:eastAsia="楷体" w:cs="楷体"/>
                <w:b w:val="0"/>
                <w:bCs/>
                <w:kern w:val="0"/>
                <w:sz w:val="21"/>
                <w:szCs w:val="21"/>
                <w:lang w:bidi="ar"/>
              </w:rPr>
            </w:pPr>
            <w:r>
              <w:rPr>
                <w:rFonts w:hint="eastAsia" w:ascii="楷体" w:hAnsi="楷体" w:eastAsia="楷体" w:cs="楷体"/>
                <w:kern w:val="0"/>
                <w:sz w:val="18"/>
                <w:szCs w:val="18"/>
                <w:lang w:bidi="ar"/>
              </w:rPr>
              <w:t>2023年9月</w:t>
            </w:r>
          </w:p>
        </w:tc>
        <w:tc>
          <w:tcPr>
            <w:tcW w:w="5144" w:type="dxa"/>
            <w:vMerge w:val="restart"/>
            <w:vAlign w:val="center"/>
          </w:tcPr>
          <w:p>
            <w:pPr>
              <w:widowControl/>
              <w:spacing w:line="400" w:lineRule="exact"/>
              <w:jc w:val="left"/>
              <w:rPr>
                <w:rFonts w:hint="eastAsia" w:ascii="楷体" w:hAnsi="楷体" w:eastAsia="楷体" w:cs="楷体"/>
                <w:kern w:val="0"/>
                <w:sz w:val="18"/>
                <w:szCs w:val="18"/>
                <w:lang w:val="en-US" w:eastAsia="zh-CN" w:bidi="ar"/>
              </w:rPr>
            </w:pPr>
            <w:r>
              <w:rPr>
                <w:rFonts w:hint="eastAsia" w:ascii="楷体" w:hAnsi="楷体" w:eastAsia="楷体" w:cs="楷体"/>
                <w:kern w:val="0"/>
                <w:sz w:val="18"/>
                <w:szCs w:val="18"/>
                <w:lang w:bidi="ar"/>
              </w:rPr>
              <w:t>广发证券、中泰证券、招商证券、东吴证券、中金公司、长江证券、中信建投、西南证券、民生证券、方正证券、国联证券、兴业证券、浙商证券、国海证券、大家资产、华夏基金、华泰柏瑞、富国基金、农银汇理、大成基金、兴业基金、合远基金、兆天投资、招商基金、东方基金、国联基金、高毅资产、源峰基金、博时基金、建信信托、宁银理财、长江资管、华安基金、华商基金、中金资管、西南</w:t>
            </w:r>
            <w:r>
              <w:rPr>
                <w:rFonts w:hint="eastAsia" w:ascii="楷体" w:hAnsi="楷体" w:eastAsia="楷体" w:cs="楷体"/>
                <w:kern w:val="0"/>
                <w:sz w:val="18"/>
                <w:szCs w:val="18"/>
                <w:lang w:val="en-US" w:eastAsia="zh-CN" w:bidi="ar"/>
              </w:rPr>
              <w:t>资管、</w:t>
            </w:r>
            <w:r>
              <w:rPr>
                <w:rFonts w:hint="eastAsia" w:ascii="楷体" w:hAnsi="楷体" w:eastAsia="楷体" w:cs="楷体"/>
                <w:kern w:val="0"/>
                <w:sz w:val="18"/>
                <w:szCs w:val="18"/>
                <w:lang w:bidi="ar"/>
              </w:rPr>
              <w:t>合创友量、瑞银资管、申万自营、国海富兰克、人保养老、新华养老、杉树资产、金科投资、淡水泉、西部利得、江苏瑞华、长安基金、安本标准</w:t>
            </w:r>
            <w:r>
              <w:rPr>
                <w:rFonts w:hint="eastAsia" w:ascii="楷体" w:hAnsi="楷体" w:eastAsia="楷体" w:cs="楷体"/>
                <w:kern w:val="0"/>
                <w:sz w:val="18"/>
                <w:szCs w:val="18"/>
                <w:lang w:eastAsia="zh-CN" w:bidi="ar"/>
              </w:rPr>
              <w:t>、冠达菁华、华能贵诚、众安在线</w:t>
            </w:r>
            <w:r>
              <w:rPr>
                <w:rFonts w:hint="eastAsia" w:ascii="楷体" w:hAnsi="楷体" w:eastAsia="楷体" w:cs="楷体"/>
                <w:kern w:val="0"/>
                <w:sz w:val="18"/>
                <w:szCs w:val="18"/>
                <w:lang w:bidi="ar"/>
              </w:rPr>
              <w:t>等（排名不分先后）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92" w:type="dxa"/>
            <w:vAlign w:val="center"/>
          </w:tcPr>
          <w:p>
            <w:pPr>
              <w:widowControl/>
              <w:spacing w:line="400" w:lineRule="exact"/>
              <w:jc w:val="center"/>
              <w:rPr>
                <w:rFonts w:hint="eastAsia" w:ascii="楷体" w:hAnsi="楷体" w:eastAsia="楷体" w:cs="楷体"/>
                <w:b/>
                <w:bCs w:val="0"/>
                <w:kern w:val="0"/>
                <w:sz w:val="18"/>
                <w:szCs w:val="18"/>
                <w:lang w:bidi="ar"/>
              </w:rPr>
            </w:pPr>
            <w:r>
              <w:rPr>
                <w:rFonts w:hint="eastAsia" w:ascii="楷体" w:hAnsi="楷体" w:eastAsia="楷体" w:cs="楷体"/>
                <w:b/>
                <w:bCs w:val="0"/>
                <w:kern w:val="0"/>
                <w:sz w:val="21"/>
                <w:szCs w:val="21"/>
                <w:lang w:bidi="ar"/>
              </w:rPr>
              <w:t>公司</w:t>
            </w:r>
            <w:r>
              <w:rPr>
                <w:rFonts w:hint="eastAsia" w:ascii="楷体" w:hAnsi="楷体" w:eastAsia="楷体" w:cs="楷体"/>
                <w:b/>
                <w:bCs w:val="0"/>
                <w:kern w:val="0"/>
                <w:sz w:val="21"/>
                <w:szCs w:val="21"/>
                <w:lang w:val="en-US" w:eastAsia="zh-CN" w:bidi="ar"/>
              </w:rPr>
              <w:t>交流</w:t>
            </w:r>
            <w:r>
              <w:rPr>
                <w:rFonts w:hint="eastAsia" w:ascii="楷体" w:hAnsi="楷体" w:eastAsia="楷体" w:cs="楷体"/>
                <w:b/>
                <w:bCs w:val="0"/>
                <w:kern w:val="0"/>
                <w:sz w:val="21"/>
                <w:szCs w:val="21"/>
                <w:lang w:bidi="ar"/>
              </w:rPr>
              <w:t>人员</w:t>
            </w:r>
          </w:p>
        </w:tc>
        <w:tc>
          <w:tcPr>
            <w:tcW w:w="2310" w:type="dxa"/>
            <w:vAlign w:val="center"/>
          </w:tcPr>
          <w:p>
            <w:pPr>
              <w:widowControl/>
              <w:spacing w:line="400" w:lineRule="exact"/>
              <w:jc w:val="center"/>
              <w:rPr>
                <w:rFonts w:hint="eastAsia" w:ascii="楷体" w:hAnsi="楷体" w:eastAsia="楷体" w:cs="楷体"/>
                <w:kern w:val="0"/>
                <w:sz w:val="18"/>
                <w:szCs w:val="18"/>
                <w:lang w:bidi="ar"/>
              </w:rPr>
            </w:pPr>
            <w:r>
              <w:rPr>
                <w:rFonts w:hint="eastAsia" w:ascii="楷体" w:hAnsi="楷体" w:eastAsia="楷体" w:cs="楷体"/>
                <w:kern w:val="0"/>
                <w:sz w:val="18"/>
                <w:szCs w:val="18"/>
                <w:lang w:bidi="ar"/>
              </w:rPr>
              <w:t>董事/总经理/董秘：刘安民</w:t>
            </w:r>
          </w:p>
          <w:p>
            <w:pPr>
              <w:widowControl/>
              <w:spacing w:line="400" w:lineRule="exact"/>
              <w:jc w:val="center"/>
              <w:rPr>
                <w:rFonts w:hint="eastAsia" w:ascii="楷体" w:hAnsi="楷体" w:eastAsia="楷体" w:cs="楷体"/>
                <w:kern w:val="0"/>
                <w:sz w:val="18"/>
                <w:szCs w:val="18"/>
                <w:lang w:bidi="ar"/>
              </w:rPr>
            </w:pPr>
            <w:r>
              <w:rPr>
                <w:rFonts w:hint="eastAsia" w:ascii="楷体" w:hAnsi="楷体" w:eastAsia="楷体" w:cs="楷体"/>
                <w:kern w:val="0"/>
                <w:sz w:val="18"/>
                <w:szCs w:val="18"/>
                <w:lang w:bidi="ar"/>
              </w:rPr>
              <w:t>总法律顾问/总监：抄佩佩</w:t>
            </w:r>
          </w:p>
          <w:p>
            <w:pPr>
              <w:widowControl/>
              <w:spacing w:line="400" w:lineRule="exact"/>
              <w:jc w:val="center"/>
              <w:rPr>
                <w:rFonts w:hint="eastAsia" w:ascii="楷体" w:hAnsi="楷体" w:eastAsia="楷体" w:cs="楷体"/>
                <w:kern w:val="0"/>
                <w:sz w:val="18"/>
                <w:szCs w:val="18"/>
                <w:lang w:val="en-US" w:eastAsia="zh-CN" w:bidi="ar"/>
              </w:rPr>
            </w:pPr>
            <w:r>
              <w:rPr>
                <w:rFonts w:hint="eastAsia" w:ascii="楷体" w:hAnsi="楷体" w:eastAsia="楷体" w:cs="楷体"/>
                <w:kern w:val="0"/>
                <w:sz w:val="18"/>
                <w:szCs w:val="18"/>
                <w:lang w:bidi="ar"/>
              </w:rPr>
              <w:t>证券事务代表：叶丰瑞</w:t>
            </w:r>
          </w:p>
        </w:tc>
        <w:tc>
          <w:tcPr>
            <w:tcW w:w="5144" w:type="dxa"/>
            <w:vMerge w:val="continue"/>
            <w:vAlign w:val="center"/>
          </w:tcPr>
          <w:p>
            <w:pPr>
              <w:widowControl/>
              <w:spacing w:line="400" w:lineRule="exact"/>
              <w:jc w:val="center"/>
              <w:rPr>
                <w:rFonts w:hint="eastAsia" w:ascii="楷体" w:hAnsi="楷体" w:eastAsia="楷体" w:cs="楷体"/>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792" w:type="dxa"/>
            <w:vAlign w:val="center"/>
          </w:tcPr>
          <w:p>
            <w:pPr>
              <w:widowControl/>
              <w:spacing w:line="400" w:lineRule="exact"/>
              <w:jc w:val="center"/>
              <w:rPr>
                <w:rFonts w:hint="eastAsia" w:ascii="楷体" w:hAnsi="楷体" w:eastAsia="楷体" w:cs="楷体"/>
                <w:b/>
                <w:bCs w:val="0"/>
                <w:kern w:val="0"/>
                <w:sz w:val="18"/>
                <w:szCs w:val="18"/>
                <w:lang w:bidi="ar"/>
              </w:rPr>
            </w:pPr>
            <w:r>
              <w:rPr>
                <w:rFonts w:hint="eastAsia" w:ascii="楷体" w:hAnsi="楷体" w:eastAsia="楷体" w:cs="楷体"/>
                <w:b/>
                <w:bCs w:val="0"/>
                <w:kern w:val="0"/>
                <w:sz w:val="21"/>
                <w:szCs w:val="21"/>
                <w:lang w:val="en-US" w:eastAsia="zh-CN" w:bidi="ar"/>
              </w:rPr>
              <w:t>交流地点</w:t>
            </w:r>
          </w:p>
        </w:tc>
        <w:tc>
          <w:tcPr>
            <w:tcW w:w="2310" w:type="dxa"/>
            <w:vAlign w:val="center"/>
          </w:tcPr>
          <w:p>
            <w:pPr>
              <w:widowControl/>
              <w:spacing w:line="400" w:lineRule="exact"/>
              <w:jc w:val="center"/>
              <w:rPr>
                <w:rFonts w:hint="eastAsia" w:ascii="楷体" w:hAnsi="楷体" w:eastAsia="楷体" w:cs="楷体"/>
                <w:kern w:val="0"/>
                <w:sz w:val="18"/>
                <w:szCs w:val="18"/>
                <w:lang w:bidi="ar"/>
              </w:rPr>
            </w:pPr>
            <w:r>
              <w:rPr>
                <w:rFonts w:hint="eastAsia" w:ascii="楷体" w:hAnsi="楷体" w:eastAsia="楷体" w:cs="楷体"/>
                <w:kern w:val="0"/>
                <w:sz w:val="18"/>
                <w:szCs w:val="18"/>
                <w:lang w:val="en-US" w:eastAsia="zh-CN" w:bidi="ar"/>
              </w:rPr>
              <w:t>中国汽研（重庆市北部新区金渝大道9号）</w:t>
            </w:r>
          </w:p>
        </w:tc>
        <w:tc>
          <w:tcPr>
            <w:tcW w:w="5144" w:type="dxa"/>
            <w:vMerge w:val="continue"/>
            <w:vAlign w:val="center"/>
          </w:tcPr>
          <w:p>
            <w:pPr>
              <w:widowControl/>
              <w:spacing w:line="400" w:lineRule="exact"/>
              <w:jc w:val="center"/>
              <w:rPr>
                <w:rFonts w:hint="eastAsia" w:ascii="楷体" w:hAnsi="楷体" w:eastAsia="楷体" w:cs="楷体"/>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92" w:type="dxa"/>
            <w:vAlign w:val="center"/>
          </w:tcPr>
          <w:p>
            <w:pPr>
              <w:widowControl/>
              <w:spacing w:line="400" w:lineRule="exact"/>
              <w:jc w:val="center"/>
              <w:rPr>
                <w:rFonts w:hint="eastAsia" w:ascii="楷体" w:hAnsi="楷体" w:eastAsia="楷体" w:cs="楷体"/>
                <w:b/>
                <w:bCs w:val="0"/>
                <w:kern w:val="0"/>
                <w:sz w:val="18"/>
                <w:szCs w:val="18"/>
                <w:lang w:bidi="ar"/>
              </w:rPr>
            </w:pPr>
            <w:r>
              <w:rPr>
                <w:rFonts w:hint="eastAsia" w:ascii="楷体" w:hAnsi="楷体" w:eastAsia="楷体" w:cs="楷体"/>
                <w:b/>
                <w:bCs w:val="0"/>
                <w:kern w:val="0"/>
                <w:sz w:val="21"/>
                <w:szCs w:val="21"/>
                <w:lang w:val="en-US" w:eastAsia="zh-CN" w:bidi="ar"/>
              </w:rPr>
              <w:t>交流方式</w:t>
            </w:r>
          </w:p>
        </w:tc>
        <w:tc>
          <w:tcPr>
            <w:tcW w:w="2310" w:type="dxa"/>
            <w:vAlign w:val="center"/>
          </w:tcPr>
          <w:p>
            <w:pPr>
              <w:widowControl/>
              <w:spacing w:line="400" w:lineRule="exact"/>
              <w:jc w:val="center"/>
              <w:rPr>
                <w:rFonts w:hint="eastAsia" w:ascii="楷体" w:hAnsi="楷体" w:eastAsia="楷体" w:cs="楷体"/>
                <w:kern w:val="0"/>
                <w:sz w:val="18"/>
                <w:szCs w:val="18"/>
                <w:lang w:bidi="ar"/>
              </w:rPr>
            </w:pPr>
            <w:bookmarkStart w:id="0" w:name="_GoBack"/>
            <w:bookmarkEnd w:id="0"/>
            <w:r>
              <w:rPr>
                <w:rFonts w:hint="eastAsia" w:ascii="楷体" w:hAnsi="楷体" w:eastAsia="楷体" w:cs="楷体"/>
                <w:kern w:val="0"/>
                <w:sz w:val="18"/>
                <w:szCs w:val="18"/>
                <w:lang w:val="en-US" w:eastAsia="zh-CN" w:bidi="ar"/>
              </w:rPr>
              <w:t>现场或线上</w:t>
            </w:r>
          </w:p>
        </w:tc>
        <w:tc>
          <w:tcPr>
            <w:tcW w:w="5144" w:type="dxa"/>
            <w:vMerge w:val="continue"/>
            <w:vAlign w:val="center"/>
          </w:tcPr>
          <w:p>
            <w:pPr>
              <w:widowControl/>
              <w:spacing w:line="400" w:lineRule="exact"/>
              <w:jc w:val="center"/>
              <w:rPr>
                <w:rFonts w:hint="eastAsia" w:ascii="楷体" w:hAnsi="楷体" w:eastAsia="楷体" w:cs="楷体"/>
                <w:kern w:val="0"/>
                <w:sz w:val="18"/>
                <w:szCs w:val="18"/>
                <w:lang w:val="en-US" w:eastAsia="zh-CN" w:bidi="ar"/>
              </w:rPr>
            </w:pPr>
          </w:p>
        </w:tc>
      </w:tr>
    </w:tbl>
    <w:p>
      <w:pPr>
        <w:spacing w:before="240"/>
        <w:rPr>
          <w:rFonts w:hint="eastAsia" w:ascii="楷体" w:hAnsi="楷体" w:eastAsia="楷体" w:cs="楷体"/>
          <w:b/>
          <w:sz w:val="28"/>
          <w:szCs w:val="28"/>
        </w:rPr>
      </w:pPr>
      <w:r>
        <w:rPr>
          <w:rFonts w:hint="eastAsia" w:ascii="楷体" w:hAnsi="楷体" w:eastAsia="楷体" w:cs="楷体"/>
          <w:b/>
          <w:sz w:val="28"/>
          <w:szCs w:val="28"/>
        </w:rPr>
        <w:t>问题一：请公司介绍一下2023年上半年业绩情况及对未来的展望？</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2023年上半年，公司坚持稳中求进发展总基调，聚焦主责主业，扎实推进转型升级，公司实现营业收入16.51亿元，同比增长23.15%，实现归属于上市公司股东的扣除非经常性损益的净利润3.29亿元，同比增长14.47%。一方面，公司紧跟汽车行业发展新趋势，深挖客户需求，不断加强市场开拓力度；另一方面，公司聚焦安全、绿色、体验三大技术主线，围绕汽车电动化、智能化、网联化持续加大研发投入力度，不断打造公司技术服务核心竞争力，业务结构不断优化，汽车新能源及智能网联相关业务保持较快增长。</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面向未来，公司将围绕价值定位、凝练技术方向、聚焦标准规范、推进数字转型、升级装备产业，坚持“聚焦、创新、外延”的发展方式，不断布局完善区域总部属地化服务能力，做强测试评价业务，做精技术研发业务，做优装备制造业务，持续打造公司资本力、产品力和影响力。</w:t>
      </w:r>
    </w:p>
    <w:p>
      <w:pPr>
        <w:spacing w:before="240"/>
        <w:rPr>
          <w:rFonts w:hint="eastAsia" w:ascii="楷体" w:hAnsi="楷体" w:eastAsia="楷体" w:cs="楷体"/>
          <w:b/>
          <w:sz w:val="28"/>
          <w:szCs w:val="28"/>
        </w:rPr>
      </w:pPr>
      <w:r>
        <w:rPr>
          <w:rFonts w:hint="eastAsia" w:ascii="楷体" w:hAnsi="楷体" w:eastAsia="楷体" w:cs="楷体"/>
          <w:b/>
          <w:sz w:val="28"/>
          <w:szCs w:val="28"/>
        </w:rPr>
        <w:t>问题二：公司近几年来技术服务法规类业务和非法规类业务占比情况如何，未来行业发展趋势如何看待？</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中国汽研近年来技术服务业务收入逐年增长，其中非法规类业务占比稳步提升。过去几年，我国汽车法规类强检业务市场空间和格局总体相对稳定，未来伴随新能源汽车强制性标准逐步完善，以及汽车智能网联技术的成熟推广和应用，相关行业标准和强制性检测要求将陆续出台。中长期来看，汽车技术服务法规类检测业务市场规模有望逐步扩大。与此同时，在汽车产业和技术深刻变革的大背景下，伴随我国国产汽车自主品牌向上和新势力崛起，车企和零部件公司纷纷加大了研发投入力度，非法规类业务近几年呈现出较快增长势头。</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汽车非法规类技术服务业务涉及工程研发和检验检测项目众多，包含了如：汽车安全碰撞、风洞、振动噪声、环保排放、电磁兼容、整车场地试验等项目，且未来随着汽车电动化、智能化、网联化相关技术的发展，还会持续衍生出新的技术服务需求。但目前汽车非法规技术服务市场参与者众多且分散，有国家级检验检测机构、民营机构以及外资机构。未来，随着市场化进程不断加快，类似中国汽研这样的综合性服务机构的市场竞争优势将会进一步显现，市场集中度有望提升。</w:t>
      </w:r>
    </w:p>
    <w:p>
      <w:pPr>
        <w:spacing w:before="240"/>
        <w:rPr>
          <w:rFonts w:hint="eastAsia" w:ascii="楷体" w:hAnsi="楷体" w:eastAsia="楷体" w:cs="楷体"/>
          <w:b/>
          <w:sz w:val="28"/>
          <w:szCs w:val="28"/>
        </w:rPr>
      </w:pPr>
      <w:r>
        <w:rPr>
          <w:rFonts w:hint="eastAsia" w:ascii="楷体" w:hAnsi="楷体" w:eastAsia="楷体" w:cs="楷体"/>
          <w:b/>
          <w:sz w:val="28"/>
          <w:szCs w:val="28"/>
        </w:rPr>
        <w:t>问题三：公司在汽车智能网联领域主要提供哪些产品和服务，未来有何规划？</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公司围绕汽车智能网联主要提供2大技术服务（智能汽车测试评价服务、智能汽车功能安全与预期功能安全技术服务）和3大解决方案（场景库与仿真系统综合解决方案、智能汽车测试装备解决方案、车联网整体解决方案）。</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公司在智能汽车测试评价方面，具有前瞻的测评方法研究和服务能力及行业认可的智能指数评价体系；在智能汽车数据仿真方面，以标准典型场景库和交规库为核心，构建了行业领先的虚拟仿真测试评价平台；在车路协同方面，引领标准政策制定，开展核心软硬件自研，具备车联网综合应用场景落地能力；在智能汽车测试装备方面，自研了高保真特色目标物、平板驱动系统、组合惯导及高精度定位和评价软件系统。</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公司自2017年推出IVISTA中国智能汽车指数以来已制定并发布了19项IVISTA智能指数测评规程，获得了35项核心发明专利，出版了3本《中国汽车综合测评技术研究报告》，形成了一系列核心自主知识产权。2022年公司制定了行业首个L2+导航智能驾驶测评规程，发布了全球首批L2+智能汽车测评结果；持续开展中国道路交通数据研究，不断丰富完善具备中国特色的智能网联汽车虚拟测评场景库；自主研发的柔性目标物及系列化驱动平板等智能汽车核心测试装备打破了国外垄断，为中国方案的智能汽车产业化发展提供了有力支撑。</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未来公司在汽车智能网联领域将持续打造“以安全为先”的中国智能汽车测评体系标杆，以“引领行业发展、助力技术升级、服务消费者买车用车、为全球汽车智能安全提供中国方案”为使命，为开创更安全、更舒适、更便捷的智慧出行新时代贡献更多力量。</w:t>
      </w:r>
    </w:p>
    <w:p>
      <w:pPr>
        <w:spacing w:before="240"/>
        <w:rPr>
          <w:rFonts w:hint="eastAsia" w:ascii="楷体" w:hAnsi="楷体" w:eastAsia="楷体" w:cs="楷体"/>
          <w:b/>
          <w:sz w:val="28"/>
          <w:szCs w:val="28"/>
        </w:rPr>
      </w:pPr>
      <w:r>
        <w:rPr>
          <w:rFonts w:hint="eastAsia" w:ascii="楷体" w:hAnsi="楷体" w:eastAsia="楷体" w:cs="楷体"/>
          <w:b/>
          <w:sz w:val="28"/>
          <w:szCs w:val="28"/>
        </w:rPr>
        <w:t>问题四：公司围绕氢能相关领域有哪些业务布局？</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2019年7月，国家市场监督管理总局批准中国汽研成立首家国家氢能动力质量监督检验中心。2023年1月，公司国家氢能动力质量检验检测中心正式揭牌成立。氢能质检中心项目一期已完成投资3.58亿元，占地约190亩，建成电机电池实验室、燃料电池及辅件实验室、动力总成实验室、氢能整车实验室等四大实验室。氢能质检中心将基于安全、绿色、体验三大技术路线，围绕标准制定、检验检测、装备及部件研发等技术服务方向着力打造成为氢能领域的综合性服务平台，提供包括燃料电池电堆及关键辅件、储氢系统、氢能动力系统、燃料电池整车等领域的技术咨询及检验检测服务。</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在氢能部件业务方向，公司推出了自主研发生产的氢燃料电池汽车系统零部件产品。其中氢气循环泵、氢减压器在高耐久性、高安全性等方面已通过多项测试验证，实现了技术指标突破和国产化替代，相关产品已在多家企业氢燃料电池系统与整车上得到成功应用。下一步，公司将继续深入探索氢能车载储运领域相关技术发展，逐步建立起完整的氢能设计、制造、试验验证开发体系。</w:t>
      </w:r>
    </w:p>
    <w:p>
      <w:pPr>
        <w:spacing w:before="240"/>
        <w:rPr>
          <w:rFonts w:hint="eastAsia" w:ascii="楷体" w:hAnsi="楷体" w:eastAsia="楷体" w:cs="楷体"/>
          <w:b/>
          <w:sz w:val="28"/>
          <w:szCs w:val="28"/>
        </w:rPr>
      </w:pPr>
      <w:r>
        <w:rPr>
          <w:rFonts w:hint="eastAsia" w:ascii="楷体" w:hAnsi="楷体" w:eastAsia="楷体" w:cs="楷体"/>
          <w:b/>
          <w:sz w:val="28"/>
          <w:szCs w:val="28"/>
        </w:rPr>
        <w:t>问题五：请问公司目前华东总部基地项目建设进展情况如何？</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中国汽研华东总部基地项目计划总投资23.82亿元，按照“一总部”（华东总部）+“二基地（苏州基地、常熟基地）”开展建设，其中苏州基地拟投资23.49亿元，常熟基地拟投资0.33亿元。苏州基地项目位于苏州市高新区，规划用地面积122.38亩，建筑面积18.9万平方米；常熟基地位于常熟高新区，建筑面积9213平方米。项目已于2022年9月开工建设，目前常熟基地已完成建设并开始试运营；苏州基地当前处于土建基础施工阶段，</w:t>
      </w:r>
      <w:r>
        <w:rPr>
          <w:rFonts w:hint="eastAsia" w:ascii="楷体" w:hAnsi="楷体" w:eastAsia="楷体" w:cs="楷体"/>
          <w:sz w:val="28"/>
          <w:szCs w:val="28"/>
          <w:lang w:val="en-US" w:eastAsia="zh-CN"/>
        </w:rPr>
        <w:t>预计</w:t>
      </w:r>
      <w:r>
        <w:rPr>
          <w:rFonts w:hint="eastAsia" w:ascii="楷体" w:hAnsi="楷体" w:eastAsia="楷体" w:cs="楷体"/>
          <w:sz w:val="28"/>
          <w:szCs w:val="28"/>
        </w:rPr>
        <w:t>2024年</w:t>
      </w:r>
      <w:r>
        <w:rPr>
          <w:rFonts w:hint="eastAsia" w:ascii="楷体" w:hAnsi="楷体" w:eastAsia="楷体" w:cs="楷体"/>
          <w:sz w:val="28"/>
          <w:szCs w:val="28"/>
          <w:lang w:val="en-US" w:eastAsia="zh-CN"/>
        </w:rPr>
        <w:t>起陆续</w:t>
      </w:r>
      <w:r>
        <w:rPr>
          <w:rFonts w:hint="eastAsia" w:ascii="楷体" w:hAnsi="楷体" w:eastAsia="楷体" w:cs="楷体"/>
          <w:sz w:val="28"/>
          <w:szCs w:val="28"/>
          <w:highlight w:val="none"/>
          <w:lang w:val="en-US" w:eastAsia="zh-CN"/>
        </w:rPr>
        <w:t>投入试运营</w:t>
      </w:r>
      <w:r>
        <w:rPr>
          <w:rFonts w:hint="eastAsia" w:ascii="楷体" w:hAnsi="楷体" w:eastAsia="楷体" w:cs="楷体"/>
          <w:sz w:val="28"/>
          <w:szCs w:val="28"/>
        </w:rPr>
        <w:t>，2025年底全面</w:t>
      </w:r>
      <w:r>
        <w:rPr>
          <w:rFonts w:hint="eastAsia" w:ascii="楷体" w:hAnsi="楷体" w:eastAsia="楷体" w:cs="楷体"/>
          <w:sz w:val="28"/>
          <w:szCs w:val="28"/>
          <w:lang w:val="en-US" w:eastAsia="zh-CN"/>
        </w:rPr>
        <w:t>建成</w:t>
      </w:r>
      <w:r>
        <w:rPr>
          <w:rFonts w:hint="eastAsia" w:ascii="楷体" w:hAnsi="楷体" w:eastAsia="楷体" w:cs="楷体"/>
          <w:sz w:val="28"/>
          <w:szCs w:val="28"/>
        </w:rPr>
        <w:t>投产使用。</w:t>
      </w:r>
    </w:p>
    <w:p>
      <w:pPr>
        <w:spacing w:line="360" w:lineRule="auto"/>
        <w:ind w:firstLine="565" w:firstLineChars="202"/>
        <w:rPr>
          <w:rFonts w:hint="eastAsia" w:ascii="楷体" w:hAnsi="楷体" w:eastAsia="楷体" w:cs="楷体"/>
          <w:sz w:val="28"/>
          <w:szCs w:val="28"/>
        </w:rPr>
      </w:pPr>
      <w:r>
        <w:rPr>
          <w:rFonts w:hint="eastAsia" w:ascii="楷体" w:hAnsi="楷体" w:eastAsia="楷体" w:cs="楷体"/>
          <w:sz w:val="28"/>
          <w:szCs w:val="28"/>
        </w:rPr>
        <w:t>华东总部基地项目将围绕新能源汽车测试、智能网联汽车测试、电子通信与软件测试及特色零部件与材料测试建设“四大研发中心”，建成后将提升公司在智能化、网联化、电动化、低碳化的特色服务能力，为华东地区企业提供属地化一站式服务，开展标准规范制订、行业共性技术研究以及第三方测试研发服务，成为华东地区智能网联新能源汽车产业发展和共性技术推广的公共服务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3NzY5ZGJhNzMxYTJkYmE5NzJkYjViZDVhY2EyOWQifQ=="/>
  </w:docVars>
  <w:rsids>
    <w:rsidRoot w:val="00EF02C2"/>
    <w:rsid w:val="00001EAB"/>
    <w:rsid w:val="0001359D"/>
    <w:rsid w:val="00033EA1"/>
    <w:rsid w:val="000360BB"/>
    <w:rsid w:val="00046B55"/>
    <w:rsid w:val="00053942"/>
    <w:rsid w:val="00085502"/>
    <w:rsid w:val="00097C32"/>
    <w:rsid w:val="000B2D75"/>
    <w:rsid w:val="000D4640"/>
    <w:rsid w:val="001061A6"/>
    <w:rsid w:val="00114231"/>
    <w:rsid w:val="001357A1"/>
    <w:rsid w:val="00152BCB"/>
    <w:rsid w:val="001549C9"/>
    <w:rsid w:val="001B2E77"/>
    <w:rsid w:val="001E079C"/>
    <w:rsid w:val="001E38C6"/>
    <w:rsid w:val="00220183"/>
    <w:rsid w:val="00292E7F"/>
    <w:rsid w:val="002A3827"/>
    <w:rsid w:val="002D03FC"/>
    <w:rsid w:val="002D0DAD"/>
    <w:rsid w:val="002D0F57"/>
    <w:rsid w:val="002F1AA7"/>
    <w:rsid w:val="003151E9"/>
    <w:rsid w:val="00343024"/>
    <w:rsid w:val="00345A45"/>
    <w:rsid w:val="00371B2D"/>
    <w:rsid w:val="00391E2D"/>
    <w:rsid w:val="003A304D"/>
    <w:rsid w:val="003B0F32"/>
    <w:rsid w:val="003B6356"/>
    <w:rsid w:val="003D65D5"/>
    <w:rsid w:val="003F14EE"/>
    <w:rsid w:val="004153C1"/>
    <w:rsid w:val="00435CAA"/>
    <w:rsid w:val="00452368"/>
    <w:rsid w:val="004531E6"/>
    <w:rsid w:val="00476677"/>
    <w:rsid w:val="00494A87"/>
    <w:rsid w:val="004E0315"/>
    <w:rsid w:val="004E2EDD"/>
    <w:rsid w:val="00563F46"/>
    <w:rsid w:val="00565244"/>
    <w:rsid w:val="0059495F"/>
    <w:rsid w:val="005A4D07"/>
    <w:rsid w:val="005D6567"/>
    <w:rsid w:val="00620A31"/>
    <w:rsid w:val="00627891"/>
    <w:rsid w:val="006330BD"/>
    <w:rsid w:val="00642794"/>
    <w:rsid w:val="0065098D"/>
    <w:rsid w:val="00665E1E"/>
    <w:rsid w:val="006B4F71"/>
    <w:rsid w:val="006B5661"/>
    <w:rsid w:val="006E47BB"/>
    <w:rsid w:val="006F0013"/>
    <w:rsid w:val="006F28C6"/>
    <w:rsid w:val="0071290D"/>
    <w:rsid w:val="007147F2"/>
    <w:rsid w:val="00722657"/>
    <w:rsid w:val="00722CAE"/>
    <w:rsid w:val="0072438C"/>
    <w:rsid w:val="007267D0"/>
    <w:rsid w:val="0072681D"/>
    <w:rsid w:val="00740353"/>
    <w:rsid w:val="007730EC"/>
    <w:rsid w:val="007761AB"/>
    <w:rsid w:val="00781747"/>
    <w:rsid w:val="00785C90"/>
    <w:rsid w:val="00792D80"/>
    <w:rsid w:val="00793F9A"/>
    <w:rsid w:val="007A09BE"/>
    <w:rsid w:val="007A234A"/>
    <w:rsid w:val="007E6369"/>
    <w:rsid w:val="007F24B0"/>
    <w:rsid w:val="007F381B"/>
    <w:rsid w:val="007F46D2"/>
    <w:rsid w:val="00810BDF"/>
    <w:rsid w:val="00811E64"/>
    <w:rsid w:val="00831566"/>
    <w:rsid w:val="00840253"/>
    <w:rsid w:val="008A74CD"/>
    <w:rsid w:val="008E08A9"/>
    <w:rsid w:val="00904E34"/>
    <w:rsid w:val="00920F81"/>
    <w:rsid w:val="00921868"/>
    <w:rsid w:val="00936DB0"/>
    <w:rsid w:val="009424B0"/>
    <w:rsid w:val="00981377"/>
    <w:rsid w:val="009A1D14"/>
    <w:rsid w:val="009D2538"/>
    <w:rsid w:val="00A40C8B"/>
    <w:rsid w:val="00A418E0"/>
    <w:rsid w:val="00A47BAF"/>
    <w:rsid w:val="00A56D3D"/>
    <w:rsid w:val="00A93FCD"/>
    <w:rsid w:val="00AB3DDB"/>
    <w:rsid w:val="00AD4A2E"/>
    <w:rsid w:val="00AD7EF1"/>
    <w:rsid w:val="00AE4E5E"/>
    <w:rsid w:val="00AF04BD"/>
    <w:rsid w:val="00B072D1"/>
    <w:rsid w:val="00B26C1C"/>
    <w:rsid w:val="00B41DC4"/>
    <w:rsid w:val="00B77C86"/>
    <w:rsid w:val="00BB32BB"/>
    <w:rsid w:val="00BD6D29"/>
    <w:rsid w:val="00BE3A31"/>
    <w:rsid w:val="00C06F3D"/>
    <w:rsid w:val="00C14A17"/>
    <w:rsid w:val="00C2015A"/>
    <w:rsid w:val="00C42F37"/>
    <w:rsid w:val="00C53FA9"/>
    <w:rsid w:val="00C614A7"/>
    <w:rsid w:val="00C64F91"/>
    <w:rsid w:val="00C86A84"/>
    <w:rsid w:val="00C92BEE"/>
    <w:rsid w:val="00C960E9"/>
    <w:rsid w:val="00C96CC8"/>
    <w:rsid w:val="00CA4714"/>
    <w:rsid w:val="00CD33CF"/>
    <w:rsid w:val="00CF0E46"/>
    <w:rsid w:val="00D03062"/>
    <w:rsid w:val="00D27C14"/>
    <w:rsid w:val="00D34391"/>
    <w:rsid w:val="00D35521"/>
    <w:rsid w:val="00D3703F"/>
    <w:rsid w:val="00D670F4"/>
    <w:rsid w:val="00D71D1D"/>
    <w:rsid w:val="00D72AB0"/>
    <w:rsid w:val="00D822F3"/>
    <w:rsid w:val="00D84632"/>
    <w:rsid w:val="00D8570A"/>
    <w:rsid w:val="00DD1A30"/>
    <w:rsid w:val="00E226B2"/>
    <w:rsid w:val="00E23549"/>
    <w:rsid w:val="00E34E3F"/>
    <w:rsid w:val="00E66C86"/>
    <w:rsid w:val="00E7327F"/>
    <w:rsid w:val="00E822FE"/>
    <w:rsid w:val="00E90884"/>
    <w:rsid w:val="00E95EA0"/>
    <w:rsid w:val="00EA22C5"/>
    <w:rsid w:val="00EA60E0"/>
    <w:rsid w:val="00ED0A20"/>
    <w:rsid w:val="00ED2E45"/>
    <w:rsid w:val="00EE75DB"/>
    <w:rsid w:val="00EF02C2"/>
    <w:rsid w:val="00F1247C"/>
    <w:rsid w:val="00F165DF"/>
    <w:rsid w:val="00F35EB5"/>
    <w:rsid w:val="00F3795C"/>
    <w:rsid w:val="00F400C9"/>
    <w:rsid w:val="00F46D15"/>
    <w:rsid w:val="00F52663"/>
    <w:rsid w:val="00F664AA"/>
    <w:rsid w:val="00F75A9C"/>
    <w:rsid w:val="00F9708E"/>
    <w:rsid w:val="00F97FDC"/>
    <w:rsid w:val="00FB2F0F"/>
    <w:rsid w:val="00FB7AF7"/>
    <w:rsid w:val="00FC2B4F"/>
    <w:rsid w:val="00FC65E1"/>
    <w:rsid w:val="00FD13C3"/>
    <w:rsid w:val="00FD159E"/>
    <w:rsid w:val="00FD5BF8"/>
    <w:rsid w:val="00FE5032"/>
    <w:rsid w:val="00FF2ADA"/>
    <w:rsid w:val="011A24F4"/>
    <w:rsid w:val="01921AA3"/>
    <w:rsid w:val="023F66B6"/>
    <w:rsid w:val="06D2424F"/>
    <w:rsid w:val="0889068B"/>
    <w:rsid w:val="08C74A56"/>
    <w:rsid w:val="126F0F59"/>
    <w:rsid w:val="137B5074"/>
    <w:rsid w:val="15410CDB"/>
    <w:rsid w:val="16640041"/>
    <w:rsid w:val="19FE255B"/>
    <w:rsid w:val="1BCD48DA"/>
    <w:rsid w:val="1C67349B"/>
    <w:rsid w:val="237E4DC7"/>
    <w:rsid w:val="23A008F6"/>
    <w:rsid w:val="24174945"/>
    <w:rsid w:val="26377520"/>
    <w:rsid w:val="271433BD"/>
    <w:rsid w:val="27765E26"/>
    <w:rsid w:val="2814275A"/>
    <w:rsid w:val="2BA6728D"/>
    <w:rsid w:val="2C161986"/>
    <w:rsid w:val="2C46226B"/>
    <w:rsid w:val="2C820DC9"/>
    <w:rsid w:val="2CF47F19"/>
    <w:rsid w:val="2D022628"/>
    <w:rsid w:val="30E127D5"/>
    <w:rsid w:val="31FE750F"/>
    <w:rsid w:val="338717F4"/>
    <w:rsid w:val="373331A0"/>
    <w:rsid w:val="3825731A"/>
    <w:rsid w:val="38BE0F8E"/>
    <w:rsid w:val="38FB7E1E"/>
    <w:rsid w:val="3970255D"/>
    <w:rsid w:val="3B043A1D"/>
    <w:rsid w:val="3BB0325D"/>
    <w:rsid w:val="3D9964E7"/>
    <w:rsid w:val="3D9F7A2D"/>
    <w:rsid w:val="41055DF9"/>
    <w:rsid w:val="421F5A03"/>
    <w:rsid w:val="464714CA"/>
    <w:rsid w:val="4E177D2B"/>
    <w:rsid w:val="4FD139BA"/>
    <w:rsid w:val="50CD4459"/>
    <w:rsid w:val="51DB1DDB"/>
    <w:rsid w:val="537E1A3B"/>
    <w:rsid w:val="54EF499E"/>
    <w:rsid w:val="550D3076"/>
    <w:rsid w:val="55AC3111"/>
    <w:rsid w:val="56A30136"/>
    <w:rsid w:val="58345320"/>
    <w:rsid w:val="58704048"/>
    <w:rsid w:val="5A831ACB"/>
    <w:rsid w:val="5B7D2A04"/>
    <w:rsid w:val="605240EC"/>
    <w:rsid w:val="628F156F"/>
    <w:rsid w:val="62944DD7"/>
    <w:rsid w:val="645D4130"/>
    <w:rsid w:val="646A2293"/>
    <w:rsid w:val="66252916"/>
    <w:rsid w:val="66DE4177"/>
    <w:rsid w:val="686E384F"/>
    <w:rsid w:val="68CD4B9F"/>
    <w:rsid w:val="69BD4C13"/>
    <w:rsid w:val="6AB72338"/>
    <w:rsid w:val="6AC83870"/>
    <w:rsid w:val="6AE34B4E"/>
    <w:rsid w:val="6C5C6966"/>
    <w:rsid w:val="6DBB255C"/>
    <w:rsid w:val="6E7A7577"/>
    <w:rsid w:val="6EDF73DA"/>
    <w:rsid w:val="6EF235B1"/>
    <w:rsid w:val="70447E3C"/>
    <w:rsid w:val="718D136F"/>
    <w:rsid w:val="719637E6"/>
    <w:rsid w:val="7350131E"/>
    <w:rsid w:val="75EF5E03"/>
    <w:rsid w:val="76047189"/>
    <w:rsid w:val="7A252A8D"/>
    <w:rsid w:val="7A8F6FEF"/>
    <w:rsid w:val="7BE527D1"/>
    <w:rsid w:val="7D5471E5"/>
    <w:rsid w:val="7DD32800"/>
    <w:rsid w:val="7DD81BC4"/>
    <w:rsid w:val="7ED76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C308-1D98-47EC-A86E-2F3BD6D85A8E}">
  <ds:schemaRefs/>
</ds:datastoreItem>
</file>

<file path=docProps/app.xml><?xml version="1.0" encoding="utf-8"?>
<Properties xmlns="http://schemas.openxmlformats.org/officeDocument/2006/extended-properties" xmlns:vt="http://schemas.openxmlformats.org/officeDocument/2006/docPropsVTypes">
  <Template>Normal.dotm</Template>
  <Company>中国汽车工程研究院股份有限公司</Company>
  <Pages>5</Pages>
  <Words>421</Words>
  <Characters>2403</Characters>
  <Lines>20</Lines>
  <Paragraphs>5</Paragraphs>
  <TotalTime>42</TotalTime>
  <ScaleCrop>false</ScaleCrop>
  <LinksUpToDate>false</LinksUpToDate>
  <CharactersWithSpaces>2819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2021-10-22T03:02:00Z</dcterms:created>
  <dc:creator>Caeri</dc:creator>
  <cp:lastModifiedBy>大白菜</cp:lastModifiedBy>
  <dcterms:modified xsi:type="dcterms:W3CDTF">2023-09-28T07:41:22Z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3E7A5491FE2848BE99BDBD8A01E61E5B_13</vt:lpwstr>
  </property>
</Properties>
</file>