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hint="eastAsia" w:ascii="楷体" w:hAnsi="楷体" w:eastAsia="楷体" w:cs="楷体"/>
          <w:b/>
          <w:bCs/>
          <w:kern w:val="0"/>
          <w:sz w:val="36"/>
          <w:szCs w:val="28"/>
          <w:lang w:bidi="ar"/>
        </w:rPr>
      </w:pPr>
      <w:r>
        <w:rPr>
          <w:rFonts w:hint="eastAsia" w:ascii="楷体" w:hAnsi="楷体" w:eastAsia="楷体" w:cs="楷体"/>
          <w:b/>
          <w:bCs/>
          <w:kern w:val="0"/>
          <w:sz w:val="36"/>
          <w:szCs w:val="28"/>
          <w:lang w:bidi="ar"/>
        </w:rPr>
        <w:t>中国汽研（601965）机构调研纪要（2023年9月）</w:t>
      </w:r>
    </w:p>
    <w:tbl>
      <w:tblPr>
        <w:tblStyle w:val="7"/>
        <w:tblW w:w="8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310"/>
        <w:gridCol w:w="5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gridSpan w:val="2"/>
            <w:shd w:val="clear" w:color="auto" w:fill="D8D8D8" w:themeFill="background1" w:themeFillShade="D9"/>
            <w:vAlign w:val="center"/>
          </w:tcPr>
          <w:p>
            <w:pPr>
              <w:widowControl/>
              <w:jc w:val="center"/>
              <w:rPr>
                <w:rFonts w:hint="eastAsia" w:ascii="楷体" w:hAnsi="楷体" w:eastAsia="楷体" w:cs="楷体"/>
                <w:b/>
                <w:kern w:val="0"/>
                <w:sz w:val="21"/>
                <w:szCs w:val="21"/>
                <w:lang w:val="en-US" w:eastAsia="zh-CN" w:bidi="ar"/>
              </w:rPr>
            </w:pPr>
            <w:r>
              <w:rPr>
                <w:rFonts w:hint="eastAsia" w:ascii="楷体" w:hAnsi="楷体" w:eastAsia="楷体" w:cs="楷体"/>
                <w:b/>
                <w:kern w:val="0"/>
                <w:sz w:val="21"/>
                <w:szCs w:val="21"/>
                <w:lang w:val="en-US" w:eastAsia="zh-CN" w:bidi="ar"/>
              </w:rPr>
              <w:t>基本信息</w:t>
            </w:r>
          </w:p>
        </w:tc>
        <w:tc>
          <w:tcPr>
            <w:tcW w:w="5144" w:type="dxa"/>
            <w:shd w:val="clear" w:color="auto" w:fill="D8D8D8" w:themeFill="background1" w:themeFillShade="D9"/>
            <w:vAlign w:val="center"/>
          </w:tcPr>
          <w:p>
            <w:pPr>
              <w:widowControl/>
              <w:jc w:val="center"/>
              <w:rPr>
                <w:rFonts w:hint="eastAsia" w:ascii="楷体" w:hAnsi="楷体" w:eastAsia="楷体" w:cs="楷体"/>
                <w:b/>
                <w:kern w:val="0"/>
                <w:sz w:val="21"/>
                <w:szCs w:val="21"/>
                <w:lang w:val="en-US" w:eastAsia="zh-CN" w:bidi="ar"/>
              </w:rPr>
            </w:pPr>
            <w:r>
              <w:rPr>
                <w:rFonts w:hint="eastAsia" w:ascii="楷体" w:hAnsi="楷体" w:eastAsia="楷体" w:cs="楷体"/>
                <w:b/>
                <w:kern w:val="0"/>
                <w:sz w:val="21"/>
                <w:szCs w:val="21"/>
                <w:lang w:bidi="ar"/>
              </w:rPr>
              <w:t>交流机构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92" w:type="dxa"/>
            <w:vAlign w:val="center"/>
          </w:tcPr>
          <w:p>
            <w:pPr>
              <w:widowControl/>
              <w:spacing w:line="400" w:lineRule="exact"/>
              <w:jc w:val="center"/>
              <w:rPr>
                <w:rFonts w:hint="eastAsia" w:ascii="楷体" w:hAnsi="楷体" w:eastAsia="楷体" w:cs="楷体"/>
                <w:b/>
                <w:bCs w:val="0"/>
                <w:kern w:val="0"/>
                <w:sz w:val="21"/>
                <w:szCs w:val="21"/>
                <w:lang w:bidi="ar"/>
              </w:rPr>
            </w:pPr>
            <w:r>
              <w:rPr>
                <w:rFonts w:hint="eastAsia" w:ascii="楷体" w:hAnsi="楷体" w:eastAsia="楷体" w:cs="楷体"/>
                <w:b/>
                <w:bCs w:val="0"/>
                <w:kern w:val="0"/>
                <w:sz w:val="21"/>
                <w:szCs w:val="21"/>
                <w:lang w:bidi="ar"/>
              </w:rPr>
              <w:t>日期</w:t>
            </w:r>
          </w:p>
        </w:tc>
        <w:tc>
          <w:tcPr>
            <w:tcW w:w="2310" w:type="dxa"/>
            <w:vAlign w:val="center"/>
          </w:tcPr>
          <w:p>
            <w:pPr>
              <w:widowControl/>
              <w:spacing w:line="400" w:lineRule="exact"/>
              <w:jc w:val="center"/>
              <w:rPr>
                <w:rFonts w:hint="eastAsia" w:ascii="楷体" w:hAnsi="楷体" w:eastAsia="楷体" w:cs="楷体"/>
                <w:b w:val="0"/>
                <w:bCs/>
                <w:kern w:val="0"/>
                <w:sz w:val="21"/>
                <w:szCs w:val="21"/>
                <w:lang w:bidi="ar"/>
              </w:rPr>
            </w:pPr>
            <w:r>
              <w:rPr>
                <w:rFonts w:hint="eastAsia" w:ascii="楷体" w:hAnsi="楷体" w:eastAsia="楷体" w:cs="楷体"/>
                <w:kern w:val="0"/>
                <w:sz w:val="18"/>
                <w:szCs w:val="18"/>
                <w:lang w:bidi="ar"/>
              </w:rPr>
              <w:t>2023年9月</w:t>
            </w:r>
          </w:p>
        </w:tc>
        <w:tc>
          <w:tcPr>
            <w:tcW w:w="5144" w:type="dxa"/>
            <w:vMerge w:val="restart"/>
            <w:vAlign w:val="center"/>
          </w:tcPr>
          <w:p>
            <w:pPr>
              <w:widowControl/>
              <w:spacing w:line="400" w:lineRule="exact"/>
              <w:jc w:val="left"/>
              <w:rPr>
                <w:rFonts w:hint="eastAsia" w:ascii="楷体" w:hAnsi="楷体" w:eastAsia="楷体" w:cs="楷体"/>
                <w:kern w:val="0"/>
                <w:sz w:val="18"/>
                <w:szCs w:val="18"/>
                <w:lang w:val="en-US" w:eastAsia="zh-CN" w:bidi="ar"/>
              </w:rPr>
            </w:pPr>
            <w:r>
              <w:rPr>
                <w:rFonts w:hint="eastAsia" w:ascii="楷体" w:hAnsi="楷体" w:eastAsia="楷体" w:cs="楷体"/>
                <w:kern w:val="0"/>
                <w:sz w:val="18"/>
                <w:szCs w:val="18"/>
                <w:lang w:bidi="ar"/>
              </w:rPr>
              <w:t>广发证券、中泰证券、招商证券、东吴证券、中金公司、长江证券、中信建投、西南证券、民生证券、方正证券、国联证券、兴业证券、浙商证券、国海证券、大家资产、华夏基金、华泰柏瑞、富国基金、农银汇理、大成基金、兴业基金、合远基金、兆天投资、招商基金、东方基金、国联基金、高毅资产、源峰基金、博时基金、建信信托、宁银理财、长江资管、华安基金、华商基金、中金资管、西南</w:t>
            </w:r>
            <w:r>
              <w:rPr>
                <w:rFonts w:hint="eastAsia" w:ascii="楷体" w:hAnsi="楷体" w:eastAsia="楷体" w:cs="楷体"/>
                <w:kern w:val="0"/>
                <w:sz w:val="18"/>
                <w:szCs w:val="18"/>
                <w:lang w:val="en-US" w:eastAsia="zh-CN" w:bidi="ar"/>
              </w:rPr>
              <w:t>资管、</w:t>
            </w:r>
            <w:r>
              <w:rPr>
                <w:rFonts w:hint="eastAsia" w:ascii="楷体" w:hAnsi="楷体" w:eastAsia="楷体" w:cs="楷体"/>
                <w:kern w:val="0"/>
                <w:sz w:val="18"/>
                <w:szCs w:val="18"/>
                <w:lang w:bidi="ar"/>
              </w:rPr>
              <w:t>合创友量、瑞银资管、申万自营、国海富兰克、人保养老、新华养老、杉树资产、金科投资、淡水泉、西部利得、江苏瑞华、长安基金、安本标准</w:t>
            </w:r>
            <w:r>
              <w:rPr>
                <w:rFonts w:hint="eastAsia" w:ascii="楷体" w:hAnsi="楷体" w:eastAsia="楷体" w:cs="楷体"/>
                <w:kern w:val="0"/>
                <w:sz w:val="18"/>
                <w:szCs w:val="18"/>
                <w:lang w:eastAsia="zh-CN" w:bidi="ar"/>
              </w:rPr>
              <w:t>、冠达菁华、华能贵诚、众安在线</w:t>
            </w:r>
            <w:r>
              <w:rPr>
                <w:rFonts w:hint="eastAsia" w:ascii="楷体" w:hAnsi="楷体" w:eastAsia="楷体" w:cs="楷体"/>
                <w:kern w:val="0"/>
                <w:sz w:val="18"/>
                <w:szCs w:val="18"/>
                <w:lang w:bidi="ar"/>
              </w:rPr>
              <w:t>等（排名不分先后）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92" w:type="dxa"/>
            <w:vAlign w:val="center"/>
          </w:tcPr>
          <w:p>
            <w:pPr>
              <w:widowControl/>
              <w:spacing w:line="400" w:lineRule="exact"/>
              <w:jc w:val="center"/>
              <w:rPr>
                <w:rFonts w:hint="eastAsia" w:ascii="楷体" w:hAnsi="楷体" w:eastAsia="楷体" w:cs="楷体"/>
                <w:b/>
                <w:bCs w:val="0"/>
                <w:kern w:val="0"/>
                <w:sz w:val="18"/>
                <w:szCs w:val="18"/>
                <w:lang w:bidi="ar"/>
              </w:rPr>
            </w:pPr>
            <w:r>
              <w:rPr>
                <w:rFonts w:hint="eastAsia" w:ascii="楷体" w:hAnsi="楷体" w:eastAsia="楷体" w:cs="楷体"/>
                <w:b/>
                <w:bCs w:val="0"/>
                <w:kern w:val="0"/>
                <w:sz w:val="21"/>
                <w:szCs w:val="21"/>
                <w:lang w:bidi="ar"/>
              </w:rPr>
              <w:t>公司</w:t>
            </w:r>
            <w:r>
              <w:rPr>
                <w:rFonts w:hint="eastAsia" w:ascii="楷体" w:hAnsi="楷体" w:eastAsia="楷体" w:cs="楷体"/>
                <w:b/>
                <w:bCs w:val="0"/>
                <w:kern w:val="0"/>
                <w:sz w:val="21"/>
                <w:szCs w:val="21"/>
                <w:lang w:val="en-US" w:eastAsia="zh-CN" w:bidi="ar"/>
              </w:rPr>
              <w:t>交流</w:t>
            </w:r>
            <w:r>
              <w:rPr>
                <w:rFonts w:hint="eastAsia" w:ascii="楷体" w:hAnsi="楷体" w:eastAsia="楷体" w:cs="楷体"/>
                <w:b/>
                <w:bCs w:val="0"/>
                <w:kern w:val="0"/>
                <w:sz w:val="21"/>
                <w:szCs w:val="21"/>
                <w:lang w:bidi="ar"/>
              </w:rPr>
              <w:t>人员</w:t>
            </w:r>
          </w:p>
        </w:tc>
        <w:tc>
          <w:tcPr>
            <w:tcW w:w="2310" w:type="dxa"/>
            <w:vAlign w:val="center"/>
          </w:tcPr>
          <w:p>
            <w:pPr>
              <w:widowControl/>
              <w:spacing w:line="400" w:lineRule="exact"/>
              <w:jc w:val="center"/>
              <w:rPr>
                <w:rFonts w:hint="eastAsia" w:ascii="楷体" w:hAnsi="楷体" w:eastAsia="楷体" w:cs="楷体"/>
                <w:kern w:val="0"/>
                <w:sz w:val="18"/>
                <w:szCs w:val="18"/>
                <w:lang w:bidi="ar"/>
              </w:rPr>
            </w:pPr>
            <w:r>
              <w:rPr>
                <w:rFonts w:hint="eastAsia" w:ascii="楷体" w:hAnsi="楷体" w:eastAsia="楷体" w:cs="楷体"/>
                <w:kern w:val="0"/>
                <w:sz w:val="18"/>
                <w:szCs w:val="18"/>
                <w:lang w:bidi="ar"/>
              </w:rPr>
              <w:t>董事/总经理/董秘：刘安民</w:t>
            </w:r>
          </w:p>
          <w:p>
            <w:pPr>
              <w:widowControl/>
              <w:spacing w:line="400" w:lineRule="exact"/>
              <w:jc w:val="center"/>
              <w:rPr>
                <w:rFonts w:hint="eastAsia" w:ascii="楷体" w:hAnsi="楷体" w:eastAsia="楷体" w:cs="楷体"/>
                <w:kern w:val="0"/>
                <w:sz w:val="18"/>
                <w:szCs w:val="18"/>
                <w:lang w:bidi="ar"/>
              </w:rPr>
            </w:pPr>
            <w:r>
              <w:rPr>
                <w:rFonts w:hint="eastAsia" w:ascii="楷体" w:hAnsi="楷体" w:eastAsia="楷体" w:cs="楷体"/>
                <w:kern w:val="0"/>
                <w:sz w:val="18"/>
                <w:szCs w:val="18"/>
                <w:lang w:bidi="ar"/>
              </w:rPr>
              <w:t>总法律顾问/总监：抄佩佩</w:t>
            </w:r>
          </w:p>
          <w:p>
            <w:pPr>
              <w:widowControl/>
              <w:spacing w:line="400" w:lineRule="exact"/>
              <w:jc w:val="center"/>
              <w:rPr>
                <w:rFonts w:hint="eastAsia" w:ascii="楷体" w:hAnsi="楷体" w:eastAsia="楷体" w:cs="楷体"/>
                <w:kern w:val="0"/>
                <w:sz w:val="18"/>
                <w:szCs w:val="18"/>
                <w:lang w:val="en-US" w:eastAsia="zh-CN" w:bidi="ar"/>
              </w:rPr>
            </w:pPr>
            <w:r>
              <w:rPr>
                <w:rFonts w:hint="eastAsia" w:ascii="楷体" w:hAnsi="楷体" w:eastAsia="楷体" w:cs="楷体"/>
                <w:kern w:val="0"/>
                <w:sz w:val="18"/>
                <w:szCs w:val="18"/>
                <w:lang w:bidi="ar"/>
              </w:rPr>
              <w:t>证券事务代表：叶丰瑞</w:t>
            </w:r>
          </w:p>
        </w:tc>
        <w:tc>
          <w:tcPr>
            <w:tcW w:w="5144" w:type="dxa"/>
            <w:vMerge w:val="continue"/>
            <w:vAlign w:val="center"/>
          </w:tcPr>
          <w:p>
            <w:pPr>
              <w:widowControl/>
              <w:spacing w:line="400" w:lineRule="exact"/>
              <w:jc w:val="center"/>
              <w:rPr>
                <w:rFonts w:hint="eastAsia" w:ascii="楷体" w:hAnsi="楷体" w:eastAsia="楷体" w:cs="楷体"/>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92" w:type="dxa"/>
            <w:vAlign w:val="center"/>
          </w:tcPr>
          <w:p>
            <w:pPr>
              <w:widowControl/>
              <w:spacing w:line="400" w:lineRule="exact"/>
              <w:jc w:val="center"/>
              <w:rPr>
                <w:rFonts w:hint="eastAsia" w:ascii="楷体" w:hAnsi="楷体" w:eastAsia="楷体" w:cs="楷体"/>
                <w:b/>
                <w:bCs w:val="0"/>
                <w:kern w:val="0"/>
                <w:sz w:val="18"/>
                <w:szCs w:val="18"/>
                <w:lang w:bidi="ar"/>
              </w:rPr>
            </w:pPr>
            <w:r>
              <w:rPr>
                <w:rFonts w:hint="eastAsia" w:ascii="楷体" w:hAnsi="楷体" w:eastAsia="楷体" w:cs="楷体"/>
                <w:b/>
                <w:bCs w:val="0"/>
                <w:kern w:val="0"/>
                <w:sz w:val="21"/>
                <w:szCs w:val="21"/>
                <w:lang w:val="en-US" w:eastAsia="zh-CN" w:bidi="ar"/>
              </w:rPr>
              <w:t>交流地点</w:t>
            </w:r>
          </w:p>
        </w:tc>
        <w:tc>
          <w:tcPr>
            <w:tcW w:w="2310" w:type="dxa"/>
            <w:vAlign w:val="center"/>
          </w:tcPr>
          <w:p>
            <w:pPr>
              <w:widowControl/>
              <w:spacing w:line="400" w:lineRule="exact"/>
              <w:jc w:val="center"/>
              <w:rPr>
                <w:rFonts w:hint="eastAsia" w:ascii="楷体" w:hAnsi="楷体" w:eastAsia="楷体" w:cs="楷体"/>
                <w:kern w:val="0"/>
                <w:sz w:val="18"/>
                <w:szCs w:val="18"/>
                <w:lang w:bidi="ar"/>
              </w:rPr>
            </w:pPr>
            <w:r>
              <w:rPr>
                <w:rFonts w:hint="eastAsia" w:ascii="楷体" w:hAnsi="楷体" w:eastAsia="楷体" w:cs="楷体"/>
                <w:kern w:val="0"/>
                <w:sz w:val="18"/>
                <w:szCs w:val="18"/>
                <w:lang w:val="en-US" w:eastAsia="zh-CN" w:bidi="ar"/>
              </w:rPr>
              <w:t>中国汽研（重庆市北部新区金渝大道9号）</w:t>
            </w:r>
          </w:p>
        </w:tc>
        <w:tc>
          <w:tcPr>
            <w:tcW w:w="5144" w:type="dxa"/>
            <w:vMerge w:val="continue"/>
            <w:vAlign w:val="center"/>
          </w:tcPr>
          <w:p>
            <w:pPr>
              <w:widowControl/>
              <w:spacing w:line="400" w:lineRule="exact"/>
              <w:jc w:val="center"/>
              <w:rPr>
                <w:rFonts w:hint="eastAsia" w:ascii="楷体" w:hAnsi="楷体" w:eastAsia="楷体" w:cs="楷体"/>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92" w:type="dxa"/>
            <w:vAlign w:val="center"/>
          </w:tcPr>
          <w:p>
            <w:pPr>
              <w:widowControl/>
              <w:spacing w:line="400" w:lineRule="exact"/>
              <w:jc w:val="center"/>
              <w:rPr>
                <w:rFonts w:hint="eastAsia" w:ascii="楷体" w:hAnsi="楷体" w:eastAsia="楷体" w:cs="楷体"/>
                <w:b/>
                <w:bCs w:val="0"/>
                <w:kern w:val="0"/>
                <w:sz w:val="18"/>
                <w:szCs w:val="18"/>
                <w:lang w:bidi="ar"/>
              </w:rPr>
            </w:pPr>
            <w:r>
              <w:rPr>
                <w:rFonts w:hint="eastAsia" w:ascii="楷体" w:hAnsi="楷体" w:eastAsia="楷体" w:cs="楷体"/>
                <w:b/>
                <w:bCs w:val="0"/>
                <w:kern w:val="0"/>
                <w:sz w:val="21"/>
                <w:szCs w:val="21"/>
                <w:lang w:val="en-US" w:eastAsia="zh-CN" w:bidi="ar"/>
              </w:rPr>
              <w:t>交流方式</w:t>
            </w:r>
          </w:p>
        </w:tc>
        <w:tc>
          <w:tcPr>
            <w:tcW w:w="2310" w:type="dxa"/>
            <w:vAlign w:val="center"/>
          </w:tcPr>
          <w:p>
            <w:pPr>
              <w:widowControl/>
              <w:spacing w:line="400" w:lineRule="exact"/>
              <w:jc w:val="center"/>
              <w:rPr>
                <w:rFonts w:hint="eastAsia" w:ascii="楷体" w:hAnsi="楷体" w:eastAsia="楷体" w:cs="楷体"/>
                <w:kern w:val="0"/>
                <w:sz w:val="18"/>
                <w:szCs w:val="18"/>
                <w:lang w:bidi="ar"/>
              </w:rPr>
            </w:pPr>
            <w:bookmarkStart w:id="0" w:name="_GoBack"/>
            <w:bookmarkEnd w:id="0"/>
            <w:r>
              <w:rPr>
                <w:rFonts w:hint="eastAsia" w:ascii="楷体" w:hAnsi="楷体" w:eastAsia="楷体" w:cs="楷体"/>
                <w:kern w:val="0"/>
                <w:sz w:val="18"/>
                <w:szCs w:val="18"/>
                <w:lang w:val="en-US" w:eastAsia="zh-CN" w:bidi="ar"/>
              </w:rPr>
              <w:t>现场或线上</w:t>
            </w:r>
          </w:p>
        </w:tc>
        <w:tc>
          <w:tcPr>
            <w:tcW w:w="5144" w:type="dxa"/>
            <w:vMerge w:val="continue"/>
            <w:vAlign w:val="center"/>
          </w:tcPr>
          <w:p>
            <w:pPr>
              <w:widowControl/>
              <w:spacing w:line="400" w:lineRule="exact"/>
              <w:jc w:val="center"/>
              <w:rPr>
                <w:rFonts w:hint="eastAsia" w:ascii="楷体" w:hAnsi="楷体" w:eastAsia="楷体" w:cs="楷体"/>
                <w:kern w:val="0"/>
                <w:sz w:val="18"/>
                <w:szCs w:val="18"/>
                <w:lang w:val="en-US" w:eastAsia="zh-CN" w:bidi="ar"/>
              </w:rPr>
            </w:pPr>
          </w:p>
        </w:tc>
      </w:tr>
    </w:tbl>
    <w:p>
      <w:pPr>
        <w:spacing w:before="240"/>
        <w:rPr>
          <w:rFonts w:hint="eastAsia" w:ascii="楷体" w:hAnsi="楷体" w:eastAsia="楷体" w:cs="楷体"/>
          <w:b/>
          <w:sz w:val="28"/>
          <w:szCs w:val="28"/>
        </w:rPr>
      </w:pPr>
      <w:r>
        <w:rPr>
          <w:rFonts w:hint="eastAsia" w:ascii="楷体" w:hAnsi="楷体" w:eastAsia="楷体" w:cs="楷体"/>
          <w:b/>
          <w:sz w:val="28"/>
          <w:szCs w:val="28"/>
        </w:rPr>
        <w:t>问题一：请公司介绍一下2023年上半年业绩情况及对未来的展望？</w:t>
      </w:r>
    </w:p>
    <w:p>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2023年上半年，公司坚持稳中求进发展总基调，聚焦主责主业，扎实推进转型升级，公司实现营业收入16.51亿元，同比增长23.15%，实现归属于上市公司股东的扣除非经常性损益的净利润3.29亿元，同比增长14.47%。一方面，公司紧跟汽车行业发展新趋势，深挖客户需求，不断加强市场开拓力度；另一方面，公司聚焦安全、绿色、体验三大技术主线，围绕汽车电动化、智能化、网联化持续加大研发投入力度，不断打造公司技术服务核心竞争力，业务结构不断优化，汽车新能源及智能网联相关业务保持较快增长。</w:t>
      </w:r>
    </w:p>
    <w:p>
      <w:pPr>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面向未来，公司将围绕价值定位、凝练技术方向、聚焦标准规范、推进数字转型、升级装备产业，坚持“聚焦、创新、外延”的发展方式，不断布局完善区域总部属地化服务能力，做强测试评价业务，做精技术研发业务，做优装备制造业务，持续打造公司资本力、产品力和影响力。</w:t>
      </w:r>
    </w:p>
    <w:p>
      <w:pPr>
        <w:spacing w:before="240"/>
        <w:rPr>
          <w:rFonts w:hint="eastAsia" w:ascii="楷体" w:hAnsi="楷体" w:eastAsia="楷体" w:cs="楷体"/>
          <w:b/>
          <w:sz w:val="28"/>
          <w:szCs w:val="28"/>
        </w:rPr>
      </w:pPr>
      <w:r>
        <w:rPr>
          <w:rFonts w:hint="eastAsia" w:ascii="楷体" w:hAnsi="楷体" w:eastAsia="楷体" w:cs="楷体"/>
          <w:b/>
          <w:sz w:val="28"/>
          <w:szCs w:val="28"/>
        </w:rPr>
        <w:t>问题二：公司近几年来技术服务法规类业务和非法规类业务占比情况如何，未来行业发展趋势如何看待？</w:t>
      </w:r>
    </w:p>
    <w:p>
      <w:pPr>
        <w:spacing w:line="360" w:lineRule="auto"/>
        <w:ind w:firstLine="565" w:firstLineChars="202"/>
        <w:rPr>
          <w:rFonts w:hint="eastAsia" w:ascii="楷体" w:hAnsi="楷体" w:eastAsia="楷体" w:cs="楷体"/>
          <w:sz w:val="28"/>
          <w:szCs w:val="28"/>
        </w:rPr>
      </w:pPr>
      <w:r>
        <w:rPr>
          <w:rFonts w:hint="eastAsia" w:ascii="楷体" w:hAnsi="楷体" w:eastAsia="楷体" w:cs="楷体"/>
          <w:sz w:val="28"/>
          <w:szCs w:val="28"/>
        </w:rPr>
        <w:t>中国汽研近年来技术服务业务收入逐年增长，其中非法规类业务占比稳步提升。过去几年，我国汽车法规类强检业务市场空间和格局总体相对稳定，未来伴随新能源汽车强制性标准逐步完善，以及汽车智能网联技术的成熟推广和应用，相关行业标准和强制性检测要求将陆续出台。中长期来看，汽车技术服务法规类检测业务市场规模有望逐步扩大。与此同时，在汽车产业和技术深刻变革的大背景下，伴随我国国产汽车自主品牌向上和新势力崛起，车企和零部件公司纷纷加大了研发投入力度，非法规类业务近几年呈现出较快增长势头。</w:t>
      </w:r>
    </w:p>
    <w:p>
      <w:pPr>
        <w:spacing w:line="360" w:lineRule="auto"/>
        <w:ind w:firstLine="565" w:firstLineChars="202"/>
        <w:rPr>
          <w:rFonts w:hint="eastAsia" w:ascii="楷体" w:hAnsi="楷体" w:eastAsia="楷体" w:cs="楷体"/>
          <w:sz w:val="28"/>
          <w:szCs w:val="28"/>
        </w:rPr>
      </w:pPr>
      <w:r>
        <w:rPr>
          <w:rFonts w:hint="eastAsia" w:ascii="楷体" w:hAnsi="楷体" w:eastAsia="楷体" w:cs="楷体"/>
          <w:sz w:val="28"/>
          <w:szCs w:val="28"/>
        </w:rPr>
        <w:t>汽车非法规类技术服务业务涉及工程研发和检验检测项目众多，包含了如：汽车安全碰撞、风洞、振动噪声、环保排放、电磁兼容、整车场地试验等项目，且未来随着汽车电动化、智能化、网联化相关技术的发展，还会持续衍生出新的技术服务需求。但目前汽车非法规技术服务市场参与者众多且分散，有国家级检验检测机构、民营机构以及外资机构。未来，随着市场化进程不断加快，类似中国汽研这样的综合性服务机构的市场竞争优势将会进一步显现，市场集中度有望提升。</w:t>
      </w:r>
    </w:p>
    <w:p>
      <w:pPr>
        <w:spacing w:before="240"/>
        <w:rPr>
          <w:rFonts w:hint="eastAsia" w:ascii="楷体" w:hAnsi="楷体" w:eastAsia="楷体" w:cs="楷体"/>
          <w:b/>
          <w:sz w:val="28"/>
          <w:szCs w:val="28"/>
        </w:rPr>
      </w:pPr>
      <w:r>
        <w:rPr>
          <w:rFonts w:hint="eastAsia" w:ascii="楷体" w:hAnsi="楷体" w:eastAsia="楷体" w:cs="楷体"/>
          <w:b/>
          <w:sz w:val="28"/>
          <w:szCs w:val="28"/>
        </w:rPr>
        <w:t>问题三：公司在汽车智能网联领域主要提供哪些产品和服务，未来有何规划？</w:t>
      </w:r>
    </w:p>
    <w:p>
      <w:pPr>
        <w:spacing w:line="360" w:lineRule="auto"/>
        <w:ind w:firstLine="565" w:firstLineChars="202"/>
        <w:rPr>
          <w:rFonts w:hint="eastAsia" w:ascii="楷体" w:hAnsi="楷体" w:eastAsia="楷体" w:cs="楷体"/>
          <w:sz w:val="28"/>
          <w:szCs w:val="28"/>
        </w:rPr>
      </w:pPr>
      <w:r>
        <w:rPr>
          <w:rFonts w:hint="eastAsia" w:ascii="楷体" w:hAnsi="楷体" w:eastAsia="楷体" w:cs="楷体"/>
          <w:sz w:val="28"/>
          <w:szCs w:val="28"/>
        </w:rPr>
        <w:t>公司围绕汽车智能网联主要提供2大技术服务（智能汽车测试评价服务、智能汽车功能安全与预期功能安全技术服务）和3大解决方案（场景库与仿真系统综合解决方案、智能汽车测试装备解决方案、车联网整体解决方案）。</w:t>
      </w:r>
    </w:p>
    <w:p>
      <w:pPr>
        <w:spacing w:line="360" w:lineRule="auto"/>
        <w:ind w:firstLine="565" w:firstLineChars="202"/>
        <w:rPr>
          <w:rFonts w:hint="eastAsia" w:ascii="楷体" w:hAnsi="楷体" w:eastAsia="楷体" w:cs="楷体"/>
          <w:sz w:val="28"/>
          <w:szCs w:val="28"/>
        </w:rPr>
      </w:pPr>
      <w:r>
        <w:rPr>
          <w:rFonts w:hint="eastAsia" w:ascii="楷体" w:hAnsi="楷体" w:eastAsia="楷体" w:cs="楷体"/>
          <w:sz w:val="28"/>
          <w:szCs w:val="28"/>
        </w:rPr>
        <w:t>公司在智能汽车测试评价方面，具有前瞻的测评方法研究和服务能力及行业认可的智能指数评价体系；在智能汽车数据仿真方面，以标准典型场景库和交规库为核心，构建了行业领先的虚拟仿真测试评价平台；在车路协同方面，引领标准政策制定，开展核心软硬件自研，具备车联网综合应用场景落地能力；在智能汽车测试装备方面，自研了高保真特色目标物、平板驱动系统、组合惯导及高精度定位和评价软件系统。</w:t>
      </w:r>
    </w:p>
    <w:p>
      <w:pPr>
        <w:spacing w:line="360" w:lineRule="auto"/>
        <w:ind w:firstLine="565" w:firstLineChars="202"/>
        <w:rPr>
          <w:rFonts w:hint="eastAsia" w:ascii="楷体" w:hAnsi="楷体" w:eastAsia="楷体" w:cs="楷体"/>
          <w:sz w:val="28"/>
          <w:szCs w:val="28"/>
        </w:rPr>
      </w:pPr>
      <w:r>
        <w:rPr>
          <w:rFonts w:hint="eastAsia" w:ascii="楷体" w:hAnsi="楷体" w:eastAsia="楷体" w:cs="楷体"/>
          <w:sz w:val="28"/>
          <w:szCs w:val="28"/>
        </w:rPr>
        <w:t>公司自2017年推出IVISTA中国智能汽车指数以来已制定并发布了19项IVISTA智能指数测评规程，获得了35项核心发明专利，出版了3本《中国汽车综合测评技术研究报告》，形成了一系列核心自主知识产权。2022年公司制定了行业首个L2+导航智能驾驶测评规程，发布了全球首批L2+智能汽车测评结果；持续开展中国道路交通数据研究，不断丰富完善具备中国特色的智能网联汽车虚拟测评场景库；自主研发的柔性目标物及系列化驱动平板等智能汽车核心测试装备打破了国外垄断，为中国方案的智能汽车产业化发展提供了有力支撑。</w:t>
      </w:r>
    </w:p>
    <w:p>
      <w:pPr>
        <w:spacing w:line="360" w:lineRule="auto"/>
        <w:ind w:firstLine="565" w:firstLineChars="202"/>
        <w:rPr>
          <w:rFonts w:hint="eastAsia" w:ascii="楷体" w:hAnsi="楷体" w:eastAsia="楷体" w:cs="楷体"/>
          <w:sz w:val="28"/>
          <w:szCs w:val="28"/>
        </w:rPr>
      </w:pPr>
      <w:r>
        <w:rPr>
          <w:rFonts w:hint="eastAsia" w:ascii="楷体" w:hAnsi="楷体" w:eastAsia="楷体" w:cs="楷体"/>
          <w:sz w:val="28"/>
          <w:szCs w:val="28"/>
        </w:rPr>
        <w:t>未来公司在汽车智能网联领域将持续打造“以安全为先”的中国智能汽车测评体系标杆，以“引领行业发展、助力技术升级、服务消费者买车用车、为全球汽车智能安全提供中国方案”为使命，为开创更安全、更舒适、更便捷的智慧出行新时代贡献更多力量。</w:t>
      </w:r>
    </w:p>
    <w:p>
      <w:pPr>
        <w:spacing w:before="240"/>
        <w:rPr>
          <w:rFonts w:hint="eastAsia" w:ascii="楷体" w:hAnsi="楷体" w:eastAsia="楷体" w:cs="楷体"/>
          <w:b/>
          <w:sz w:val="28"/>
          <w:szCs w:val="28"/>
        </w:rPr>
      </w:pPr>
      <w:r>
        <w:rPr>
          <w:rFonts w:hint="eastAsia" w:ascii="楷体" w:hAnsi="楷体" w:eastAsia="楷体" w:cs="楷体"/>
          <w:b/>
          <w:sz w:val="28"/>
          <w:szCs w:val="28"/>
        </w:rPr>
        <w:t>问题四：公司围绕氢能相关领域有哪些业务布局？</w:t>
      </w:r>
    </w:p>
    <w:p>
      <w:pPr>
        <w:spacing w:line="360" w:lineRule="auto"/>
        <w:ind w:firstLine="565" w:firstLineChars="202"/>
        <w:rPr>
          <w:rFonts w:hint="eastAsia" w:ascii="楷体" w:hAnsi="楷体" w:eastAsia="楷体" w:cs="楷体"/>
          <w:sz w:val="28"/>
          <w:szCs w:val="28"/>
        </w:rPr>
      </w:pPr>
      <w:r>
        <w:rPr>
          <w:rFonts w:hint="eastAsia" w:ascii="楷体" w:hAnsi="楷体" w:eastAsia="楷体" w:cs="楷体"/>
          <w:sz w:val="28"/>
          <w:szCs w:val="28"/>
        </w:rPr>
        <w:t>2019年7月，国家市场监督管理总局批准中国汽研成立首家国家氢能动力质量监督检验中心。2023年1月，公司国家氢能动力质量检验检测中心正式揭牌成立。氢能质检中心项目一期已完成投资3.58亿元，占地约190亩，建成电机电池实验室、燃料电池及辅件实验室、动力总成实验室、氢能整车实验室等四大实验室。氢能质检中心将基于安全、绿色、体验三大技术路线，围绕标准制定、检验检测、装备及部件研发等技术服务方向着力打造成为氢能领域的综合性服务平台，提供包括燃料电池电堆及关键辅件、储氢系统、氢能动力系统、燃料电池整车等领域的技术咨询及检验检测服务。</w:t>
      </w:r>
    </w:p>
    <w:p>
      <w:pPr>
        <w:spacing w:line="360" w:lineRule="auto"/>
        <w:ind w:firstLine="565" w:firstLineChars="202"/>
        <w:rPr>
          <w:rFonts w:hint="eastAsia" w:ascii="楷体" w:hAnsi="楷体" w:eastAsia="楷体" w:cs="楷体"/>
          <w:sz w:val="28"/>
          <w:szCs w:val="28"/>
        </w:rPr>
      </w:pPr>
      <w:r>
        <w:rPr>
          <w:rFonts w:hint="eastAsia" w:ascii="楷体" w:hAnsi="楷体" w:eastAsia="楷体" w:cs="楷体"/>
          <w:sz w:val="28"/>
          <w:szCs w:val="28"/>
        </w:rPr>
        <w:t>在氢能部件业务方向，公司推出了自主研发生产的氢燃料电池汽车系统零部件产品。其中氢气循环泵、氢减压器在高耐久性、高安全性等方面已通过多项测试验证，实现了技术指标突破和国产化替代，相关产品已在多家企业氢燃料电池系统与整车上得到成功应用。下一步，公司将继续深入探索氢能车载储运领域相关技术发展，逐步建立起完整的氢能设计、制造、试验验证开发体系。</w:t>
      </w:r>
    </w:p>
    <w:p>
      <w:pPr>
        <w:spacing w:before="240"/>
        <w:rPr>
          <w:rFonts w:hint="eastAsia" w:ascii="楷体" w:hAnsi="楷体" w:eastAsia="楷体" w:cs="楷体"/>
          <w:b/>
          <w:sz w:val="28"/>
          <w:szCs w:val="28"/>
        </w:rPr>
      </w:pPr>
      <w:r>
        <w:rPr>
          <w:rFonts w:hint="eastAsia" w:ascii="楷体" w:hAnsi="楷体" w:eastAsia="楷体" w:cs="楷体"/>
          <w:b/>
          <w:sz w:val="28"/>
          <w:szCs w:val="28"/>
        </w:rPr>
        <w:t>问题五：请问公司目前华东总部基地项目建设进展情况如何？</w:t>
      </w:r>
    </w:p>
    <w:p>
      <w:pPr>
        <w:spacing w:line="360" w:lineRule="auto"/>
        <w:ind w:firstLine="565" w:firstLineChars="202"/>
        <w:rPr>
          <w:rFonts w:hint="eastAsia" w:ascii="楷体" w:hAnsi="楷体" w:eastAsia="楷体" w:cs="楷体"/>
          <w:sz w:val="28"/>
          <w:szCs w:val="28"/>
        </w:rPr>
      </w:pPr>
      <w:r>
        <w:rPr>
          <w:rFonts w:hint="eastAsia" w:ascii="楷体" w:hAnsi="楷体" w:eastAsia="楷体" w:cs="楷体"/>
          <w:sz w:val="28"/>
          <w:szCs w:val="28"/>
        </w:rPr>
        <w:t>中国汽研华东总部基地项目计划总投资23.82亿元，按照“一总部”（华东总部）+“二基地（苏州基地、常熟基地）”开展建设，其中苏州基地拟投资23.49亿元，常熟基地拟投资0.33亿元。苏州基地项目位于苏州市高新区，规划用地面积122.38亩，建筑面积18.9万平方米；常熟基地位于常熟高新区，建筑面积9213平方米。项目已于2022年9月开工建设，目前常熟基地已完成建设并开始试运营；苏州基地当前处于土建基础施工阶段，</w:t>
      </w:r>
      <w:r>
        <w:rPr>
          <w:rFonts w:hint="eastAsia" w:ascii="楷体" w:hAnsi="楷体" w:eastAsia="楷体" w:cs="楷体"/>
          <w:sz w:val="28"/>
          <w:szCs w:val="28"/>
          <w:lang w:val="en-US" w:eastAsia="zh-CN"/>
        </w:rPr>
        <w:t>预计</w:t>
      </w:r>
      <w:r>
        <w:rPr>
          <w:rFonts w:hint="eastAsia" w:ascii="楷体" w:hAnsi="楷体" w:eastAsia="楷体" w:cs="楷体"/>
          <w:sz w:val="28"/>
          <w:szCs w:val="28"/>
        </w:rPr>
        <w:t>2024年</w:t>
      </w:r>
      <w:r>
        <w:rPr>
          <w:rFonts w:hint="eastAsia" w:ascii="楷体" w:hAnsi="楷体" w:eastAsia="楷体" w:cs="楷体"/>
          <w:sz w:val="28"/>
          <w:szCs w:val="28"/>
          <w:lang w:val="en-US" w:eastAsia="zh-CN"/>
        </w:rPr>
        <w:t>起陆续</w:t>
      </w:r>
      <w:r>
        <w:rPr>
          <w:rFonts w:hint="eastAsia" w:ascii="楷体" w:hAnsi="楷体" w:eastAsia="楷体" w:cs="楷体"/>
          <w:sz w:val="28"/>
          <w:szCs w:val="28"/>
          <w:highlight w:val="none"/>
          <w:lang w:val="en-US" w:eastAsia="zh-CN"/>
        </w:rPr>
        <w:t>投入试运营</w:t>
      </w:r>
      <w:r>
        <w:rPr>
          <w:rFonts w:hint="eastAsia" w:ascii="楷体" w:hAnsi="楷体" w:eastAsia="楷体" w:cs="楷体"/>
          <w:sz w:val="28"/>
          <w:szCs w:val="28"/>
        </w:rPr>
        <w:t>，2025年底全面</w:t>
      </w:r>
      <w:r>
        <w:rPr>
          <w:rFonts w:hint="eastAsia" w:ascii="楷体" w:hAnsi="楷体" w:eastAsia="楷体" w:cs="楷体"/>
          <w:sz w:val="28"/>
          <w:szCs w:val="28"/>
          <w:lang w:val="en-US" w:eastAsia="zh-CN"/>
        </w:rPr>
        <w:t>建成</w:t>
      </w:r>
      <w:r>
        <w:rPr>
          <w:rFonts w:hint="eastAsia" w:ascii="楷体" w:hAnsi="楷体" w:eastAsia="楷体" w:cs="楷体"/>
          <w:sz w:val="28"/>
          <w:szCs w:val="28"/>
        </w:rPr>
        <w:t>投产使用。</w:t>
      </w:r>
    </w:p>
    <w:p>
      <w:pPr>
        <w:spacing w:line="360" w:lineRule="auto"/>
        <w:ind w:firstLine="565" w:firstLineChars="202"/>
        <w:rPr>
          <w:rFonts w:hint="eastAsia" w:ascii="楷体" w:hAnsi="楷体" w:eastAsia="楷体" w:cs="楷体"/>
          <w:sz w:val="28"/>
          <w:szCs w:val="28"/>
        </w:rPr>
      </w:pPr>
      <w:r>
        <w:rPr>
          <w:rFonts w:hint="eastAsia" w:ascii="楷体" w:hAnsi="楷体" w:eastAsia="楷体" w:cs="楷体"/>
          <w:sz w:val="28"/>
          <w:szCs w:val="28"/>
        </w:rPr>
        <w:t>华东总部基地项目将围绕新能源汽车测试、智能网联汽车测试、电子通信与软件测试及特色零部件与材料测试建设“四大研发中心”，建成后将提升公司在智能化、网联化、电动化、低碳化的特色服务能力，为华东地区企业提供属地化一站式服务，开展标准规范制订、行业共性技术研究以及第三方测试研发服务，成为华东地区智能网联新能源汽车产业发展和共性技术推广的公共服务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NzY5ZGJhNzMxYTJkYmE5NzJkYjViZDVhY2EyOWQifQ=="/>
  </w:docVars>
  <w:rsids>
    <w:rsidRoot w:val="00EF02C2"/>
    <w:rsid w:val="00001EAB"/>
    <w:rsid w:val="0001359D"/>
    <w:rsid w:val="00033EA1"/>
    <w:rsid w:val="000360BB"/>
    <w:rsid w:val="00046B55"/>
    <w:rsid w:val="00053942"/>
    <w:rsid w:val="00085502"/>
    <w:rsid w:val="00097C32"/>
    <w:rsid w:val="000B2D75"/>
    <w:rsid w:val="000D4640"/>
    <w:rsid w:val="001061A6"/>
    <w:rsid w:val="00114231"/>
    <w:rsid w:val="001357A1"/>
    <w:rsid w:val="00152BCB"/>
    <w:rsid w:val="001549C9"/>
    <w:rsid w:val="001B2E77"/>
    <w:rsid w:val="001E079C"/>
    <w:rsid w:val="001E38C6"/>
    <w:rsid w:val="00220183"/>
    <w:rsid w:val="00292E7F"/>
    <w:rsid w:val="002A3827"/>
    <w:rsid w:val="002D03FC"/>
    <w:rsid w:val="002D0DAD"/>
    <w:rsid w:val="002D0F57"/>
    <w:rsid w:val="002F1AA7"/>
    <w:rsid w:val="003151E9"/>
    <w:rsid w:val="00343024"/>
    <w:rsid w:val="00345A45"/>
    <w:rsid w:val="00371B2D"/>
    <w:rsid w:val="00391E2D"/>
    <w:rsid w:val="003A304D"/>
    <w:rsid w:val="003B0F32"/>
    <w:rsid w:val="003B6356"/>
    <w:rsid w:val="003D65D5"/>
    <w:rsid w:val="003F14EE"/>
    <w:rsid w:val="004153C1"/>
    <w:rsid w:val="00435CAA"/>
    <w:rsid w:val="00452368"/>
    <w:rsid w:val="004531E6"/>
    <w:rsid w:val="00476677"/>
    <w:rsid w:val="00494A87"/>
    <w:rsid w:val="004E0315"/>
    <w:rsid w:val="004E2EDD"/>
    <w:rsid w:val="00563F46"/>
    <w:rsid w:val="00565244"/>
    <w:rsid w:val="0059495F"/>
    <w:rsid w:val="005A4D07"/>
    <w:rsid w:val="005D6567"/>
    <w:rsid w:val="00620A31"/>
    <w:rsid w:val="00627891"/>
    <w:rsid w:val="006330BD"/>
    <w:rsid w:val="00642794"/>
    <w:rsid w:val="0065098D"/>
    <w:rsid w:val="00665E1E"/>
    <w:rsid w:val="006B4F71"/>
    <w:rsid w:val="006B5661"/>
    <w:rsid w:val="006E47BB"/>
    <w:rsid w:val="006F0013"/>
    <w:rsid w:val="006F28C6"/>
    <w:rsid w:val="0071290D"/>
    <w:rsid w:val="007147F2"/>
    <w:rsid w:val="00722657"/>
    <w:rsid w:val="00722CAE"/>
    <w:rsid w:val="0072438C"/>
    <w:rsid w:val="007267D0"/>
    <w:rsid w:val="0072681D"/>
    <w:rsid w:val="00740353"/>
    <w:rsid w:val="007730EC"/>
    <w:rsid w:val="007761AB"/>
    <w:rsid w:val="00781747"/>
    <w:rsid w:val="00785C90"/>
    <w:rsid w:val="00792D80"/>
    <w:rsid w:val="00793F9A"/>
    <w:rsid w:val="007A09BE"/>
    <w:rsid w:val="007A234A"/>
    <w:rsid w:val="007E6369"/>
    <w:rsid w:val="007F24B0"/>
    <w:rsid w:val="007F381B"/>
    <w:rsid w:val="007F46D2"/>
    <w:rsid w:val="00810BDF"/>
    <w:rsid w:val="00811E64"/>
    <w:rsid w:val="00831566"/>
    <w:rsid w:val="00840253"/>
    <w:rsid w:val="008A74CD"/>
    <w:rsid w:val="008E08A9"/>
    <w:rsid w:val="00904E34"/>
    <w:rsid w:val="00920F81"/>
    <w:rsid w:val="00921868"/>
    <w:rsid w:val="00936DB0"/>
    <w:rsid w:val="009424B0"/>
    <w:rsid w:val="00981377"/>
    <w:rsid w:val="009A1D14"/>
    <w:rsid w:val="009D2538"/>
    <w:rsid w:val="00A40C8B"/>
    <w:rsid w:val="00A418E0"/>
    <w:rsid w:val="00A47BAF"/>
    <w:rsid w:val="00A56D3D"/>
    <w:rsid w:val="00A93FCD"/>
    <w:rsid w:val="00AB3DDB"/>
    <w:rsid w:val="00AD4A2E"/>
    <w:rsid w:val="00AD7EF1"/>
    <w:rsid w:val="00AE4E5E"/>
    <w:rsid w:val="00AF04BD"/>
    <w:rsid w:val="00B072D1"/>
    <w:rsid w:val="00B26C1C"/>
    <w:rsid w:val="00B41DC4"/>
    <w:rsid w:val="00B77C86"/>
    <w:rsid w:val="00BB32BB"/>
    <w:rsid w:val="00BD6D29"/>
    <w:rsid w:val="00BE3A31"/>
    <w:rsid w:val="00C06F3D"/>
    <w:rsid w:val="00C14A17"/>
    <w:rsid w:val="00C2015A"/>
    <w:rsid w:val="00C42F37"/>
    <w:rsid w:val="00C53FA9"/>
    <w:rsid w:val="00C614A7"/>
    <w:rsid w:val="00C64F91"/>
    <w:rsid w:val="00C86A84"/>
    <w:rsid w:val="00C92BEE"/>
    <w:rsid w:val="00C960E9"/>
    <w:rsid w:val="00C96CC8"/>
    <w:rsid w:val="00CA4714"/>
    <w:rsid w:val="00CD33CF"/>
    <w:rsid w:val="00CF0E46"/>
    <w:rsid w:val="00D03062"/>
    <w:rsid w:val="00D27C14"/>
    <w:rsid w:val="00D34391"/>
    <w:rsid w:val="00D35521"/>
    <w:rsid w:val="00D3703F"/>
    <w:rsid w:val="00D670F4"/>
    <w:rsid w:val="00D71D1D"/>
    <w:rsid w:val="00D72AB0"/>
    <w:rsid w:val="00D822F3"/>
    <w:rsid w:val="00D84632"/>
    <w:rsid w:val="00D8570A"/>
    <w:rsid w:val="00DD1A30"/>
    <w:rsid w:val="00E226B2"/>
    <w:rsid w:val="00E23549"/>
    <w:rsid w:val="00E34E3F"/>
    <w:rsid w:val="00E66C86"/>
    <w:rsid w:val="00E7327F"/>
    <w:rsid w:val="00E822FE"/>
    <w:rsid w:val="00E90884"/>
    <w:rsid w:val="00E95EA0"/>
    <w:rsid w:val="00EA22C5"/>
    <w:rsid w:val="00EA60E0"/>
    <w:rsid w:val="00ED0A20"/>
    <w:rsid w:val="00ED2E45"/>
    <w:rsid w:val="00EE75DB"/>
    <w:rsid w:val="00EF02C2"/>
    <w:rsid w:val="00F1247C"/>
    <w:rsid w:val="00F165DF"/>
    <w:rsid w:val="00F35EB5"/>
    <w:rsid w:val="00F3795C"/>
    <w:rsid w:val="00F400C9"/>
    <w:rsid w:val="00F46D15"/>
    <w:rsid w:val="00F52663"/>
    <w:rsid w:val="00F664AA"/>
    <w:rsid w:val="00F75A9C"/>
    <w:rsid w:val="00F9708E"/>
    <w:rsid w:val="00F97FDC"/>
    <w:rsid w:val="00FB2F0F"/>
    <w:rsid w:val="00FB7AF7"/>
    <w:rsid w:val="00FC2B4F"/>
    <w:rsid w:val="00FC65E1"/>
    <w:rsid w:val="00FD13C3"/>
    <w:rsid w:val="00FD159E"/>
    <w:rsid w:val="00FD5BF8"/>
    <w:rsid w:val="00FE5032"/>
    <w:rsid w:val="00FF2ADA"/>
    <w:rsid w:val="011A24F4"/>
    <w:rsid w:val="01921AA3"/>
    <w:rsid w:val="023F66B6"/>
    <w:rsid w:val="06D2424F"/>
    <w:rsid w:val="0889068B"/>
    <w:rsid w:val="08C74A56"/>
    <w:rsid w:val="126F0F59"/>
    <w:rsid w:val="137B5074"/>
    <w:rsid w:val="15410CDB"/>
    <w:rsid w:val="16640041"/>
    <w:rsid w:val="19FE255B"/>
    <w:rsid w:val="1BCD48DA"/>
    <w:rsid w:val="1C67349B"/>
    <w:rsid w:val="237E4DC7"/>
    <w:rsid w:val="23A008F6"/>
    <w:rsid w:val="24174945"/>
    <w:rsid w:val="26377520"/>
    <w:rsid w:val="271433BD"/>
    <w:rsid w:val="27765E26"/>
    <w:rsid w:val="2814275A"/>
    <w:rsid w:val="2BA6728D"/>
    <w:rsid w:val="2C161986"/>
    <w:rsid w:val="2C46226B"/>
    <w:rsid w:val="2C820DC9"/>
    <w:rsid w:val="2CF47F19"/>
    <w:rsid w:val="2D022628"/>
    <w:rsid w:val="30E127D5"/>
    <w:rsid w:val="31FE750F"/>
    <w:rsid w:val="338717F4"/>
    <w:rsid w:val="373331A0"/>
    <w:rsid w:val="3825731A"/>
    <w:rsid w:val="38BE0F8E"/>
    <w:rsid w:val="38FB7E1E"/>
    <w:rsid w:val="3970255D"/>
    <w:rsid w:val="3B043A1D"/>
    <w:rsid w:val="3BB0325D"/>
    <w:rsid w:val="3D9964E7"/>
    <w:rsid w:val="3D9F7A2D"/>
    <w:rsid w:val="41055DF9"/>
    <w:rsid w:val="421F5A03"/>
    <w:rsid w:val="464714CA"/>
    <w:rsid w:val="4E177D2B"/>
    <w:rsid w:val="4FD139BA"/>
    <w:rsid w:val="50CD4459"/>
    <w:rsid w:val="51DB1DDB"/>
    <w:rsid w:val="537E1A3B"/>
    <w:rsid w:val="54EF499E"/>
    <w:rsid w:val="550D3076"/>
    <w:rsid w:val="55AC3111"/>
    <w:rsid w:val="56A30136"/>
    <w:rsid w:val="58345320"/>
    <w:rsid w:val="58704048"/>
    <w:rsid w:val="5A831ACB"/>
    <w:rsid w:val="5B7D2A04"/>
    <w:rsid w:val="605240EC"/>
    <w:rsid w:val="628F156F"/>
    <w:rsid w:val="62944DD7"/>
    <w:rsid w:val="645D4130"/>
    <w:rsid w:val="646A2293"/>
    <w:rsid w:val="66252916"/>
    <w:rsid w:val="66DE4177"/>
    <w:rsid w:val="686E384F"/>
    <w:rsid w:val="68CD4B9F"/>
    <w:rsid w:val="69BD4C13"/>
    <w:rsid w:val="6AB72338"/>
    <w:rsid w:val="6AC83870"/>
    <w:rsid w:val="6AE34B4E"/>
    <w:rsid w:val="6C5C6966"/>
    <w:rsid w:val="6DBB255C"/>
    <w:rsid w:val="6E7A7577"/>
    <w:rsid w:val="6EDF73DA"/>
    <w:rsid w:val="6EF235B1"/>
    <w:rsid w:val="70447E3C"/>
    <w:rsid w:val="718D136F"/>
    <w:rsid w:val="719637E6"/>
    <w:rsid w:val="7350131E"/>
    <w:rsid w:val="75EF5E03"/>
    <w:rsid w:val="76047189"/>
    <w:rsid w:val="7A252A8D"/>
    <w:rsid w:val="7A8F6FEF"/>
    <w:rsid w:val="7BE527D1"/>
    <w:rsid w:val="7D5471E5"/>
    <w:rsid w:val="7DD32800"/>
    <w:rsid w:val="7DD81BC4"/>
    <w:rsid w:val="7ED7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4C308-1D98-47EC-A86E-2F3BD6D85A8E}">
  <ds:schemaRefs/>
</ds:datastoreItem>
</file>

<file path=docProps/app.xml><?xml version="1.0" encoding="utf-8"?>
<Properties xmlns="http://schemas.openxmlformats.org/officeDocument/2006/extended-properties" xmlns:vt="http://schemas.openxmlformats.org/officeDocument/2006/docPropsVTypes">
  <Template>Normal.dotm</Template>
  <Company>中国汽车工程研究院股份有限公司</Company>
  <Pages>5</Pages>
  <Words>421</Words>
  <Characters>2403</Characters>
  <Lines>20</Lines>
  <Paragraphs>5</Paragraphs>
  <TotalTime>42</TotalTime>
  <ScaleCrop>false</ScaleCrop>
  <LinksUpToDate>false</LinksUpToDate>
  <CharactersWithSpaces>2819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2021-10-22T03:02:00Z</dcterms:created>
  <dc:creator>Caeri</dc:creator>
  <cp:lastModifiedBy>大白菜</cp:lastModifiedBy>
  <dcterms:modified xsi:type="dcterms:W3CDTF">2023-09-28T07:41:22Z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3E7A5491FE2848BE99BDBD8A01E61E5B_13</vt:lpwstr>
  </property>
</Properties>
</file>