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EE0" w14:textId="77777777" w:rsidR="006668E9" w:rsidRDefault="006668E9" w:rsidP="00DC453E">
      <w:pPr>
        <w:jc w:val="center"/>
        <w:rPr>
          <w:b/>
          <w:sz w:val="36"/>
          <w:szCs w:val="36"/>
        </w:rPr>
      </w:pPr>
    </w:p>
    <w:p w14:paraId="520801A1" w14:textId="77777777" w:rsidR="00B65BD0" w:rsidRPr="00DC453E" w:rsidRDefault="00DC453E" w:rsidP="00DC453E">
      <w:pPr>
        <w:jc w:val="center"/>
        <w:rPr>
          <w:b/>
          <w:sz w:val="36"/>
          <w:szCs w:val="36"/>
        </w:rPr>
      </w:pPr>
      <w:r w:rsidRPr="00DC453E">
        <w:rPr>
          <w:rFonts w:hint="eastAsia"/>
          <w:b/>
          <w:sz w:val="36"/>
          <w:szCs w:val="36"/>
        </w:rPr>
        <w:t>无锡农村商业银行股份有限公司</w:t>
      </w:r>
    </w:p>
    <w:p w14:paraId="1833578E" w14:textId="77777777" w:rsidR="00DC453E" w:rsidRDefault="00DC453E" w:rsidP="00DC453E">
      <w:pPr>
        <w:jc w:val="center"/>
        <w:rPr>
          <w:b/>
          <w:sz w:val="36"/>
          <w:szCs w:val="36"/>
        </w:rPr>
      </w:pPr>
      <w:r w:rsidRPr="00DC453E">
        <w:rPr>
          <w:rFonts w:hint="eastAsia"/>
          <w:b/>
          <w:sz w:val="36"/>
          <w:szCs w:val="36"/>
        </w:rPr>
        <w:t>投资者关系活动记录表</w:t>
      </w:r>
    </w:p>
    <w:p w14:paraId="04B2A2CE" w14:textId="77777777" w:rsidR="007C6634" w:rsidRPr="007C6634" w:rsidRDefault="007C6634" w:rsidP="00DC453E">
      <w:pPr>
        <w:jc w:val="center"/>
        <w:rPr>
          <w:sz w:val="36"/>
          <w:szCs w:val="36"/>
        </w:rPr>
      </w:pPr>
    </w:p>
    <w:tbl>
      <w:tblPr>
        <w:tblStyle w:val="a7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450"/>
        <w:gridCol w:w="631"/>
        <w:gridCol w:w="1721"/>
        <w:gridCol w:w="1275"/>
        <w:gridCol w:w="1921"/>
        <w:gridCol w:w="2524"/>
      </w:tblGrid>
      <w:tr w:rsidR="00066C4A" w14:paraId="494E4D42" w14:textId="77777777" w:rsidTr="00066C4A">
        <w:trPr>
          <w:trHeight w:hRule="exact" w:val="1004"/>
        </w:trPr>
        <w:tc>
          <w:tcPr>
            <w:tcW w:w="0" w:type="auto"/>
            <w:vAlign w:val="center"/>
          </w:tcPr>
          <w:p w14:paraId="541C5F7F" w14:textId="77777777" w:rsidR="00DC453E" w:rsidRPr="00DC453E" w:rsidRDefault="00DC453E" w:rsidP="00DC453E">
            <w:pPr>
              <w:jc w:val="center"/>
              <w:rPr>
                <w:b/>
              </w:rPr>
            </w:pPr>
            <w:r w:rsidRPr="00DC453E">
              <w:rPr>
                <w:b/>
              </w:rPr>
              <w:t>序号</w:t>
            </w:r>
          </w:p>
        </w:tc>
        <w:tc>
          <w:tcPr>
            <w:tcW w:w="0" w:type="auto"/>
            <w:vAlign w:val="center"/>
          </w:tcPr>
          <w:p w14:paraId="5F8880D9" w14:textId="77777777" w:rsidR="00DC453E" w:rsidRPr="00DC453E" w:rsidRDefault="00DC453E" w:rsidP="00DC453E">
            <w:pPr>
              <w:jc w:val="center"/>
              <w:rPr>
                <w:b/>
              </w:rPr>
            </w:pPr>
            <w:r w:rsidRPr="00DC453E">
              <w:rPr>
                <w:b/>
              </w:rPr>
              <w:t>投资者关系活动类别</w:t>
            </w:r>
          </w:p>
        </w:tc>
        <w:tc>
          <w:tcPr>
            <w:tcW w:w="1721" w:type="dxa"/>
            <w:vAlign w:val="center"/>
          </w:tcPr>
          <w:p w14:paraId="12C3EC63" w14:textId="77777777" w:rsidR="00DC453E" w:rsidRPr="00DC453E" w:rsidRDefault="00DC453E" w:rsidP="00DC453E">
            <w:pPr>
              <w:jc w:val="center"/>
              <w:rPr>
                <w:b/>
              </w:rPr>
            </w:pPr>
            <w:r w:rsidRPr="00DC453E">
              <w:rPr>
                <w:b/>
              </w:rPr>
              <w:t>会议时间</w:t>
            </w:r>
          </w:p>
        </w:tc>
        <w:tc>
          <w:tcPr>
            <w:tcW w:w="1275" w:type="dxa"/>
            <w:vAlign w:val="center"/>
          </w:tcPr>
          <w:p w14:paraId="0150467E" w14:textId="77777777" w:rsidR="00DC453E" w:rsidRPr="00DC453E" w:rsidRDefault="00DC453E" w:rsidP="00DC453E">
            <w:pPr>
              <w:jc w:val="center"/>
              <w:rPr>
                <w:b/>
              </w:rPr>
            </w:pPr>
            <w:r w:rsidRPr="00DC453E">
              <w:rPr>
                <w:b/>
              </w:rPr>
              <w:t>会议形式</w:t>
            </w:r>
          </w:p>
        </w:tc>
        <w:tc>
          <w:tcPr>
            <w:tcW w:w="1921" w:type="dxa"/>
            <w:vAlign w:val="center"/>
          </w:tcPr>
          <w:p w14:paraId="7FAD0FE9" w14:textId="77777777" w:rsidR="00DC453E" w:rsidRPr="00DC453E" w:rsidRDefault="00DC453E" w:rsidP="00DC453E">
            <w:pPr>
              <w:jc w:val="center"/>
              <w:rPr>
                <w:b/>
              </w:rPr>
            </w:pPr>
            <w:r w:rsidRPr="00DC453E">
              <w:rPr>
                <w:b/>
              </w:rPr>
              <w:t>机构名称</w:t>
            </w:r>
          </w:p>
        </w:tc>
        <w:tc>
          <w:tcPr>
            <w:tcW w:w="0" w:type="auto"/>
            <w:vAlign w:val="center"/>
          </w:tcPr>
          <w:p w14:paraId="2D484A12" w14:textId="77777777" w:rsidR="00DC453E" w:rsidRPr="00DC453E" w:rsidRDefault="00DC453E" w:rsidP="00DC453E">
            <w:pPr>
              <w:jc w:val="center"/>
              <w:rPr>
                <w:b/>
              </w:rPr>
            </w:pPr>
            <w:r w:rsidRPr="00DC453E">
              <w:rPr>
                <w:b/>
              </w:rPr>
              <w:t>本行接待人员</w:t>
            </w:r>
          </w:p>
        </w:tc>
      </w:tr>
      <w:tr w:rsidR="00066C4A" w14:paraId="31DE9A6D" w14:textId="77777777" w:rsidTr="00066C4A">
        <w:trPr>
          <w:trHeight w:hRule="exact" w:val="2973"/>
        </w:trPr>
        <w:tc>
          <w:tcPr>
            <w:tcW w:w="0" w:type="auto"/>
            <w:vAlign w:val="center"/>
          </w:tcPr>
          <w:p w14:paraId="5BF6CA12" w14:textId="77777777" w:rsidR="00DC453E" w:rsidRDefault="00DC453E" w:rsidP="00DC45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5B3005D" w14:textId="77777777" w:rsidR="00DC453E" w:rsidRDefault="00DC453E" w:rsidP="00DC453E">
            <w:pPr>
              <w:jc w:val="center"/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</w:rPr>
              <w:t>特定对象调研</w:t>
            </w:r>
          </w:p>
        </w:tc>
        <w:tc>
          <w:tcPr>
            <w:tcW w:w="1721" w:type="dxa"/>
            <w:vAlign w:val="center"/>
          </w:tcPr>
          <w:p w14:paraId="5F21B1DF" w14:textId="77777777" w:rsidR="00DC453E" w:rsidRPr="00332A86" w:rsidRDefault="00C76C40" w:rsidP="00DC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2023.9</w:t>
            </w:r>
            <w:r w:rsidR="00DC453E" w:rsidRPr="00332A86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7上午10:00-11:30</w:t>
            </w:r>
          </w:p>
        </w:tc>
        <w:tc>
          <w:tcPr>
            <w:tcW w:w="1275" w:type="dxa"/>
            <w:vAlign w:val="center"/>
          </w:tcPr>
          <w:p w14:paraId="2AB199CB" w14:textId="77777777" w:rsidR="00DC453E" w:rsidRPr="00332A86" w:rsidRDefault="00DC453E" w:rsidP="00DC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2A86">
              <w:rPr>
                <w:rFonts w:asciiTheme="majorEastAsia" w:eastAsiaTheme="majorEastAsia" w:hAnsiTheme="majorEastAsia"/>
                <w:szCs w:val="21"/>
              </w:rPr>
              <w:t>现场调研</w:t>
            </w:r>
          </w:p>
        </w:tc>
        <w:tc>
          <w:tcPr>
            <w:tcW w:w="1921" w:type="dxa"/>
            <w:vAlign w:val="center"/>
          </w:tcPr>
          <w:p w14:paraId="7A65DC28" w14:textId="77777777" w:rsidR="00DC453E" w:rsidRPr="00C76C40" w:rsidRDefault="00C76C40" w:rsidP="002E0DE9">
            <w:pPr>
              <w:jc w:val="left"/>
              <w:rPr>
                <w:szCs w:val="21"/>
              </w:rPr>
            </w:pPr>
            <w:r w:rsidRPr="00C76C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申万宏源、中银基金、民生加银、鹏扬基金、泰康基金、晨燕资产、申万FICC、格林基金</w:t>
            </w:r>
          </w:p>
        </w:tc>
        <w:tc>
          <w:tcPr>
            <w:tcW w:w="0" w:type="auto"/>
            <w:vAlign w:val="center"/>
          </w:tcPr>
          <w:p w14:paraId="30BBDB73" w14:textId="77777777" w:rsidR="00DC453E" w:rsidRPr="00C76C40" w:rsidRDefault="00C76C40" w:rsidP="00746A22">
            <w:pPr>
              <w:jc w:val="left"/>
              <w:rPr>
                <w:szCs w:val="21"/>
              </w:rPr>
            </w:pPr>
            <w:r w:rsidRPr="00C76C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无锡农村商业银行董事会秘书、证券事务代表、公司业务部总经理、个人金融部总经理、普惠金融部总经理、监事会办公室主任、金融市场部总经理、计划财务部总经理助理及董事会办公室相关人员</w:t>
            </w:r>
          </w:p>
        </w:tc>
      </w:tr>
      <w:tr w:rsidR="00066C4A" w14:paraId="62AC92D3" w14:textId="77777777" w:rsidTr="00066C4A">
        <w:trPr>
          <w:trHeight w:hRule="exact" w:val="3553"/>
        </w:trPr>
        <w:tc>
          <w:tcPr>
            <w:tcW w:w="0" w:type="auto"/>
            <w:vAlign w:val="center"/>
          </w:tcPr>
          <w:p w14:paraId="43D724A9" w14:textId="77777777" w:rsidR="00DC453E" w:rsidRDefault="00DC453E" w:rsidP="00DC453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2FA631CD" w14:textId="77777777" w:rsidR="00DC453E" w:rsidRDefault="00DC453E" w:rsidP="00DC453E">
            <w:pPr>
              <w:jc w:val="center"/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</w:rPr>
              <w:t>特定对象调研</w:t>
            </w:r>
          </w:p>
        </w:tc>
        <w:tc>
          <w:tcPr>
            <w:tcW w:w="1721" w:type="dxa"/>
            <w:vAlign w:val="center"/>
          </w:tcPr>
          <w:p w14:paraId="15D1471D" w14:textId="77777777" w:rsidR="00DC453E" w:rsidRPr="00332A86" w:rsidRDefault="00821A7D" w:rsidP="00DC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2023.9.27</w:t>
            </w:r>
            <w:r w:rsidR="00C76C40">
              <w:rPr>
                <w:rFonts w:asciiTheme="majorEastAsia" w:eastAsiaTheme="majorEastAsia" w:hAnsiTheme="majorEastAsia" w:hint="eastAsia"/>
                <w:szCs w:val="21"/>
              </w:rPr>
              <w:t>上午10:00-11:30</w:t>
            </w:r>
          </w:p>
        </w:tc>
        <w:tc>
          <w:tcPr>
            <w:tcW w:w="1275" w:type="dxa"/>
            <w:vAlign w:val="center"/>
          </w:tcPr>
          <w:p w14:paraId="18A1DB82" w14:textId="77777777" w:rsidR="00DC453E" w:rsidRPr="00332A86" w:rsidRDefault="00DC453E" w:rsidP="00DC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2A86">
              <w:rPr>
                <w:rFonts w:asciiTheme="majorEastAsia" w:eastAsiaTheme="majorEastAsia" w:hAnsiTheme="majorEastAsia"/>
                <w:szCs w:val="21"/>
              </w:rPr>
              <w:t>现场调研</w:t>
            </w:r>
          </w:p>
        </w:tc>
        <w:tc>
          <w:tcPr>
            <w:tcW w:w="1921" w:type="dxa"/>
            <w:vAlign w:val="center"/>
          </w:tcPr>
          <w:p w14:paraId="146ED801" w14:textId="77777777" w:rsidR="00DC453E" w:rsidRPr="00C76C40" w:rsidRDefault="00C76C40" w:rsidP="002E0DE9">
            <w:pPr>
              <w:jc w:val="left"/>
              <w:rPr>
                <w:szCs w:val="21"/>
              </w:rPr>
            </w:pPr>
            <w:r w:rsidRPr="00C76C40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首创资管 、长信基金 、开源证券、长江证券</w:t>
            </w:r>
          </w:p>
        </w:tc>
        <w:tc>
          <w:tcPr>
            <w:tcW w:w="0" w:type="auto"/>
            <w:vAlign w:val="center"/>
          </w:tcPr>
          <w:p w14:paraId="7B6166AA" w14:textId="77777777" w:rsidR="00DC453E" w:rsidRPr="00C76C40" w:rsidRDefault="00C76C40" w:rsidP="00332A86">
            <w:pPr>
              <w:jc w:val="left"/>
              <w:rPr>
                <w:szCs w:val="21"/>
              </w:rPr>
            </w:pPr>
            <w:r w:rsidRPr="00C76C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无锡农村商业银行董事会秘书、证券事务代表、计划财务部总经理、个人金融部总经理、金融市场部总经理、资管部总经理、公司业务部副总经理及董事会办公室相关人员</w:t>
            </w:r>
          </w:p>
        </w:tc>
      </w:tr>
    </w:tbl>
    <w:p w14:paraId="1189874A" w14:textId="77777777" w:rsidR="00090D4E" w:rsidRDefault="00090D4E"/>
    <w:p w14:paraId="6417E52B" w14:textId="77777777" w:rsidR="00090D4E" w:rsidRDefault="00090D4E"/>
    <w:p w14:paraId="03BF80CF" w14:textId="77777777" w:rsidR="009D1E9A" w:rsidRDefault="009D1E9A"/>
    <w:p w14:paraId="64BD4509" w14:textId="77777777" w:rsidR="00090D4E" w:rsidRDefault="00090D4E"/>
    <w:p w14:paraId="4C0E612E" w14:textId="77777777" w:rsidR="00090D4E" w:rsidRDefault="00090D4E"/>
    <w:p w14:paraId="5EB305AA" w14:textId="77777777" w:rsidR="00090D4E" w:rsidRDefault="00090D4E"/>
    <w:p w14:paraId="14ED3070" w14:textId="77777777" w:rsidR="009D1E9A" w:rsidRDefault="009D1E9A" w:rsidP="00090D4E">
      <w:pPr>
        <w:jc w:val="center"/>
        <w:rPr>
          <w:b/>
          <w:sz w:val="36"/>
          <w:szCs w:val="36"/>
        </w:rPr>
      </w:pPr>
    </w:p>
    <w:p w14:paraId="6A67FED1" w14:textId="77777777" w:rsidR="009D1E9A" w:rsidRDefault="009D1E9A" w:rsidP="00090D4E">
      <w:pPr>
        <w:jc w:val="center"/>
        <w:rPr>
          <w:b/>
          <w:sz w:val="36"/>
          <w:szCs w:val="36"/>
        </w:rPr>
      </w:pPr>
    </w:p>
    <w:p w14:paraId="32A798BB" w14:textId="77777777" w:rsidR="009D1E9A" w:rsidRDefault="009D1E9A" w:rsidP="00090D4E">
      <w:pPr>
        <w:jc w:val="center"/>
        <w:rPr>
          <w:b/>
          <w:sz w:val="36"/>
          <w:szCs w:val="36"/>
        </w:rPr>
      </w:pPr>
    </w:p>
    <w:p w14:paraId="629AFAA0" w14:textId="77777777" w:rsidR="007C6634" w:rsidRDefault="007C6634" w:rsidP="00090D4E">
      <w:pPr>
        <w:jc w:val="center"/>
        <w:rPr>
          <w:b/>
          <w:sz w:val="36"/>
          <w:szCs w:val="36"/>
        </w:rPr>
      </w:pPr>
    </w:p>
    <w:p w14:paraId="6E8DAAE8" w14:textId="77777777" w:rsidR="00090D4E" w:rsidRPr="00BF160A" w:rsidRDefault="00090D4E" w:rsidP="000B04E5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BF160A">
        <w:rPr>
          <w:rFonts w:asciiTheme="minorEastAsia" w:hAnsiTheme="minorEastAsia" w:hint="eastAsia"/>
          <w:b/>
          <w:sz w:val="36"/>
          <w:szCs w:val="36"/>
        </w:rPr>
        <w:t>会议纪要</w:t>
      </w:r>
    </w:p>
    <w:p w14:paraId="4BE27DDE" w14:textId="77777777" w:rsidR="00B805C7" w:rsidRPr="00BF160A" w:rsidRDefault="00B805C7" w:rsidP="000B04E5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14:paraId="4B038397" w14:textId="77777777" w:rsidR="00B805C7" w:rsidRPr="009E1E41" w:rsidRDefault="006A79A3" w:rsidP="002D5CF0">
      <w:pPr>
        <w:pStyle w:val="a8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B805C7" w:rsidRPr="009E1E41">
        <w:rPr>
          <w:rFonts w:asciiTheme="minorEastAsia" w:eastAsiaTheme="minorEastAsia" w:hAnsiTheme="minorEastAsia" w:hint="eastAsia"/>
          <w:b/>
          <w:sz w:val="28"/>
          <w:szCs w:val="28"/>
        </w:rPr>
        <w:t>、Q3信贷投放进展如何？Q4投放计划？</w:t>
      </w:r>
      <w:r w:rsidR="00B805C7" w:rsidRPr="009E1E41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14:paraId="60DC1ECE" w14:textId="1CF5C8B3" w:rsidR="009E1E41" w:rsidRPr="002B029C" w:rsidRDefault="00B805C7" w:rsidP="002B029C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9E1E41">
        <w:rPr>
          <w:rFonts w:asciiTheme="minorEastAsia" w:hAnsiTheme="minorEastAsia" w:hint="eastAsia"/>
          <w:bCs/>
          <w:sz w:val="28"/>
          <w:szCs w:val="28"/>
        </w:rPr>
        <w:t>2023年，我行将坚定围绕战略转型目标和全年经营发展目标，</w:t>
      </w:r>
      <w:r w:rsidRPr="009E1E41">
        <w:rPr>
          <w:rFonts w:asciiTheme="minorEastAsia" w:hAnsiTheme="minorEastAsia" w:cs="楷体" w:hint="eastAsia"/>
          <w:bCs/>
          <w:sz w:val="28"/>
          <w:szCs w:val="28"/>
        </w:rPr>
        <w:t>全年新增信贷规模计划增速高于2022年。同时，我行将继续</w:t>
      </w:r>
      <w:r w:rsidRPr="009E1E41">
        <w:rPr>
          <w:rFonts w:asciiTheme="minorEastAsia" w:hAnsiTheme="minorEastAsia" w:hint="eastAsia"/>
          <w:bCs/>
          <w:sz w:val="28"/>
          <w:szCs w:val="28"/>
        </w:rPr>
        <w:t>紧扣普惠零售贷款投放的主旋律，持续加大对三农、普惠小微和零售类贷款的资源支持力度，进一步提升其贷款占比。四季度投放将对照年度投放计划，稳步推进落实，确保打好高质量收官战，并</w:t>
      </w:r>
      <w:r w:rsidR="000600FD">
        <w:rPr>
          <w:rFonts w:asciiTheme="minorEastAsia" w:hAnsiTheme="minorEastAsia" w:hint="eastAsia"/>
          <w:bCs/>
          <w:sz w:val="28"/>
          <w:szCs w:val="28"/>
        </w:rPr>
        <w:t>为</w:t>
      </w:r>
      <w:r w:rsidRPr="009E1E41">
        <w:rPr>
          <w:rFonts w:asciiTheme="minorEastAsia" w:hAnsiTheme="minorEastAsia" w:hint="eastAsia"/>
          <w:bCs/>
          <w:sz w:val="28"/>
          <w:szCs w:val="28"/>
        </w:rPr>
        <w:t>24年做好相应的信贷储备工作。</w:t>
      </w:r>
    </w:p>
    <w:p w14:paraId="7796B4B3" w14:textId="77777777" w:rsidR="00A43E7C" w:rsidRPr="00A43E7C" w:rsidRDefault="006A79A3" w:rsidP="002D5CF0">
      <w:pPr>
        <w:pStyle w:val="a8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A43E7C" w:rsidRPr="00A43E7C">
        <w:rPr>
          <w:rFonts w:asciiTheme="minorEastAsia" w:eastAsiaTheme="minorEastAsia" w:hAnsiTheme="minorEastAsia" w:hint="eastAsia"/>
          <w:b/>
          <w:sz w:val="28"/>
          <w:szCs w:val="28"/>
        </w:rPr>
        <w:t>、新资本管理办法下，配债思路会如何调整？</w:t>
      </w:r>
      <w:r w:rsidR="00A43E7C" w:rsidRPr="00A43E7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14:paraId="6B9F3E7F" w14:textId="77777777" w:rsidR="00A43E7C" w:rsidRDefault="00A43E7C" w:rsidP="007A1D60">
      <w:pPr>
        <w:pStyle w:val="a8"/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A43E7C">
        <w:rPr>
          <w:rFonts w:asciiTheme="minorEastAsia" w:eastAsiaTheme="minorEastAsia" w:hAnsiTheme="minorEastAsia" w:hint="eastAsia"/>
          <w:sz w:val="28"/>
          <w:szCs w:val="28"/>
        </w:rPr>
        <w:t>金融市场业务回归本源，持仓结构有所优化，将自有资金主要投向标准化资产，如具有免税效应的国债和地方债。考虑到新资本办法下，对政府债券的风险权重有调整，一般债为10%，专项债为20%，在新增地方政府债券投资中以一般债为主。在当前市场缺乏优质投资资产和投资机会，采用“以量补差”的策略，依靠市场上固定存在的价差实现收益 ，同时，通过加强市场利率前瞻性研判，采取高频策略和端波动操作结合的策略，把握投资品种和策略的协调性、规模与效率的平衡性，提高金融市场业务资金使用效率。</w:t>
      </w:r>
    </w:p>
    <w:p w14:paraId="572D778F" w14:textId="77777777" w:rsidR="006A79A3" w:rsidRPr="009E1E41" w:rsidRDefault="006A79A3" w:rsidP="006A79A3">
      <w:pPr>
        <w:spacing w:line="360" w:lineRule="auto"/>
        <w:ind w:firstLineChars="200" w:firstLine="562"/>
        <w:outlineLvl w:val="0"/>
        <w:rPr>
          <w:rFonts w:asciiTheme="minorEastAsia" w:hAnsiTheme="minorEastAsia" w:cs="Times New Roman"/>
          <w:b/>
          <w:bCs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color w:val="000000"/>
          <w:sz w:val="28"/>
          <w:szCs w:val="28"/>
        </w:rPr>
        <w:t>3</w:t>
      </w:r>
      <w:r w:rsidRPr="009E1E41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</w:rPr>
        <w:t>、贵行未来是否继续向异地扩张？</w:t>
      </w:r>
    </w:p>
    <w:p w14:paraId="065098AC" w14:textId="77777777" w:rsidR="006A79A3" w:rsidRPr="002B029C" w:rsidRDefault="006A79A3" w:rsidP="006A79A3">
      <w:pPr>
        <w:spacing w:line="360" w:lineRule="auto"/>
        <w:ind w:firstLineChars="200" w:firstLine="560"/>
        <w:outlineLvl w:val="0"/>
        <w:rPr>
          <w:rFonts w:asciiTheme="minorEastAsia" w:hAnsiTheme="minorEastAsia" w:cs="Times New Roman"/>
          <w:bCs/>
          <w:color w:val="000000"/>
          <w:sz w:val="28"/>
          <w:szCs w:val="28"/>
        </w:rPr>
      </w:pPr>
      <w:r w:rsidRPr="009E1E41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本行的主要经营区域位于无锡本地市场，本行在苏州、常州、南通设立了三个分行，在省内多地设立了分支机构，良好的经济基础为</w:t>
      </w:r>
      <w:r w:rsidRPr="009E1E41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lastRenderedPageBreak/>
        <w:t>本行的可持续发展提供了有力的支撑。在扎根无锡本地市场的同时，本行将依托原有的渠道网络，在服务好存量客户的基础上，挖掘潜在客户需求，以个人银行、公司业务和小微金融为三大抓手，精耕细作，做大做深。进一步拓展区域增长空间，积极把握融入长三角一体化、苏锡常一体化部署中的战略机遇，增大对普惠小微、绿色、科创领域、民营制造业的信贷支持力度，全力支持区域经济发展。</w:t>
      </w:r>
    </w:p>
    <w:p w14:paraId="5CFDAB4A" w14:textId="77777777" w:rsidR="006A79A3" w:rsidRPr="006A79A3" w:rsidRDefault="006A79A3" w:rsidP="007A1D60">
      <w:pPr>
        <w:pStyle w:val="a8"/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</w:p>
    <w:p w14:paraId="0AA1278D" w14:textId="77777777" w:rsidR="00610E6B" w:rsidRPr="00A43E7C" w:rsidRDefault="00610E6B" w:rsidP="009E1E41">
      <w:pPr>
        <w:pStyle w:val="a8"/>
        <w:spacing w:line="360" w:lineRule="auto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</w:p>
    <w:sectPr w:rsidR="00610E6B" w:rsidRPr="00A43E7C" w:rsidSect="00B65B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7B86" w14:textId="77777777" w:rsidR="00CD2586" w:rsidRDefault="00CD2586" w:rsidP="00DC453E">
      <w:r>
        <w:separator/>
      </w:r>
    </w:p>
  </w:endnote>
  <w:endnote w:type="continuationSeparator" w:id="0">
    <w:p w14:paraId="27F97322" w14:textId="77777777" w:rsidR="00CD2586" w:rsidRDefault="00CD2586" w:rsidP="00D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1266"/>
      <w:docPartObj>
        <w:docPartGallery w:val="Page Numbers (Bottom of Page)"/>
        <w:docPartUnique/>
      </w:docPartObj>
    </w:sdtPr>
    <w:sdtEndPr/>
    <w:sdtContent>
      <w:p w14:paraId="7244D59F" w14:textId="77777777" w:rsidR="00354DD9" w:rsidRDefault="00F04D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9A3" w:rsidRPr="006A79A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55C416EB" w14:textId="77777777" w:rsidR="00354DD9" w:rsidRDefault="00354D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14C0" w14:textId="77777777" w:rsidR="00CD2586" w:rsidRDefault="00CD2586" w:rsidP="00DC453E">
      <w:r>
        <w:separator/>
      </w:r>
    </w:p>
  </w:footnote>
  <w:footnote w:type="continuationSeparator" w:id="0">
    <w:p w14:paraId="19E1B2B2" w14:textId="77777777" w:rsidR="00CD2586" w:rsidRDefault="00CD2586" w:rsidP="00DC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24F0"/>
    <w:multiLevelType w:val="multilevel"/>
    <w:tmpl w:val="4E9324F0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59960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53E"/>
    <w:rsid w:val="00047FEB"/>
    <w:rsid w:val="000600FD"/>
    <w:rsid w:val="00066C4A"/>
    <w:rsid w:val="00090D4E"/>
    <w:rsid w:val="000B04E5"/>
    <w:rsid w:val="00163D98"/>
    <w:rsid w:val="001E784E"/>
    <w:rsid w:val="001F0458"/>
    <w:rsid w:val="00200D14"/>
    <w:rsid w:val="00205F44"/>
    <w:rsid w:val="0024477D"/>
    <w:rsid w:val="002B029C"/>
    <w:rsid w:val="002B09A5"/>
    <w:rsid w:val="002D5CF0"/>
    <w:rsid w:val="002E0DE9"/>
    <w:rsid w:val="002E2746"/>
    <w:rsid w:val="00332A86"/>
    <w:rsid w:val="00354DD9"/>
    <w:rsid w:val="003831C3"/>
    <w:rsid w:val="003D0575"/>
    <w:rsid w:val="00434891"/>
    <w:rsid w:val="004C15E8"/>
    <w:rsid w:val="00510348"/>
    <w:rsid w:val="005355EA"/>
    <w:rsid w:val="00540D49"/>
    <w:rsid w:val="005C6F72"/>
    <w:rsid w:val="005E57EB"/>
    <w:rsid w:val="00610E6B"/>
    <w:rsid w:val="006668E9"/>
    <w:rsid w:val="00684290"/>
    <w:rsid w:val="006A79A3"/>
    <w:rsid w:val="006D379C"/>
    <w:rsid w:val="00734C20"/>
    <w:rsid w:val="00746A22"/>
    <w:rsid w:val="007A1D60"/>
    <w:rsid w:val="007C6634"/>
    <w:rsid w:val="007C6B20"/>
    <w:rsid w:val="00821A7D"/>
    <w:rsid w:val="009078A1"/>
    <w:rsid w:val="009D1E9A"/>
    <w:rsid w:val="009E1E41"/>
    <w:rsid w:val="00A17D9D"/>
    <w:rsid w:val="00A350AE"/>
    <w:rsid w:val="00A37FD2"/>
    <w:rsid w:val="00A43E7C"/>
    <w:rsid w:val="00B65BD0"/>
    <w:rsid w:val="00B805C7"/>
    <w:rsid w:val="00BF160A"/>
    <w:rsid w:val="00C35473"/>
    <w:rsid w:val="00C76C40"/>
    <w:rsid w:val="00CD2586"/>
    <w:rsid w:val="00D10072"/>
    <w:rsid w:val="00DC453E"/>
    <w:rsid w:val="00ED5279"/>
    <w:rsid w:val="00F04D29"/>
    <w:rsid w:val="00FE609A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32C9"/>
  <w15:docId w15:val="{34E5EB98-9847-4BC5-9954-E0832A8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C4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53E"/>
    <w:rPr>
      <w:sz w:val="18"/>
      <w:szCs w:val="18"/>
    </w:rPr>
  </w:style>
  <w:style w:type="table" w:styleId="a7">
    <w:name w:val="Table Grid"/>
    <w:basedOn w:val="a1"/>
    <w:uiPriority w:val="59"/>
    <w:rsid w:val="00DC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05C7"/>
    <w:pPr>
      <w:ind w:firstLineChars="200" w:firstLine="420"/>
    </w:pPr>
    <w:rPr>
      <w:rFonts w:ascii="Times New Roman" w:eastAsia="楷体_GB2312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JUNHUA LI</cp:lastModifiedBy>
  <cp:revision>95</cp:revision>
  <dcterms:created xsi:type="dcterms:W3CDTF">2023-02-15T08:25:00Z</dcterms:created>
  <dcterms:modified xsi:type="dcterms:W3CDTF">2023-10-07T08:24:00Z</dcterms:modified>
</cp:coreProperties>
</file>