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66" w:rsidRDefault="00DC2966" w:rsidP="00DC2966">
      <w:pPr>
        <w:keepNext/>
        <w:keepLines/>
        <w:spacing w:before="260" w:after="260" w:line="360" w:lineRule="auto"/>
        <w:outlineLvl w:val="1"/>
        <w:rPr>
          <w:rFonts w:ascii="宋体" w:eastAsia="宋体" w:hAnsi="宋体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iCs/>
          <w:color w:val="000000" w:themeColor="text1"/>
          <w:sz w:val="24"/>
          <w:szCs w:val="24"/>
        </w:rPr>
        <w:t>证券代码：6</w:t>
      </w:r>
      <w:r>
        <w:rPr>
          <w:rFonts w:ascii="宋体" w:eastAsia="宋体" w:hAnsi="宋体" w:cs="Times New Roman"/>
          <w:b/>
          <w:bCs/>
          <w:iCs/>
          <w:color w:val="000000" w:themeColor="text1"/>
          <w:sz w:val="24"/>
          <w:szCs w:val="24"/>
        </w:rPr>
        <w:t>88535</w:t>
      </w:r>
      <w:r>
        <w:rPr>
          <w:rFonts w:ascii="宋体" w:eastAsia="宋体" w:hAnsi="宋体" w:cs="Times New Roman" w:hint="eastAsia"/>
          <w:b/>
          <w:bCs/>
          <w:iCs/>
          <w:color w:val="000000" w:themeColor="text1"/>
          <w:sz w:val="24"/>
          <w:szCs w:val="24"/>
        </w:rPr>
        <w:t xml:space="preserve">                                   证券简称：华海诚科</w:t>
      </w:r>
    </w:p>
    <w:p w:rsidR="00DC2966" w:rsidRDefault="00DC2966" w:rsidP="00DC2966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</w:pPr>
    </w:p>
    <w:p w:rsidR="00DC2966" w:rsidRDefault="00DC2966" w:rsidP="00DC2966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投资者关系活动记录表</w:t>
      </w:r>
    </w:p>
    <w:tbl>
      <w:tblPr>
        <w:tblW w:w="86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6946"/>
      </w:tblGrid>
      <w:tr w:rsidR="00DC2966" w:rsidTr="00173FBE">
        <w:tc>
          <w:tcPr>
            <w:tcW w:w="1731" w:type="dxa"/>
            <w:shd w:val="clear" w:color="auto" w:fill="auto"/>
            <w:vAlign w:val="center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 w:themeColor="text1"/>
                <w:sz w:val="24"/>
                <w:szCs w:val="24"/>
              </w:rPr>
              <w:t>投资者关系活动类别</w:t>
            </w:r>
          </w:p>
        </w:tc>
        <w:tc>
          <w:tcPr>
            <w:tcW w:w="6946" w:type="dxa"/>
            <w:shd w:val="clear" w:color="auto" w:fill="auto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特定对象调研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分析师会议</w:t>
            </w:r>
          </w:p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媒体采访    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业绩说明会</w:t>
            </w:r>
          </w:p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新闻发布会          </w:t>
            </w:r>
            <w:r>
              <w:rPr>
                <w:rFonts w:asciiTheme="minorEastAsia" w:hAnsiTheme="minorEastAsia" w:hint="eastAsia"/>
                <w:bCs/>
                <w:iCs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路演活动</w:t>
            </w:r>
          </w:p>
          <w:p w:rsidR="00DC2966" w:rsidRDefault="00DC2966" w:rsidP="00173FBE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iCs/>
                <w:color w:val="000000" w:themeColor="text1"/>
                <w:sz w:val="24"/>
                <w:szCs w:val="24"/>
              </w:rPr>
              <w:t>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现场参观 </w:t>
            </w: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iCs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电话会议</w:t>
            </w:r>
          </w:p>
          <w:p w:rsidR="00DC2966" w:rsidRDefault="00DC2966" w:rsidP="00173FBE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其他 （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DC2966" w:rsidTr="00173FBE">
        <w:tc>
          <w:tcPr>
            <w:tcW w:w="1731" w:type="dxa"/>
            <w:shd w:val="clear" w:color="auto" w:fill="auto"/>
            <w:vAlign w:val="center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 w:themeColor="text1"/>
                <w:sz w:val="24"/>
                <w:szCs w:val="24"/>
              </w:rPr>
              <w:t>参与单位名称及人员姓名</w:t>
            </w:r>
          </w:p>
        </w:tc>
        <w:tc>
          <w:tcPr>
            <w:tcW w:w="6946" w:type="dxa"/>
            <w:shd w:val="clear" w:color="auto" w:fill="auto"/>
          </w:tcPr>
          <w:p w:rsidR="00DC2966" w:rsidRDefault="00CD5A8B" w:rsidP="00EF35D7">
            <w:pPr>
              <w:spacing w:line="276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盛钧投资、申万宏源证券、玖鹏资产</w:t>
            </w:r>
          </w:p>
        </w:tc>
      </w:tr>
      <w:tr w:rsidR="00DC2966" w:rsidTr="00173FBE">
        <w:tc>
          <w:tcPr>
            <w:tcW w:w="1731" w:type="dxa"/>
            <w:shd w:val="clear" w:color="auto" w:fill="auto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 w:themeColor="text1"/>
                <w:sz w:val="24"/>
                <w:szCs w:val="24"/>
              </w:rPr>
              <w:t>会议时间</w:t>
            </w:r>
          </w:p>
        </w:tc>
        <w:tc>
          <w:tcPr>
            <w:tcW w:w="6946" w:type="dxa"/>
            <w:shd w:val="clear" w:color="auto" w:fill="auto"/>
          </w:tcPr>
          <w:p w:rsidR="00DC2966" w:rsidRDefault="00DC2966" w:rsidP="00CD5A8B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 xml:space="preserve">年 </w:t>
            </w:r>
            <w:r w:rsidR="00CD5A8B"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宋体" w:eastAsia="宋体" w:hAnsi="宋体" w:cs="Times New Roman" w:hint="eastAsia"/>
                <w:iCs/>
                <w:color w:val="000000" w:themeColor="text1"/>
                <w:sz w:val="24"/>
                <w:szCs w:val="24"/>
              </w:rPr>
              <w:t xml:space="preserve">月 </w:t>
            </w:r>
            <w:r w:rsidR="00CD5A8B">
              <w:rPr>
                <w:rFonts w:ascii="宋体" w:eastAsia="宋体" w:hAnsi="宋体" w:cs="Times New Roman"/>
                <w:iCs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宋体" w:eastAsia="宋体" w:hAnsi="宋体" w:cs="Times New Roman" w:hint="eastAsia"/>
                <w:iCs/>
                <w:color w:val="000000" w:themeColor="text1"/>
                <w:sz w:val="24"/>
                <w:szCs w:val="24"/>
              </w:rPr>
              <w:t>日1</w:t>
            </w:r>
            <w:r>
              <w:rPr>
                <w:rFonts w:ascii="宋体" w:eastAsia="宋体" w:hAnsi="宋体" w:cs="Times New Roman"/>
                <w:iCs/>
                <w:color w:val="000000" w:themeColor="text1"/>
                <w:sz w:val="24"/>
                <w:szCs w:val="24"/>
              </w:rPr>
              <w:t>3：</w:t>
            </w:r>
            <w:r>
              <w:rPr>
                <w:rFonts w:ascii="宋体" w:eastAsia="宋体" w:hAnsi="宋体" w:cs="Times New Roman" w:hint="eastAsia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iCs/>
                <w:color w:val="000000" w:themeColor="text1"/>
                <w:sz w:val="24"/>
                <w:szCs w:val="24"/>
              </w:rPr>
              <w:t>0-15：</w:t>
            </w:r>
            <w:r>
              <w:rPr>
                <w:rFonts w:ascii="宋体" w:eastAsia="宋体" w:hAnsi="宋体" w:cs="Times New Roman" w:hint="eastAsia"/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C2966" w:rsidTr="00173FBE">
        <w:tc>
          <w:tcPr>
            <w:tcW w:w="1731" w:type="dxa"/>
            <w:shd w:val="clear" w:color="auto" w:fill="auto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 w:themeColor="text1"/>
                <w:sz w:val="24"/>
                <w:szCs w:val="24"/>
              </w:rPr>
              <w:t>会议地点</w:t>
            </w:r>
          </w:p>
        </w:tc>
        <w:tc>
          <w:tcPr>
            <w:tcW w:w="6946" w:type="dxa"/>
            <w:shd w:val="clear" w:color="auto" w:fill="auto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现场</w:t>
            </w:r>
          </w:p>
        </w:tc>
      </w:tr>
      <w:tr w:rsidR="00DC2966" w:rsidTr="00173FBE">
        <w:tc>
          <w:tcPr>
            <w:tcW w:w="1731" w:type="dxa"/>
            <w:shd w:val="clear" w:color="auto" w:fill="auto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 w:themeColor="text1"/>
                <w:sz w:val="24"/>
                <w:szCs w:val="24"/>
              </w:rPr>
              <w:t>上市公司接待人员姓名</w:t>
            </w:r>
          </w:p>
        </w:tc>
        <w:tc>
          <w:tcPr>
            <w:tcW w:w="6946" w:type="dxa"/>
            <w:shd w:val="clear" w:color="auto" w:fill="auto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董事会秘书：董东峰</w:t>
            </w:r>
          </w:p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证券事务代表：钱云</w:t>
            </w:r>
          </w:p>
        </w:tc>
      </w:tr>
      <w:tr w:rsidR="00DC2966" w:rsidTr="00173FBE">
        <w:trPr>
          <w:trHeight w:val="1125"/>
        </w:trPr>
        <w:tc>
          <w:tcPr>
            <w:tcW w:w="1731" w:type="dxa"/>
            <w:shd w:val="clear" w:color="auto" w:fill="auto"/>
            <w:vAlign w:val="center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 w:themeColor="text1"/>
                <w:sz w:val="24"/>
                <w:szCs w:val="24"/>
              </w:rPr>
              <w:t>投资者关系活动主要内容介绍</w:t>
            </w:r>
          </w:p>
        </w:tc>
        <w:tc>
          <w:tcPr>
            <w:tcW w:w="6946" w:type="dxa"/>
            <w:shd w:val="clear" w:color="auto" w:fill="auto"/>
          </w:tcPr>
          <w:p w:rsidR="005E5CE7" w:rsidRPr="005E5CE7" w:rsidRDefault="002B29A4" w:rsidP="005E5CE7">
            <w:pPr>
              <w:spacing w:line="36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问题一：</w:t>
            </w:r>
            <w:r w:rsidR="005E5CE7">
              <w:rPr>
                <w:rFonts w:hint="eastAsia"/>
                <w:color w:val="000000" w:themeColor="text1"/>
                <w:sz w:val="24"/>
              </w:rPr>
              <w:t>现</w:t>
            </w:r>
            <w:r w:rsidR="005E5CE7" w:rsidRPr="005E5CE7">
              <w:rPr>
                <w:rFonts w:hint="eastAsia"/>
                <w:color w:val="000000" w:themeColor="text1"/>
                <w:sz w:val="24"/>
              </w:rPr>
              <w:t>高端产品主要以日企为主，</w:t>
            </w:r>
            <w:r w:rsidR="005E5CE7">
              <w:rPr>
                <w:rFonts w:hint="eastAsia"/>
                <w:color w:val="000000" w:themeColor="text1"/>
                <w:sz w:val="24"/>
              </w:rPr>
              <w:t>请问贵司在国产化</w:t>
            </w:r>
            <w:r w:rsidR="005E5CE7" w:rsidRPr="005E5CE7">
              <w:rPr>
                <w:rFonts w:hint="eastAsia"/>
                <w:color w:val="000000" w:themeColor="text1"/>
                <w:sz w:val="24"/>
              </w:rPr>
              <w:t>替代</w:t>
            </w:r>
            <w:r w:rsidR="005E5CE7">
              <w:rPr>
                <w:rFonts w:hint="eastAsia"/>
                <w:color w:val="000000" w:themeColor="text1"/>
                <w:sz w:val="24"/>
              </w:rPr>
              <w:t>方面做了怎样的努力？</w:t>
            </w:r>
          </w:p>
          <w:p w:rsidR="002E56DC" w:rsidRDefault="0078522C" w:rsidP="009A3E7F">
            <w:pPr>
              <w:spacing w:line="360" w:lineRule="auto"/>
              <w:rPr>
                <w:sz w:val="24"/>
              </w:rPr>
            </w:pPr>
            <w:r w:rsidRPr="00202597">
              <w:rPr>
                <w:rFonts w:hint="eastAsia"/>
                <w:sz w:val="24"/>
              </w:rPr>
              <w:t>回复：</w:t>
            </w:r>
            <w:r w:rsidR="005E5CE7" w:rsidRPr="005E5CE7">
              <w:rPr>
                <w:rFonts w:hint="eastAsia"/>
                <w:color w:val="000000" w:themeColor="text1"/>
                <w:sz w:val="24"/>
              </w:rPr>
              <w:t>如招股书中所说，在高性能环氧塑封料领域</w:t>
            </w:r>
            <w:r w:rsidR="005E5CE7">
              <w:rPr>
                <w:rFonts w:hint="eastAsia"/>
                <w:color w:val="000000" w:themeColor="text1"/>
                <w:sz w:val="24"/>
              </w:rPr>
              <w:t>，</w:t>
            </w:r>
            <w:r w:rsidR="005E5CE7" w:rsidRPr="005E5CE7">
              <w:rPr>
                <w:rFonts w:hint="eastAsia"/>
                <w:color w:val="000000" w:themeColor="text1"/>
                <w:sz w:val="24"/>
              </w:rPr>
              <w:t>国内市场的主要份额被日企占据，国内仅少数公司可实现批量供货。公司在高性能环氧模塑料的收入已占全部收入的超过</w:t>
            </w:r>
            <w:r w:rsidR="005E5CE7" w:rsidRPr="005E5CE7">
              <w:rPr>
                <w:rFonts w:hint="eastAsia"/>
                <w:color w:val="000000" w:themeColor="text1"/>
                <w:sz w:val="24"/>
              </w:rPr>
              <w:t>50%</w:t>
            </w:r>
            <w:r w:rsidR="005E5CE7" w:rsidRPr="005E5CE7">
              <w:rPr>
                <w:rFonts w:hint="eastAsia"/>
                <w:color w:val="000000" w:themeColor="text1"/>
                <w:sz w:val="24"/>
              </w:rPr>
              <w:t>。正在逐步实现国产替代。</w:t>
            </w:r>
          </w:p>
          <w:p w:rsidR="002B29A4" w:rsidRDefault="002B29A4" w:rsidP="009A3E7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问题二：请问</w:t>
            </w: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MC</w:t>
            </w:r>
            <w:r>
              <w:rPr>
                <w:sz w:val="24"/>
              </w:rPr>
              <w:t>和</w:t>
            </w: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MC</w:t>
            </w:r>
            <w:r>
              <w:rPr>
                <w:sz w:val="24"/>
              </w:rPr>
              <w:t>有什么区别？</w:t>
            </w:r>
          </w:p>
          <w:p w:rsidR="002B29A4" w:rsidRDefault="002B29A4" w:rsidP="005E5CE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回复：</w:t>
            </w:r>
            <w:r w:rsidR="005E5CE7">
              <w:rPr>
                <w:rFonts w:hint="eastAsia"/>
                <w:sz w:val="24"/>
              </w:rPr>
              <w:t>L</w:t>
            </w:r>
            <w:r w:rsidR="005E5CE7">
              <w:rPr>
                <w:sz w:val="24"/>
              </w:rPr>
              <w:t>MC</w:t>
            </w:r>
            <w:r w:rsidR="005E5CE7">
              <w:rPr>
                <w:sz w:val="24"/>
              </w:rPr>
              <w:t>是指</w:t>
            </w:r>
            <w:r w:rsidR="005E5CE7" w:rsidRPr="005E5CE7">
              <w:rPr>
                <w:rFonts w:hint="eastAsia"/>
                <w:sz w:val="24"/>
              </w:rPr>
              <w:t>液态塑封材料</w:t>
            </w:r>
            <w:r w:rsidR="005E5CE7">
              <w:rPr>
                <w:rFonts w:hint="eastAsia"/>
                <w:sz w:val="24"/>
              </w:rPr>
              <w:t>，</w:t>
            </w:r>
            <w:r w:rsidR="005E5CE7" w:rsidRPr="005E5CE7">
              <w:rPr>
                <w:rFonts w:hint="eastAsia"/>
                <w:sz w:val="24"/>
              </w:rPr>
              <w:t xml:space="preserve">LMC </w:t>
            </w:r>
            <w:r w:rsidR="005E5CE7" w:rsidRPr="005E5CE7">
              <w:rPr>
                <w:rFonts w:hint="eastAsia"/>
                <w:sz w:val="24"/>
              </w:rPr>
              <w:t>是通过将液态树脂挤压到产品中央，在塑封机温度和压力的作用下增强液态树脂的流动性，从而填充满整个晶圆。</w:t>
            </w:r>
            <w:r w:rsidR="005E5CE7" w:rsidRPr="005E5CE7">
              <w:rPr>
                <w:rFonts w:hint="eastAsia"/>
                <w:sz w:val="24"/>
              </w:rPr>
              <w:t xml:space="preserve">LMC </w:t>
            </w:r>
            <w:r w:rsidR="005E5CE7" w:rsidRPr="005E5CE7">
              <w:rPr>
                <w:rFonts w:hint="eastAsia"/>
                <w:sz w:val="24"/>
              </w:rPr>
              <w:t>具备可中低温固化、低翘曲、模塑过程无粉尘、低吸水率以及高可靠性等优点，是目前应用于晶圆级封装的相对成熟的塑封材料</w:t>
            </w:r>
            <w:r w:rsidR="005E5CE7">
              <w:rPr>
                <w:rFonts w:hint="eastAsia"/>
                <w:sz w:val="24"/>
              </w:rPr>
              <w:t>；</w:t>
            </w:r>
            <w:r w:rsidR="005E5CE7">
              <w:rPr>
                <w:rFonts w:hint="eastAsia"/>
                <w:sz w:val="24"/>
              </w:rPr>
              <w:t>G</w:t>
            </w:r>
            <w:r w:rsidR="005E5CE7">
              <w:rPr>
                <w:sz w:val="24"/>
              </w:rPr>
              <w:t>MC</w:t>
            </w:r>
            <w:r w:rsidR="005E5CE7">
              <w:rPr>
                <w:sz w:val="24"/>
              </w:rPr>
              <w:t>是指</w:t>
            </w:r>
            <w:r w:rsidR="005E5CE7" w:rsidRPr="005E5CE7">
              <w:rPr>
                <w:rFonts w:hint="eastAsia"/>
                <w:sz w:val="24"/>
              </w:rPr>
              <w:t>颗粒状</w:t>
            </w:r>
            <w:r w:rsidR="005E5CE7">
              <w:rPr>
                <w:rFonts w:hint="eastAsia"/>
                <w:sz w:val="24"/>
              </w:rPr>
              <w:t>环氧塑封材料，</w:t>
            </w:r>
            <w:r w:rsidR="005E5CE7" w:rsidRPr="005E5CE7">
              <w:rPr>
                <w:rFonts w:hint="eastAsia"/>
                <w:sz w:val="24"/>
              </w:rPr>
              <w:t>颗粒状环氧塑封料在塑封过程采用均匀撒粉的方式，在预热后变为</w:t>
            </w:r>
            <w:r w:rsidR="005E5CE7" w:rsidRPr="005E5CE7">
              <w:rPr>
                <w:rFonts w:hint="eastAsia"/>
                <w:sz w:val="24"/>
              </w:rPr>
              <w:lastRenderedPageBreak/>
              <w:t>液态，将带有芯片的承载板浸入到树脂中而成型，凭借操作简单、工时较短、成本较低等优势，</w:t>
            </w:r>
            <w:r w:rsidR="005E5CE7" w:rsidRPr="005E5CE7">
              <w:rPr>
                <w:rFonts w:hint="eastAsia"/>
                <w:sz w:val="24"/>
              </w:rPr>
              <w:t xml:space="preserve">GMC </w:t>
            </w:r>
            <w:r w:rsidR="005E5CE7" w:rsidRPr="005E5CE7">
              <w:rPr>
                <w:rFonts w:hint="eastAsia"/>
                <w:sz w:val="24"/>
              </w:rPr>
              <w:t>有望发展成为主要的晶圆级封装塑封材料之一，市场发展前景良好</w:t>
            </w:r>
          </w:p>
          <w:p w:rsidR="002B29A4" w:rsidRDefault="002B29A4" w:rsidP="009A3E7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问题三：倘若同行业竞争对手拿到贵司生产配方，是否会对贵司产生不利影响？</w:t>
            </w:r>
          </w:p>
          <w:p w:rsidR="002B29A4" w:rsidRDefault="002B29A4" w:rsidP="002B29A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回复：</w:t>
            </w:r>
            <w:r>
              <w:rPr>
                <w:rFonts w:hint="eastAsia"/>
                <w:sz w:val="24"/>
              </w:rPr>
              <w:t>配方不仅仅是简单的调配混合，还需</w:t>
            </w:r>
            <w:r w:rsidRPr="002B29A4">
              <w:rPr>
                <w:rFonts w:hint="eastAsia"/>
                <w:sz w:val="24"/>
              </w:rPr>
              <w:t>配合</w:t>
            </w:r>
            <w:r>
              <w:rPr>
                <w:rFonts w:hint="eastAsia"/>
                <w:sz w:val="24"/>
              </w:rPr>
              <w:t>相应的</w:t>
            </w:r>
            <w:r w:rsidRPr="002B29A4">
              <w:rPr>
                <w:rFonts w:hint="eastAsia"/>
                <w:sz w:val="24"/>
              </w:rPr>
              <w:t>生产工艺</w:t>
            </w:r>
            <w:r>
              <w:rPr>
                <w:rFonts w:hint="eastAsia"/>
                <w:sz w:val="24"/>
              </w:rPr>
              <w:t>以及</w:t>
            </w:r>
            <w:r w:rsidRPr="002B29A4">
              <w:rPr>
                <w:rFonts w:hint="eastAsia"/>
                <w:sz w:val="24"/>
              </w:rPr>
              <w:t>设备</w:t>
            </w:r>
            <w:r>
              <w:rPr>
                <w:rFonts w:hint="eastAsia"/>
                <w:sz w:val="24"/>
              </w:rPr>
              <w:t>等进行操作</w:t>
            </w:r>
            <w:r w:rsidRPr="002B29A4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且每一</w:t>
            </w:r>
            <w:r w:rsidRPr="002B29A4">
              <w:rPr>
                <w:rFonts w:hint="eastAsia"/>
                <w:sz w:val="24"/>
              </w:rPr>
              <w:t>环节</w:t>
            </w:r>
            <w:r>
              <w:rPr>
                <w:rFonts w:hint="eastAsia"/>
                <w:sz w:val="24"/>
              </w:rPr>
              <w:t>要求的时间和</w:t>
            </w:r>
            <w:r w:rsidRPr="002B29A4">
              <w:rPr>
                <w:rFonts w:hint="eastAsia"/>
                <w:sz w:val="24"/>
              </w:rPr>
              <w:t>生产</w:t>
            </w:r>
            <w:r>
              <w:rPr>
                <w:rFonts w:hint="eastAsia"/>
                <w:sz w:val="24"/>
              </w:rPr>
              <w:t>流水</w:t>
            </w:r>
            <w:r w:rsidRPr="002B29A4">
              <w:rPr>
                <w:rFonts w:hint="eastAsia"/>
                <w:sz w:val="24"/>
              </w:rPr>
              <w:t>线等细节</w:t>
            </w:r>
            <w:r>
              <w:rPr>
                <w:rFonts w:hint="eastAsia"/>
                <w:sz w:val="24"/>
              </w:rPr>
              <w:t>都</w:t>
            </w:r>
            <w:r w:rsidRPr="002B29A4">
              <w:rPr>
                <w:rFonts w:hint="eastAsia"/>
                <w:sz w:val="24"/>
              </w:rPr>
              <w:t>需要关注，光凭配方并不能</w:t>
            </w:r>
            <w:r>
              <w:rPr>
                <w:rFonts w:hint="eastAsia"/>
                <w:sz w:val="24"/>
              </w:rPr>
              <w:t>实现</w:t>
            </w:r>
            <w:r w:rsidRPr="002B29A4">
              <w:rPr>
                <w:rFonts w:hint="eastAsia"/>
                <w:sz w:val="24"/>
              </w:rPr>
              <w:t>完全替代</w:t>
            </w:r>
          </w:p>
          <w:p w:rsidR="005E5CE7" w:rsidRDefault="005E5CE7" w:rsidP="002B29A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问题四：请问贵司订单周期？</w:t>
            </w:r>
          </w:p>
          <w:p w:rsidR="005E5CE7" w:rsidRDefault="005E5CE7" w:rsidP="00653A4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回复：</w:t>
            </w:r>
            <w:r w:rsidR="00653A40">
              <w:rPr>
                <w:sz w:val="24"/>
              </w:rPr>
              <w:t>大多数订单周期在</w:t>
            </w:r>
            <w:r w:rsidR="00653A40" w:rsidRPr="00653A40">
              <w:rPr>
                <w:rFonts w:hint="eastAsia"/>
                <w:sz w:val="24"/>
              </w:rPr>
              <w:t>一个月</w:t>
            </w:r>
            <w:r w:rsidR="00653A40">
              <w:rPr>
                <w:rFonts w:hint="eastAsia"/>
                <w:sz w:val="24"/>
              </w:rPr>
              <w:t>至两个月。订单</w:t>
            </w:r>
            <w:r w:rsidR="00653A40" w:rsidRPr="00653A40">
              <w:rPr>
                <w:rFonts w:hint="eastAsia"/>
                <w:sz w:val="24"/>
              </w:rPr>
              <w:t>有季节性特点，</w:t>
            </w:r>
            <w:r w:rsidR="00653A40">
              <w:rPr>
                <w:rFonts w:hint="eastAsia"/>
                <w:sz w:val="24"/>
              </w:rPr>
              <w:t>根据整体</w:t>
            </w:r>
            <w:r w:rsidR="00653A40" w:rsidRPr="00653A40">
              <w:rPr>
                <w:rFonts w:hint="eastAsia"/>
                <w:sz w:val="24"/>
              </w:rPr>
              <w:t>行业特性</w:t>
            </w:r>
            <w:r w:rsidR="00653A40">
              <w:rPr>
                <w:rFonts w:hint="eastAsia"/>
                <w:sz w:val="24"/>
              </w:rPr>
              <w:t>，</w:t>
            </w:r>
            <w:r w:rsidR="00653A40" w:rsidRPr="00653A40">
              <w:rPr>
                <w:rFonts w:hint="eastAsia"/>
                <w:sz w:val="24"/>
              </w:rPr>
              <w:t>四季度最好</w:t>
            </w:r>
            <w:r w:rsidR="00653A40">
              <w:rPr>
                <w:rFonts w:hint="eastAsia"/>
                <w:sz w:val="24"/>
              </w:rPr>
              <w:t>。</w:t>
            </w:r>
          </w:p>
          <w:p w:rsidR="00653A40" w:rsidRDefault="00653A40" w:rsidP="00653A4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问题五：</w:t>
            </w:r>
            <w:r w:rsidR="00FF376F">
              <w:rPr>
                <w:rFonts w:hint="eastAsia"/>
                <w:sz w:val="24"/>
              </w:rPr>
              <w:t>请问公司的材料等是否应用光模块生产中，先进封装等</w:t>
            </w:r>
            <w:r w:rsidR="00FF376F">
              <w:rPr>
                <w:rFonts w:hint="eastAsia"/>
                <w:sz w:val="24"/>
              </w:rPr>
              <w:t>?</w:t>
            </w:r>
          </w:p>
          <w:p w:rsidR="00FF376F" w:rsidRDefault="00FF376F" w:rsidP="00FF37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回复：</w:t>
            </w:r>
            <w:r w:rsidRPr="00FF376F">
              <w:rPr>
                <w:rFonts w:hint="eastAsia"/>
                <w:sz w:val="24"/>
              </w:rPr>
              <w:t>光模块</w:t>
            </w:r>
            <w:r w:rsidRPr="00FF376F">
              <w:rPr>
                <w:rFonts w:hint="eastAsia"/>
                <w:sz w:val="24"/>
              </w:rPr>
              <w:t>(optical module)</w:t>
            </w:r>
            <w:r w:rsidRPr="00FF376F">
              <w:rPr>
                <w:rFonts w:hint="eastAsia"/>
                <w:sz w:val="24"/>
              </w:rPr>
              <w:t>是光纤通信系统的核心器件之一。其涉及的封装材料及封装形式较为多样。目前公司还没有与该领域的公司有直接业务往来。</w:t>
            </w:r>
          </w:p>
          <w:p w:rsidR="00FF376F" w:rsidRDefault="00FF376F" w:rsidP="00FF376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问题</w:t>
            </w:r>
            <w:r w:rsidR="00F96F52">
              <w:rPr>
                <w:rFonts w:hint="eastAsia"/>
                <w:sz w:val="24"/>
              </w:rPr>
              <w:t>六</w:t>
            </w:r>
            <w:r>
              <w:rPr>
                <w:sz w:val="24"/>
              </w:rPr>
              <w:t>：公司主要客户包括哪些？</w:t>
            </w:r>
          </w:p>
          <w:p w:rsidR="00FF376F" w:rsidRPr="00FF376F" w:rsidRDefault="00FF376F" w:rsidP="00FF376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回复：</w:t>
            </w:r>
            <w:r w:rsidRPr="00FF376F">
              <w:rPr>
                <w:rFonts w:hint="eastAsia"/>
                <w:sz w:val="24"/>
              </w:rPr>
              <w:t>长电科技、华天科技、气派科技、银河微电</w:t>
            </w:r>
            <w:r>
              <w:rPr>
                <w:rFonts w:hint="eastAsia"/>
                <w:sz w:val="24"/>
              </w:rPr>
              <w:t>、扬杰科技等</w:t>
            </w:r>
            <w:r w:rsidR="00442F31">
              <w:rPr>
                <w:rFonts w:hint="eastAsia"/>
                <w:sz w:val="24"/>
              </w:rPr>
              <w:t>。</w:t>
            </w:r>
            <w:bookmarkStart w:id="0" w:name="_GoBack"/>
            <w:bookmarkEnd w:id="0"/>
          </w:p>
        </w:tc>
      </w:tr>
      <w:tr w:rsidR="00DC2966" w:rsidTr="00173FBE">
        <w:tc>
          <w:tcPr>
            <w:tcW w:w="1731" w:type="dxa"/>
            <w:shd w:val="clear" w:color="auto" w:fill="auto"/>
            <w:vAlign w:val="center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946" w:type="dxa"/>
            <w:shd w:val="clear" w:color="auto" w:fill="auto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无</w:t>
            </w:r>
          </w:p>
        </w:tc>
      </w:tr>
      <w:tr w:rsidR="00DC2966" w:rsidTr="00173FBE">
        <w:tc>
          <w:tcPr>
            <w:tcW w:w="1731" w:type="dxa"/>
            <w:shd w:val="clear" w:color="auto" w:fill="auto"/>
            <w:vAlign w:val="center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C2966" w:rsidRDefault="00DC2966" w:rsidP="00DD78E1">
            <w:pPr>
              <w:spacing w:line="360" w:lineRule="auto"/>
              <w:rPr>
                <w:rFonts w:ascii="宋体" w:eastAsia="宋体" w:hAnsi="宋体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年</w:t>
            </w:r>
            <w:r w:rsidR="00DD78E1"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宋体" w:eastAsia="宋体" w:hAnsi="宋体" w:cs="Times New Roman" w:hint="eastAsia"/>
                <w:iCs/>
                <w:color w:val="000000" w:themeColor="text1"/>
                <w:sz w:val="24"/>
                <w:szCs w:val="24"/>
              </w:rPr>
              <w:t xml:space="preserve">月 </w:t>
            </w:r>
            <w:r w:rsidR="00DD78E1">
              <w:rPr>
                <w:rFonts w:ascii="宋体" w:eastAsia="宋体" w:hAnsi="宋体" w:cs="Times New Roman"/>
                <w:iCs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宋体" w:eastAsia="宋体" w:hAnsi="宋体" w:cs="Times New Roman" w:hint="eastAsia"/>
                <w:iCs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DC2966" w:rsidRDefault="00DC2966" w:rsidP="00DC2966">
      <w:pPr>
        <w:keepNext/>
        <w:keepLines/>
        <w:spacing w:before="260" w:after="260" w:line="360" w:lineRule="auto"/>
        <w:outlineLvl w:val="1"/>
        <w:rPr>
          <w:color w:val="000000" w:themeColor="text1"/>
        </w:rPr>
      </w:pPr>
    </w:p>
    <w:p w:rsidR="001B443E" w:rsidRPr="00DC2966" w:rsidRDefault="001B443E" w:rsidP="00DC2966"/>
    <w:sectPr w:rsidR="001B443E" w:rsidRPr="00DC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8AE" w:rsidRDefault="00CC38AE" w:rsidP="00C81FD8">
      <w:r>
        <w:separator/>
      </w:r>
    </w:p>
  </w:endnote>
  <w:endnote w:type="continuationSeparator" w:id="0">
    <w:p w:rsidR="00CC38AE" w:rsidRDefault="00CC38AE" w:rsidP="00C8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8AE" w:rsidRDefault="00CC38AE" w:rsidP="00C81FD8">
      <w:r>
        <w:separator/>
      </w:r>
    </w:p>
  </w:footnote>
  <w:footnote w:type="continuationSeparator" w:id="0">
    <w:p w:rsidR="00CC38AE" w:rsidRDefault="00CC38AE" w:rsidP="00C8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E4"/>
    <w:rsid w:val="00072983"/>
    <w:rsid w:val="00092858"/>
    <w:rsid w:val="000A344F"/>
    <w:rsid w:val="000A493D"/>
    <w:rsid w:val="00141650"/>
    <w:rsid w:val="001B443E"/>
    <w:rsid w:val="001D4281"/>
    <w:rsid w:val="001D5CCC"/>
    <w:rsid w:val="00202597"/>
    <w:rsid w:val="00264BAF"/>
    <w:rsid w:val="00273235"/>
    <w:rsid w:val="00280149"/>
    <w:rsid w:val="002B29A4"/>
    <w:rsid w:val="002E56DC"/>
    <w:rsid w:val="003003F9"/>
    <w:rsid w:val="003D6CD4"/>
    <w:rsid w:val="00442F31"/>
    <w:rsid w:val="004B18EF"/>
    <w:rsid w:val="005001FB"/>
    <w:rsid w:val="00511633"/>
    <w:rsid w:val="00521377"/>
    <w:rsid w:val="00557BE4"/>
    <w:rsid w:val="00586E5B"/>
    <w:rsid w:val="005A7510"/>
    <w:rsid w:val="005B01B6"/>
    <w:rsid w:val="005E5CE7"/>
    <w:rsid w:val="005F1905"/>
    <w:rsid w:val="00614358"/>
    <w:rsid w:val="00653A40"/>
    <w:rsid w:val="006C71FD"/>
    <w:rsid w:val="00725082"/>
    <w:rsid w:val="007423FB"/>
    <w:rsid w:val="0078522C"/>
    <w:rsid w:val="00785800"/>
    <w:rsid w:val="00786364"/>
    <w:rsid w:val="00800A99"/>
    <w:rsid w:val="00812CBD"/>
    <w:rsid w:val="00824411"/>
    <w:rsid w:val="0082747D"/>
    <w:rsid w:val="00827EDE"/>
    <w:rsid w:val="00851B42"/>
    <w:rsid w:val="00950349"/>
    <w:rsid w:val="009A3E7F"/>
    <w:rsid w:val="009C6442"/>
    <w:rsid w:val="009E3981"/>
    <w:rsid w:val="00A213D8"/>
    <w:rsid w:val="00A744F3"/>
    <w:rsid w:val="00A833B5"/>
    <w:rsid w:val="00A83FBE"/>
    <w:rsid w:val="00A84B13"/>
    <w:rsid w:val="00A9341A"/>
    <w:rsid w:val="00AD6B4F"/>
    <w:rsid w:val="00AE049C"/>
    <w:rsid w:val="00AF382E"/>
    <w:rsid w:val="00B06CB1"/>
    <w:rsid w:val="00C51481"/>
    <w:rsid w:val="00C665E7"/>
    <w:rsid w:val="00C667F8"/>
    <w:rsid w:val="00C81FD8"/>
    <w:rsid w:val="00CC38AE"/>
    <w:rsid w:val="00CD5A8B"/>
    <w:rsid w:val="00D0577C"/>
    <w:rsid w:val="00D12149"/>
    <w:rsid w:val="00D152DE"/>
    <w:rsid w:val="00D22202"/>
    <w:rsid w:val="00D55519"/>
    <w:rsid w:val="00DC26BE"/>
    <w:rsid w:val="00DC2966"/>
    <w:rsid w:val="00DD78E1"/>
    <w:rsid w:val="00ED3E9E"/>
    <w:rsid w:val="00EE6368"/>
    <w:rsid w:val="00EF35D7"/>
    <w:rsid w:val="00F45912"/>
    <w:rsid w:val="00F77E72"/>
    <w:rsid w:val="00F96F52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76645-D6F6-4AA8-8C31-D09BA8A2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8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1F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1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1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2023-10-07T07:50:00Z</dcterms:created>
  <dcterms:modified xsi:type="dcterms:W3CDTF">2023-10-16T03:17:00Z</dcterms:modified>
</cp:coreProperties>
</file>