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B97267" w:rsidRDefault="009F30B6" w:rsidP="00583780">
      <w:pPr>
        <w:pStyle w:val="a7"/>
        <w:tabs>
          <w:tab w:val="left" w:pos="6015"/>
        </w:tabs>
        <w:spacing w:before="161" w:line="360" w:lineRule="auto"/>
        <w:rPr>
          <w:rFonts w:ascii="Times New Roman" w:hAnsi="Times New Roman" w:cs="Times New Roman"/>
          <w:lang w:eastAsia="zh-CN"/>
        </w:rPr>
      </w:pPr>
      <w:r w:rsidRPr="00B97267">
        <w:rPr>
          <w:rFonts w:ascii="Times New Roman" w:hAnsi="Times New Roman" w:cs="Times New Roman"/>
          <w:lang w:eastAsia="zh-CN"/>
        </w:rPr>
        <w:t>证券代码：</w:t>
      </w:r>
      <w:r w:rsidRPr="00B97267">
        <w:rPr>
          <w:rFonts w:ascii="Times New Roman" w:hAnsi="Times New Roman" w:cs="Times New Roman"/>
          <w:lang w:eastAsia="zh-CN"/>
        </w:rPr>
        <w:t>688182</w:t>
      </w:r>
      <w:r w:rsidRPr="00B97267">
        <w:rPr>
          <w:rFonts w:ascii="Times New Roman" w:hAnsi="Times New Roman" w:cs="Times New Roman"/>
          <w:lang w:eastAsia="zh-CN"/>
        </w:rPr>
        <w:tab/>
      </w:r>
      <w:r w:rsidRPr="00B97267">
        <w:rPr>
          <w:rFonts w:ascii="Times New Roman" w:hAnsi="Times New Roman" w:cs="Times New Roman"/>
          <w:lang w:eastAsia="zh-CN"/>
        </w:rPr>
        <w:t>证券简称：灿勤科技</w:t>
      </w:r>
    </w:p>
    <w:p w14:paraId="47D1B718"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江苏灿勤科技股份有限公司</w:t>
      </w:r>
    </w:p>
    <w:p w14:paraId="5369EC95"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投资者关系活动记录表</w:t>
      </w:r>
    </w:p>
    <w:p w14:paraId="21A5FA4E" w14:textId="43D6650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w:t>
      </w:r>
      <w:r w:rsidR="00176116" w:rsidRPr="00B97267">
        <w:rPr>
          <w:rFonts w:ascii="Times New Roman" w:hAnsi="Times New Roman" w:cs="Times New Roman"/>
          <w:b/>
          <w:lang w:eastAsia="zh-CN"/>
        </w:rPr>
        <w:t>2023</w:t>
      </w:r>
      <w:r w:rsidR="00176116" w:rsidRPr="00B97267">
        <w:rPr>
          <w:rFonts w:ascii="Times New Roman" w:hAnsi="Times New Roman" w:cs="Times New Roman"/>
          <w:b/>
          <w:lang w:eastAsia="zh-CN"/>
        </w:rPr>
        <w:t>年</w:t>
      </w:r>
      <w:r w:rsidR="00176116">
        <w:rPr>
          <w:rFonts w:ascii="Times New Roman" w:hAnsi="Times New Roman" w:cs="Times New Roman"/>
          <w:b/>
          <w:lang w:eastAsia="zh-CN"/>
        </w:rPr>
        <w:t>10</w:t>
      </w:r>
      <w:r w:rsidR="00176116" w:rsidRPr="00B97267">
        <w:rPr>
          <w:rFonts w:ascii="Times New Roman" w:hAnsi="Times New Roman" w:cs="Times New Roman"/>
          <w:b/>
          <w:lang w:eastAsia="zh-CN"/>
        </w:rPr>
        <w:t>月</w:t>
      </w:r>
      <w:r w:rsidR="00176116">
        <w:rPr>
          <w:rFonts w:ascii="Times New Roman" w:hAnsi="Times New Roman" w:cs="Times New Roman"/>
          <w:b/>
          <w:lang w:eastAsia="zh-CN"/>
        </w:rPr>
        <w:t>18</w:t>
      </w:r>
      <w:r w:rsidR="00F16BEF" w:rsidRPr="00B97267">
        <w:rPr>
          <w:rFonts w:ascii="Times New Roman" w:hAnsi="Times New Roman" w:cs="Times New Roman"/>
          <w:b/>
          <w:lang w:eastAsia="zh-CN"/>
        </w:rPr>
        <w:t>日</w:t>
      </w:r>
      <w:r w:rsidR="00F103FF">
        <w:rPr>
          <w:rFonts w:ascii="Times New Roman" w:hAnsi="Times New Roman" w:cs="Times New Roman" w:hint="eastAsia"/>
          <w:b/>
          <w:lang w:eastAsia="zh-CN"/>
        </w:rPr>
        <w:t>-</w:t>
      </w:r>
      <w:r w:rsidR="00176116">
        <w:rPr>
          <w:rFonts w:ascii="Times New Roman" w:hAnsi="Times New Roman" w:cs="Times New Roman"/>
          <w:b/>
          <w:lang w:eastAsia="zh-CN"/>
        </w:rPr>
        <w:t>20</w:t>
      </w:r>
      <w:r w:rsidR="00F103FF">
        <w:rPr>
          <w:rFonts w:ascii="Times New Roman" w:hAnsi="Times New Roman" w:cs="Times New Roman" w:hint="eastAsia"/>
          <w:b/>
          <w:lang w:eastAsia="zh-CN"/>
        </w:rPr>
        <w:t>日</w:t>
      </w:r>
      <w:r w:rsidRPr="00B97267">
        <w:rPr>
          <w:rFonts w:ascii="Times New Roman" w:hAnsi="Times New Roman" w:cs="Times New Roman"/>
          <w:b/>
          <w:lang w:eastAsia="zh-CN"/>
        </w:rPr>
        <w:t>）</w:t>
      </w:r>
    </w:p>
    <w:p w14:paraId="77804492" w14:textId="12EEA373" w:rsidR="009F30B6" w:rsidRPr="00B97267" w:rsidRDefault="009F30B6" w:rsidP="00583780">
      <w:pPr>
        <w:pStyle w:val="a7"/>
        <w:spacing w:before="161" w:after="14"/>
        <w:ind w:right="66"/>
        <w:jc w:val="right"/>
        <w:rPr>
          <w:rFonts w:ascii="Times New Roman" w:hAnsi="Times New Roman" w:cs="Times New Roman"/>
          <w:lang w:eastAsia="zh-CN"/>
        </w:rPr>
      </w:pPr>
      <w:r w:rsidRPr="00B97267">
        <w:rPr>
          <w:rFonts w:ascii="Times New Roman" w:hAnsi="Times New Roman" w:cs="Times New Roman"/>
          <w:lang w:eastAsia="zh-CN"/>
        </w:rPr>
        <w:t>编号：</w:t>
      </w:r>
      <w:r w:rsidRPr="00B97267">
        <w:rPr>
          <w:rFonts w:ascii="Times New Roman" w:hAnsi="Times New Roman" w:cs="Times New Roman"/>
          <w:lang w:eastAsia="zh-CN"/>
        </w:rPr>
        <w:t>2023-</w:t>
      </w:r>
      <w:r w:rsidR="00F103FF" w:rsidRPr="00B97267">
        <w:rPr>
          <w:rFonts w:ascii="Times New Roman" w:hAnsi="Times New Roman" w:cs="Times New Roman"/>
          <w:lang w:eastAsia="zh-CN"/>
        </w:rPr>
        <w:t>0</w:t>
      </w:r>
      <w:r w:rsidR="00F103FF">
        <w:rPr>
          <w:rFonts w:ascii="Times New Roman" w:hAnsi="Times New Roman" w:cs="Times New Roman"/>
          <w:lang w:eastAsia="zh-CN"/>
        </w:rPr>
        <w:t>1</w:t>
      </w:r>
      <w:r w:rsidR="00176116">
        <w:rPr>
          <w:rFonts w:ascii="Times New Roman" w:hAnsi="Times New Roman" w:cs="Times New Roman"/>
          <w:lang w:eastAsia="zh-CN"/>
        </w:rPr>
        <w:t>4</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97267" w14:paraId="79E5607A" w14:textId="77777777" w:rsidTr="0095645D">
        <w:trPr>
          <w:trHeight w:val="549"/>
        </w:trPr>
        <w:tc>
          <w:tcPr>
            <w:tcW w:w="2014" w:type="dxa"/>
            <w:tcBorders>
              <w:bottom w:val="nil"/>
            </w:tcBorders>
          </w:tcPr>
          <w:p w14:paraId="0ED384C3" w14:textId="77777777" w:rsidR="009F30B6" w:rsidRPr="00B9726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7777777" w:rsidR="009F30B6" w:rsidRPr="00B97267" w:rsidRDefault="009F30B6" w:rsidP="00CF4B0A">
            <w:pPr>
              <w:pStyle w:val="TableParagraph"/>
              <w:tabs>
                <w:tab w:val="left" w:pos="2748"/>
              </w:tabs>
              <w:spacing w:before="170"/>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Pr="00B97267">
              <w:rPr>
                <w:rFonts w:ascii="Times New Roman" w:hAnsi="Times New Roman" w:cs="Times New Roman"/>
                <w:sz w:val="24"/>
                <w:lang w:eastAsia="zh-CN"/>
              </w:rPr>
              <w:t>特定对象调研</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分析师会议</w:t>
            </w:r>
          </w:p>
        </w:tc>
      </w:tr>
      <w:tr w:rsidR="009F30B6" w:rsidRPr="00B97267" w14:paraId="75BCDF4C" w14:textId="77777777" w:rsidTr="0095645D">
        <w:trPr>
          <w:trHeight w:val="474"/>
        </w:trPr>
        <w:tc>
          <w:tcPr>
            <w:tcW w:w="2014" w:type="dxa"/>
            <w:tcBorders>
              <w:top w:val="nil"/>
              <w:bottom w:val="nil"/>
            </w:tcBorders>
            <w:vAlign w:val="center"/>
          </w:tcPr>
          <w:p w14:paraId="6FB31317" w14:textId="77777777" w:rsidR="009F30B6" w:rsidRPr="00B97267" w:rsidRDefault="009F30B6" w:rsidP="0095645D">
            <w:pPr>
              <w:pStyle w:val="TableParagraph"/>
              <w:spacing w:before="26"/>
              <w:jc w:val="center"/>
              <w:rPr>
                <w:rFonts w:ascii="Times New Roman" w:hAnsi="Times New Roman" w:cs="Times New Roman"/>
                <w:sz w:val="24"/>
              </w:rPr>
            </w:pPr>
            <w:r w:rsidRPr="00B97267">
              <w:rPr>
                <w:rFonts w:ascii="Times New Roman" w:hAnsi="Times New Roman" w:cs="Times New Roman"/>
                <w:sz w:val="24"/>
              </w:rPr>
              <w:t>投资者关系活</w:t>
            </w:r>
          </w:p>
        </w:tc>
        <w:tc>
          <w:tcPr>
            <w:tcW w:w="6917" w:type="dxa"/>
            <w:tcBorders>
              <w:top w:val="nil"/>
              <w:bottom w:val="nil"/>
            </w:tcBorders>
          </w:tcPr>
          <w:p w14:paraId="43F0536A" w14:textId="77777777" w:rsidR="009F30B6" w:rsidRPr="00B97267" w:rsidRDefault="009F30B6" w:rsidP="00CF4B0A">
            <w:pPr>
              <w:pStyle w:val="TableParagraph"/>
              <w:tabs>
                <w:tab w:val="left" w:pos="2748"/>
              </w:tabs>
              <w:spacing w:before="100"/>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媒体采访</w:t>
            </w:r>
            <w:r w:rsidRPr="00B97267">
              <w:rPr>
                <w:rFonts w:ascii="Times New Roman" w:hAnsi="Times New Roman" w:cs="Times New Roman"/>
                <w:sz w:val="24"/>
                <w:lang w:eastAsia="zh-CN"/>
              </w:rPr>
              <w:tab/>
            </w:r>
            <w:r w:rsidR="000A0435" w:rsidRPr="00B97267">
              <w:rPr>
                <w:rFonts w:ascii="Times New Roman" w:hAnsi="Times New Roman" w:cs="Times New Roman"/>
                <w:sz w:val="24"/>
                <w:lang w:eastAsia="zh-CN"/>
              </w:rPr>
              <w:t>□</w:t>
            </w:r>
            <w:r w:rsidRPr="00B97267">
              <w:rPr>
                <w:rFonts w:ascii="Times New Roman" w:hAnsi="Times New Roman" w:cs="Times New Roman"/>
                <w:sz w:val="24"/>
                <w:lang w:eastAsia="zh-CN"/>
              </w:rPr>
              <w:t>业绩说明会</w:t>
            </w:r>
          </w:p>
        </w:tc>
      </w:tr>
      <w:tr w:rsidR="009F30B6" w:rsidRPr="00B97267" w14:paraId="10BD4964" w14:textId="77777777" w:rsidTr="0095645D">
        <w:trPr>
          <w:trHeight w:val="523"/>
        </w:trPr>
        <w:tc>
          <w:tcPr>
            <w:tcW w:w="2014" w:type="dxa"/>
            <w:tcBorders>
              <w:top w:val="nil"/>
              <w:bottom w:val="nil"/>
            </w:tcBorders>
            <w:vAlign w:val="center"/>
          </w:tcPr>
          <w:p w14:paraId="69CF65FC" w14:textId="77777777" w:rsidR="009F30B6" w:rsidRPr="00B97267" w:rsidRDefault="009F30B6" w:rsidP="0095645D">
            <w:pPr>
              <w:pStyle w:val="TableParagraph"/>
              <w:spacing w:before="20"/>
              <w:jc w:val="center"/>
              <w:rPr>
                <w:rFonts w:ascii="Times New Roman" w:hAnsi="Times New Roman" w:cs="Times New Roman"/>
                <w:sz w:val="24"/>
              </w:rPr>
            </w:pPr>
            <w:r w:rsidRPr="00B97267">
              <w:rPr>
                <w:rFonts w:ascii="Times New Roman" w:hAnsi="Times New Roman" w:cs="Times New Roman"/>
                <w:sz w:val="24"/>
              </w:rPr>
              <w:t>动类别</w:t>
            </w:r>
          </w:p>
        </w:tc>
        <w:tc>
          <w:tcPr>
            <w:tcW w:w="6917" w:type="dxa"/>
            <w:tcBorders>
              <w:top w:val="nil"/>
              <w:bottom w:val="nil"/>
            </w:tcBorders>
          </w:tcPr>
          <w:p w14:paraId="54886CA8" w14:textId="77777777" w:rsidR="009F30B6" w:rsidRPr="00B97267" w:rsidRDefault="009F30B6" w:rsidP="00CF4B0A">
            <w:pPr>
              <w:pStyle w:val="TableParagraph"/>
              <w:tabs>
                <w:tab w:val="left" w:pos="2748"/>
              </w:tabs>
              <w:spacing w:before="106"/>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新闻发布会</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路演活动</w:t>
            </w:r>
          </w:p>
        </w:tc>
      </w:tr>
      <w:tr w:rsidR="009F30B6" w:rsidRPr="00B97267" w14:paraId="36DA0399" w14:textId="77777777" w:rsidTr="0095645D">
        <w:trPr>
          <w:trHeight w:val="480"/>
        </w:trPr>
        <w:tc>
          <w:tcPr>
            <w:tcW w:w="2014" w:type="dxa"/>
            <w:tcBorders>
              <w:top w:val="nil"/>
              <w:bottom w:val="nil"/>
            </w:tcBorders>
            <w:vAlign w:val="center"/>
          </w:tcPr>
          <w:p w14:paraId="48B54B6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97267" w:rsidRDefault="00D049AF" w:rsidP="00694ED6">
            <w:pPr>
              <w:pStyle w:val="TableParagraph"/>
              <w:spacing w:before="63"/>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现场参观</w:t>
            </w:r>
          </w:p>
        </w:tc>
      </w:tr>
      <w:tr w:rsidR="009F30B6" w:rsidRPr="00B97267" w14:paraId="48D2775A" w14:textId="77777777" w:rsidTr="0095645D">
        <w:trPr>
          <w:trHeight w:val="372"/>
        </w:trPr>
        <w:tc>
          <w:tcPr>
            <w:tcW w:w="2014" w:type="dxa"/>
            <w:tcBorders>
              <w:top w:val="nil"/>
            </w:tcBorders>
            <w:vAlign w:val="center"/>
          </w:tcPr>
          <w:p w14:paraId="64C8D0E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14B6E75D" w:rsidR="009F30B6" w:rsidRPr="00B97267" w:rsidRDefault="00597F3B" w:rsidP="00597F3B">
            <w:pPr>
              <w:pStyle w:val="TableParagraph"/>
              <w:spacing w:before="63" w:line="289" w:lineRule="exact"/>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009F30B6" w:rsidRPr="00B97267">
              <w:rPr>
                <w:rFonts w:ascii="Times New Roman" w:hAnsi="Times New Roman" w:cs="Times New Roman"/>
                <w:sz w:val="24"/>
                <w:lang w:eastAsia="zh-CN"/>
              </w:rPr>
              <w:t>其他</w:t>
            </w:r>
            <w:r>
              <w:rPr>
                <w:rFonts w:ascii="Times New Roman" w:hAnsi="Times New Roman" w:cs="Times New Roman" w:hint="eastAsia"/>
                <w:sz w:val="24"/>
                <w:lang w:eastAsia="zh-CN"/>
              </w:rPr>
              <w:t>（线上会议、券商策略会）</w:t>
            </w:r>
          </w:p>
        </w:tc>
      </w:tr>
      <w:tr w:rsidR="009F30B6" w:rsidRPr="00B97267" w14:paraId="4BAD64FD" w14:textId="77777777" w:rsidTr="0049745A">
        <w:trPr>
          <w:trHeight w:val="935"/>
        </w:trPr>
        <w:tc>
          <w:tcPr>
            <w:tcW w:w="2014" w:type="dxa"/>
            <w:vAlign w:val="center"/>
          </w:tcPr>
          <w:p w14:paraId="4D398F3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参与单位名称</w:t>
            </w:r>
          </w:p>
          <w:p w14:paraId="3437EA74"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及人员姓名</w:t>
            </w:r>
          </w:p>
        </w:tc>
        <w:tc>
          <w:tcPr>
            <w:tcW w:w="6917" w:type="dxa"/>
            <w:vAlign w:val="center"/>
          </w:tcPr>
          <w:p w14:paraId="602A23D4" w14:textId="5631C1C2" w:rsidR="009F30B6" w:rsidRPr="00A7719D" w:rsidRDefault="003212CB" w:rsidP="00694ED6">
            <w:pPr>
              <w:pStyle w:val="TableParagraph"/>
              <w:ind w:left="0"/>
              <w:jc w:val="both"/>
              <w:rPr>
                <w:rFonts w:ascii="Times New Roman" w:hAnsi="Times New Roman" w:cs="Times New Roman"/>
                <w:sz w:val="24"/>
                <w:szCs w:val="24"/>
                <w:lang w:eastAsia="zh-CN"/>
              </w:rPr>
            </w:pPr>
            <w:r w:rsidRPr="003212CB">
              <w:rPr>
                <w:rFonts w:hint="eastAsia"/>
                <w:sz w:val="24"/>
                <w:szCs w:val="24"/>
                <w:lang w:eastAsia="zh-CN"/>
              </w:rPr>
              <w:t>民生证券、</w:t>
            </w:r>
            <w:r w:rsidR="00B8094D" w:rsidRPr="003212CB">
              <w:rPr>
                <w:rFonts w:hint="eastAsia"/>
                <w:color w:val="000000" w:themeColor="text1"/>
                <w:sz w:val="24"/>
                <w:szCs w:val="24"/>
                <w:lang w:eastAsia="zh-CN"/>
              </w:rPr>
              <w:t>兴证全球基金、中银基金、</w:t>
            </w:r>
            <w:r w:rsidR="0010263E">
              <w:rPr>
                <w:rFonts w:hint="eastAsia"/>
                <w:color w:val="000000" w:themeColor="text1"/>
                <w:sz w:val="24"/>
                <w:szCs w:val="24"/>
                <w:lang w:eastAsia="zh-CN"/>
              </w:rPr>
              <w:t>汇添富基金、</w:t>
            </w:r>
            <w:r w:rsidRPr="003212CB">
              <w:rPr>
                <w:rFonts w:hint="eastAsia"/>
                <w:sz w:val="24"/>
                <w:szCs w:val="24"/>
                <w:lang w:eastAsia="zh-CN"/>
              </w:rPr>
              <w:t>长城基金</w:t>
            </w:r>
            <w:r>
              <w:rPr>
                <w:rFonts w:hint="eastAsia"/>
                <w:color w:val="000000" w:themeColor="text1"/>
                <w:sz w:val="24"/>
                <w:szCs w:val="24"/>
                <w:lang w:eastAsia="zh-CN"/>
              </w:rPr>
              <w:t>、</w:t>
            </w:r>
            <w:r w:rsidRPr="003212CB">
              <w:rPr>
                <w:rFonts w:hint="eastAsia"/>
                <w:color w:val="000000" w:themeColor="text1"/>
                <w:sz w:val="24"/>
                <w:szCs w:val="24"/>
                <w:lang w:eastAsia="zh-CN"/>
              </w:rPr>
              <w:t>交银施罗德基金</w:t>
            </w:r>
            <w:r>
              <w:rPr>
                <w:rFonts w:hint="eastAsia"/>
                <w:color w:val="000000" w:themeColor="text1"/>
                <w:sz w:val="24"/>
                <w:szCs w:val="24"/>
                <w:lang w:eastAsia="zh-CN"/>
              </w:rPr>
              <w:t>、</w:t>
            </w:r>
            <w:r w:rsidR="00B8094D" w:rsidRPr="003212CB">
              <w:rPr>
                <w:rFonts w:hint="eastAsia"/>
                <w:color w:val="000000" w:themeColor="text1"/>
                <w:sz w:val="24"/>
                <w:szCs w:val="24"/>
                <w:lang w:eastAsia="zh-CN"/>
              </w:rPr>
              <w:t>长盛基金、信达澳亚基金</w:t>
            </w:r>
            <w:r w:rsidR="0010263E" w:rsidRPr="003212CB">
              <w:rPr>
                <w:rFonts w:hint="eastAsia"/>
                <w:color w:val="000000" w:themeColor="text1"/>
                <w:sz w:val="24"/>
                <w:szCs w:val="24"/>
                <w:lang w:eastAsia="zh-CN"/>
              </w:rPr>
              <w:t>、农银汇理基金</w:t>
            </w:r>
            <w:r w:rsidR="00B8094D">
              <w:rPr>
                <w:rFonts w:hint="eastAsia"/>
                <w:color w:val="000000" w:themeColor="text1"/>
                <w:sz w:val="24"/>
                <w:szCs w:val="24"/>
                <w:lang w:eastAsia="zh-CN"/>
              </w:rPr>
              <w:t>、</w:t>
            </w:r>
            <w:r w:rsidR="0010263E">
              <w:rPr>
                <w:rFonts w:hint="eastAsia"/>
                <w:color w:val="000000" w:themeColor="text1"/>
                <w:sz w:val="24"/>
                <w:szCs w:val="24"/>
                <w:lang w:eastAsia="zh-CN"/>
              </w:rPr>
              <w:t>易方达基金、申万菱信基金、中欧基金、光大保德信基金、华安基金、</w:t>
            </w:r>
            <w:r w:rsidR="00B8094D" w:rsidRPr="003212CB">
              <w:rPr>
                <w:rFonts w:hint="eastAsia"/>
                <w:color w:val="000000" w:themeColor="text1"/>
                <w:sz w:val="24"/>
                <w:szCs w:val="24"/>
                <w:lang w:eastAsia="zh-CN"/>
              </w:rPr>
              <w:t>招商基金、诺安基金、</w:t>
            </w:r>
            <w:r w:rsidRPr="003212CB">
              <w:rPr>
                <w:rFonts w:hint="eastAsia"/>
                <w:color w:val="000000" w:themeColor="text1"/>
                <w:sz w:val="24"/>
                <w:szCs w:val="24"/>
                <w:lang w:eastAsia="zh-CN"/>
              </w:rPr>
              <w:t>泰康资产、</w:t>
            </w:r>
            <w:r w:rsidR="00FA2D9F" w:rsidRPr="003212CB">
              <w:rPr>
                <w:rFonts w:hint="eastAsia"/>
                <w:color w:val="000000" w:themeColor="text1"/>
                <w:sz w:val="24"/>
                <w:szCs w:val="24"/>
                <w:lang w:eastAsia="zh-CN"/>
              </w:rPr>
              <w:t>惠升基金、</w:t>
            </w:r>
            <w:r w:rsidR="00B8094D" w:rsidRPr="003212CB">
              <w:rPr>
                <w:rFonts w:hint="eastAsia"/>
                <w:color w:val="000000" w:themeColor="text1"/>
                <w:sz w:val="24"/>
                <w:szCs w:val="24"/>
                <w:lang w:eastAsia="zh-CN"/>
              </w:rPr>
              <w:t>博时基金、鹏华基金、</w:t>
            </w:r>
            <w:r w:rsidRPr="003212CB">
              <w:rPr>
                <w:rFonts w:hint="eastAsia"/>
                <w:color w:val="000000" w:themeColor="text1"/>
                <w:sz w:val="24"/>
                <w:szCs w:val="24"/>
                <w:lang w:eastAsia="zh-CN"/>
              </w:rPr>
              <w:t>长信基金、</w:t>
            </w:r>
            <w:r w:rsidR="0010263E">
              <w:rPr>
                <w:rFonts w:hint="eastAsia"/>
                <w:color w:val="000000" w:themeColor="text1"/>
                <w:sz w:val="24"/>
                <w:szCs w:val="24"/>
                <w:lang w:eastAsia="zh-CN"/>
              </w:rPr>
              <w:t>国泰基金、</w:t>
            </w:r>
            <w:r w:rsidRPr="003212CB">
              <w:rPr>
                <w:rFonts w:hint="eastAsia"/>
                <w:color w:val="000000" w:themeColor="text1"/>
                <w:sz w:val="24"/>
                <w:szCs w:val="24"/>
                <w:lang w:eastAsia="zh-CN"/>
              </w:rPr>
              <w:t>国联基金、诺德基金、永赢基金</w:t>
            </w:r>
            <w:r w:rsidR="00B8094D">
              <w:rPr>
                <w:rFonts w:hint="eastAsia"/>
                <w:color w:val="000000" w:themeColor="text1"/>
                <w:sz w:val="24"/>
                <w:szCs w:val="24"/>
                <w:lang w:eastAsia="zh-CN"/>
              </w:rPr>
              <w:t>、</w:t>
            </w:r>
            <w:r w:rsidRPr="003212CB">
              <w:rPr>
                <w:rFonts w:hint="eastAsia"/>
                <w:color w:val="000000" w:themeColor="text1"/>
                <w:sz w:val="24"/>
                <w:szCs w:val="24"/>
                <w:lang w:eastAsia="zh-CN"/>
              </w:rPr>
              <w:t>青骊管理、西部利得基金、彤源发展、百年保险、天弘基金、华泰柏瑞基金、</w:t>
            </w:r>
            <w:r w:rsidR="0010263E">
              <w:rPr>
                <w:rFonts w:hint="eastAsia"/>
                <w:color w:val="000000" w:themeColor="text1"/>
                <w:sz w:val="24"/>
                <w:szCs w:val="24"/>
                <w:lang w:eastAsia="zh-CN"/>
              </w:rPr>
              <w:t>华泰保兴基金、</w:t>
            </w:r>
            <w:r w:rsidRPr="003212CB">
              <w:rPr>
                <w:rFonts w:hint="eastAsia"/>
                <w:color w:val="000000" w:themeColor="text1"/>
                <w:sz w:val="24"/>
                <w:szCs w:val="24"/>
                <w:lang w:eastAsia="zh-CN"/>
              </w:rPr>
              <w:t>盘京投资、人保公募、国寿安保基金</w:t>
            </w:r>
            <w:r w:rsidR="00B8094D">
              <w:rPr>
                <w:rFonts w:hint="eastAsia"/>
                <w:color w:val="000000" w:themeColor="text1"/>
                <w:sz w:val="24"/>
                <w:szCs w:val="24"/>
                <w:lang w:eastAsia="zh-CN"/>
              </w:rPr>
              <w:t>、</w:t>
            </w:r>
            <w:r w:rsidRPr="003212CB">
              <w:rPr>
                <w:rFonts w:hint="eastAsia"/>
                <w:color w:val="000000" w:themeColor="text1"/>
                <w:sz w:val="24"/>
                <w:szCs w:val="24"/>
                <w:lang w:eastAsia="zh-CN"/>
              </w:rPr>
              <w:t>恒越基金</w:t>
            </w:r>
            <w:r w:rsidR="00DE7982">
              <w:rPr>
                <w:rFonts w:hint="eastAsia"/>
                <w:color w:val="000000" w:themeColor="text1"/>
                <w:sz w:val="24"/>
                <w:szCs w:val="24"/>
                <w:lang w:eastAsia="zh-CN"/>
              </w:rPr>
              <w:t>、</w:t>
            </w:r>
            <w:r w:rsidR="0010263E">
              <w:rPr>
                <w:rFonts w:hint="eastAsia"/>
                <w:color w:val="000000" w:themeColor="text1"/>
                <w:sz w:val="24"/>
                <w:szCs w:val="24"/>
                <w:lang w:eastAsia="zh-CN"/>
              </w:rPr>
              <w:t>长安基金、国投瑞银基金、中邮基金、创金合信基金、趣时资产、鑫元基金、鸿德基金、众安在线保险、财通资管、混沌投资、</w:t>
            </w:r>
            <w:r w:rsidR="00694ED6">
              <w:rPr>
                <w:rFonts w:hint="eastAsia"/>
                <w:color w:val="000000" w:themeColor="text1"/>
                <w:sz w:val="24"/>
                <w:szCs w:val="24"/>
                <w:lang w:eastAsia="zh-CN"/>
              </w:rPr>
              <w:t>泽</w:t>
            </w:r>
            <w:r w:rsidR="00DE7982">
              <w:rPr>
                <w:rFonts w:hint="eastAsia"/>
                <w:color w:val="000000" w:themeColor="text1"/>
                <w:sz w:val="24"/>
                <w:szCs w:val="24"/>
                <w:lang w:eastAsia="zh-CN"/>
              </w:rPr>
              <w:t>彬投资</w:t>
            </w:r>
            <w:r w:rsidR="00B8094D">
              <w:rPr>
                <w:rFonts w:hint="eastAsia"/>
                <w:color w:val="000000" w:themeColor="text1"/>
                <w:sz w:val="24"/>
                <w:szCs w:val="24"/>
                <w:lang w:eastAsia="zh-CN"/>
              </w:rPr>
              <w:t>等投资机构</w:t>
            </w:r>
          </w:p>
        </w:tc>
        <w:bookmarkStart w:id="0" w:name="_GoBack"/>
        <w:bookmarkEnd w:id="0"/>
      </w:tr>
      <w:tr w:rsidR="009F30B6" w:rsidRPr="00B97267" w14:paraId="5D5B49D6" w14:textId="77777777" w:rsidTr="0095645D">
        <w:trPr>
          <w:trHeight w:val="479"/>
        </w:trPr>
        <w:tc>
          <w:tcPr>
            <w:tcW w:w="2014" w:type="dxa"/>
            <w:vAlign w:val="center"/>
          </w:tcPr>
          <w:p w14:paraId="56082A1B"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时间</w:t>
            </w:r>
          </w:p>
        </w:tc>
        <w:tc>
          <w:tcPr>
            <w:tcW w:w="6917" w:type="dxa"/>
            <w:vAlign w:val="center"/>
          </w:tcPr>
          <w:p w14:paraId="124432BD" w14:textId="46CB4BA8" w:rsidR="009F30B6" w:rsidRPr="00B97267" w:rsidRDefault="00176116" w:rsidP="003212CB">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Pr>
                <w:rFonts w:ascii="Times New Roman" w:hAnsi="Times New Roman" w:cs="Times New Roman"/>
                <w:sz w:val="24"/>
                <w:lang w:eastAsia="zh-CN"/>
              </w:rPr>
              <w:t>10</w:t>
            </w:r>
            <w:r w:rsidRPr="00B97267">
              <w:rPr>
                <w:rFonts w:ascii="Times New Roman" w:hAnsi="Times New Roman" w:cs="Times New Roman"/>
                <w:sz w:val="24"/>
                <w:lang w:eastAsia="zh-CN"/>
              </w:rPr>
              <w:t>月</w:t>
            </w:r>
            <w:r>
              <w:rPr>
                <w:rFonts w:ascii="Times New Roman" w:hAnsi="Times New Roman" w:cs="Times New Roman"/>
                <w:sz w:val="24"/>
                <w:lang w:eastAsia="zh-CN"/>
              </w:rPr>
              <w:t>18</w:t>
            </w:r>
            <w:r w:rsidR="00F16BEF" w:rsidRPr="00B97267">
              <w:rPr>
                <w:rFonts w:ascii="Times New Roman" w:hAnsi="Times New Roman" w:cs="Times New Roman"/>
                <w:sz w:val="24"/>
                <w:lang w:eastAsia="zh-CN"/>
              </w:rPr>
              <w:t>日</w:t>
            </w:r>
            <w:r w:rsidR="00F103FF">
              <w:rPr>
                <w:rFonts w:ascii="Times New Roman" w:hAnsi="Times New Roman" w:cs="Times New Roman" w:hint="eastAsia"/>
                <w:sz w:val="24"/>
                <w:lang w:eastAsia="zh-CN"/>
              </w:rPr>
              <w:t>-</w:t>
            </w:r>
            <w:r>
              <w:rPr>
                <w:rFonts w:ascii="Times New Roman" w:hAnsi="Times New Roman" w:cs="Times New Roman"/>
                <w:sz w:val="24"/>
                <w:lang w:eastAsia="zh-CN"/>
              </w:rPr>
              <w:t>2023</w:t>
            </w:r>
            <w:r>
              <w:rPr>
                <w:rFonts w:ascii="Times New Roman" w:hAnsi="Times New Roman" w:cs="Times New Roman" w:hint="eastAsia"/>
                <w:sz w:val="24"/>
                <w:lang w:eastAsia="zh-CN"/>
              </w:rPr>
              <w:t>年</w:t>
            </w:r>
            <w:r>
              <w:rPr>
                <w:rFonts w:ascii="Times New Roman" w:hAnsi="Times New Roman" w:cs="Times New Roman" w:hint="eastAsia"/>
                <w:sz w:val="24"/>
                <w:lang w:eastAsia="zh-CN"/>
              </w:rPr>
              <w:t>1</w:t>
            </w:r>
            <w:r>
              <w:rPr>
                <w:rFonts w:ascii="Times New Roman" w:hAnsi="Times New Roman" w:cs="Times New Roman"/>
                <w:sz w:val="24"/>
                <w:lang w:eastAsia="zh-CN"/>
              </w:rPr>
              <w:t>0</w:t>
            </w:r>
            <w:r>
              <w:rPr>
                <w:rFonts w:ascii="Times New Roman" w:hAnsi="Times New Roman" w:cs="Times New Roman" w:hint="eastAsia"/>
                <w:sz w:val="24"/>
                <w:lang w:eastAsia="zh-CN"/>
              </w:rPr>
              <w:t>月</w:t>
            </w:r>
            <w:r>
              <w:rPr>
                <w:rFonts w:ascii="Times New Roman" w:hAnsi="Times New Roman" w:cs="Times New Roman"/>
                <w:sz w:val="24"/>
                <w:lang w:eastAsia="zh-CN"/>
              </w:rPr>
              <w:t>20</w:t>
            </w:r>
            <w:r w:rsidR="00F103FF">
              <w:rPr>
                <w:rFonts w:ascii="Times New Roman" w:hAnsi="Times New Roman" w:cs="Times New Roman" w:hint="eastAsia"/>
                <w:sz w:val="24"/>
                <w:lang w:eastAsia="zh-CN"/>
              </w:rPr>
              <w:t>日</w:t>
            </w:r>
          </w:p>
        </w:tc>
      </w:tr>
      <w:tr w:rsidR="009F30B6" w:rsidRPr="00B97267" w14:paraId="22A8F9D6" w14:textId="77777777" w:rsidTr="0095645D">
        <w:trPr>
          <w:trHeight w:val="479"/>
        </w:trPr>
        <w:tc>
          <w:tcPr>
            <w:tcW w:w="2014" w:type="dxa"/>
            <w:vAlign w:val="center"/>
          </w:tcPr>
          <w:p w14:paraId="122C7408"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地点</w:t>
            </w:r>
          </w:p>
        </w:tc>
        <w:tc>
          <w:tcPr>
            <w:tcW w:w="6917" w:type="dxa"/>
            <w:vAlign w:val="center"/>
          </w:tcPr>
          <w:p w14:paraId="4887C59A" w14:textId="77777777" w:rsidR="009F30B6" w:rsidRDefault="00176116"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苏州阳澄半岛英迪格酒店</w:t>
            </w:r>
          </w:p>
          <w:p w14:paraId="6FA65316" w14:textId="77777777" w:rsidR="00BE5F3B" w:rsidRDefault="00BE5F3B"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w:t>
            </w:r>
          </w:p>
          <w:p w14:paraId="4E6C0FDA" w14:textId="3CF818FB" w:rsidR="00BE5F3B" w:rsidRPr="00B97267" w:rsidRDefault="00BE5F3B"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线上会议</w:t>
            </w:r>
          </w:p>
        </w:tc>
      </w:tr>
      <w:tr w:rsidR="009F30B6" w:rsidRPr="00B97267" w14:paraId="6A7994D4" w14:textId="77777777" w:rsidTr="00864FA3">
        <w:trPr>
          <w:trHeight w:val="894"/>
        </w:trPr>
        <w:tc>
          <w:tcPr>
            <w:tcW w:w="2014" w:type="dxa"/>
            <w:vAlign w:val="center"/>
          </w:tcPr>
          <w:p w14:paraId="47853FD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上市公司接待</w:t>
            </w:r>
          </w:p>
          <w:p w14:paraId="5DEEDE51"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人员姓名</w:t>
            </w:r>
          </w:p>
        </w:tc>
        <w:tc>
          <w:tcPr>
            <w:tcW w:w="6917" w:type="dxa"/>
            <w:vAlign w:val="center"/>
          </w:tcPr>
          <w:p w14:paraId="07707A7D" w14:textId="77777777" w:rsidR="0048246B" w:rsidRDefault="00645CFF" w:rsidP="00CF4B0A">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董事、</w:t>
            </w:r>
            <w:r w:rsidR="009F30B6" w:rsidRPr="00B97267">
              <w:rPr>
                <w:rFonts w:ascii="Times New Roman" w:hAnsi="Times New Roman" w:cs="Times New Roman"/>
                <w:sz w:val="24"/>
                <w:lang w:eastAsia="zh-CN"/>
              </w:rPr>
              <w:t>董事会秘书：陈晨</w:t>
            </w:r>
            <w:r w:rsidR="00147B55" w:rsidRPr="00B97267">
              <w:rPr>
                <w:rFonts w:ascii="Times New Roman" w:hAnsi="Times New Roman" w:cs="Times New Roman"/>
                <w:sz w:val="24"/>
                <w:lang w:eastAsia="zh-CN"/>
              </w:rPr>
              <w:t>女士</w:t>
            </w:r>
          </w:p>
          <w:p w14:paraId="32A47718" w14:textId="0943E83F" w:rsidR="00FA2D9F" w:rsidRPr="00B97267" w:rsidRDefault="00FA2D9F"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w:t>
            </w:r>
          </w:p>
        </w:tc>
      </w:tr>
      <w:tr w:rsidR="009F30B6" w:rsidRPr="00B97267" w14:paraId="67647894" w14:textId="77777777" w:rsidTr="007D20D4">
        <w:trPr>
          <w:trHeight w:val="983"/>
        </w:trPr>
        <w:tc>
          <w:tcPr>
            <w:tcW w:w="2014" w:type="dxa"/>
            <w:vAlign w:val="center"/>
          </w:tcPr>
          <w:p w14:paraId="554F834C" w14:textId="77777777" w:rsidR="009F30B6" w:rsidRPr="00B97267"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97267" w:rsidRDefault="009F30B6" w:rsidP="0095645D">
            <w:pPr>
              <w:pStyle w:val="TableParagraph"/>
              <w:spacing w:before="338" w:line="364" w:lineRule="auto"/>
              <w:ind w:right="98"/>
              <w:jc w:val="center"/>
              <w:rPr>
                <w:rFonts w:ascii="Times New Roman" w:hAnsi="Times New Roman" w:cs="Times New Roman"/>
                <w:sz w:val="24"/>
                <w:lang w:eastAsia="zh-CN"/>
              </w:rPr>
            </w:pPr>
            <w:r w:rsidRPr="00B97267">
              <w:rPr>
                <w:rFonts w:ascii="Times New Roman" w:hAnsi="Times New Roman" w:cs="Times New Roman"/>
                <w:sz w:val="24"/>
                <w:lang w:eastAsia="zh-CN"/>
              </w:rPr>
              <w:t>投资者关系活动主要内容介绍</w:t>
            </w:r>
          </w:p>
        </w:tc>
        <w:tc>
          <w:tcPr>
            <w:tcW w:w="6917" w:type="dxa"/>
          </w:tcPr>
          <w:p w14:paraId="7AA2F47A"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第一部分：告知保密义务</w:t>
            </w:r>
          </w:p>
          <w:p w14:paraId="5889E9AD" w14:textId="77777777" w:rsidR="00A22CB1" w:rsidRPr="0080095D" w:rsidRDefault="00A22CB1" w:rsidP="00041044">
            <w:pPr>
              <w:pStyle w:val="TableParagraph"/>
              <w:ind w:left="108"/>
              <w:jc w:val="both"/>
              <w:rPr>
                <w:rFonts w:ascii="Times New Roman" w:hAnsi="Times New Roman" w:cs="Times New Roman"/>
                <w:sz w:val="24"/>
                <w:lang w:eastAsia="zh-CN"/>
              </w:rPr>
            </w:pPr>
          </w:p>
          <w:p w14:paraId="3DD66757"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hint="eastAsia"/>
                <w:b/>
                <w:sz w:val="24"/>
                <w:lang w:eastAsia="zh-CN"/>
              </w:rPr>
              <w:t>第二部分：问答环节</w:t>
            </w:r>
          </w:p>
          <w:p w14:paraId="6547581C" w14:textId="77777777" w:rsidR="0048246B" w:rsidRPr="0080095D" w:rsidRDefault="0048246B"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1</w:t>
            </w:r>
            <w:r w:rsidRPr="0080095D">
              <w:rPr>
                <w:rFonts w:ascii="Times New Roman" w:hAnsi="Times New Roman" w:cs="Times New Roman"/>
                <w:b/>
                <w:sz w:val="24"/>
                <w:lang w:eastAsia="zh-CN"/>
              </w:rPr>
              <w:t>、问：公司的主营业务是什么，有哪些应用领域？</w:t>
            </w:r>
          </w:p>
          <w:p w14:paraId="7D0C0C66"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w:t>
            </w:r>
            <w:r w:rsidRPr="0080095D">
              <w:rPr>
                <w:rFonts w:ascii="Times New Roman" w:hAnsi="Times New Roman" w:cs="Times New Roman" w:hint="eastAsia"/>
                <w:sz w:val="24"/>
                <w:lang w:eastAsia="zh-CN"/>
              </w:rPr>
              <w:lastRenderedPageBreak/>
              <w:t>瓷粉体配方和产品制备工艺领域的持续研发和经验积累，始终专注于电子陶瓷元器件的研制和开发。公司通过向客户提供高效稳定、专业可靠的元器件产品及通信解决方案，不断提升企业的品牌与价值</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谢谢。</w:t>
            </w:r>
          </w:p>
          <w:p w14:paraId="5244AA47" w14:textId="19A90398" w:rsidR="0048246B" w:rsidRPr="0080095D" w:rsidRDefault="0048246B" w:rsidP="008561E5">
            <w:pPr>
              <w:pStyle w:val="TableParagraph"/>
              <w:ind w:left="0"/>
              <w:jc w:val="both"/>
              <w:rPr>
                <w:rFonts w:ascii="Times New Roman" w:hAnsi="Times New Roman" w:cs="Times New Roman"/>
                <w:sz w:val="24"/>
                <w:lang w:eastAsia="zh-CN"/>
              </w:rPr>
            </w:pPr>
          </w:p>
          <w:p w14:paraId="67FC89B6" w14:textId="12EF9AF6" w:rsidR="00BA4126" w:rsidRPr="0080095D" w:rsidRDefault="00BA4126" w:rsidP="00BA4126">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2</w:t>
            </w:r>
            <w:r w:rsidRPr="0080095D">
              <w:rPr>
                <w:rFonts w:ascii="Times New Roman" w:hAnsi="Times New Roman" w:cs="Times New Roman"/>
                <w:b/>
                <w:sz w:val="24"/>
                <w:lang w:eastAsia="zh-CN"/>
              </w:rPr>
              <w:t>、问：公司</w:t>
            </w:r>
            <w:r w:rsidRPr="0080095D">
              <w:rPr>
                <w:rFonts w:ascii="Times New Roman" w:hAnsi="Times New Roman" w:cs="Times New Roman"/>
                <w:b/>
                <w:sz w:val="24"/>
                <w:lang w:eastAsia="zh-CN"/>
              </w:rPr>
              <w:t>2023</w:t>
            </w:r>
            <w:r w:rsidRPr="0080095D">
              <w:rPr>
                <w:rFonts w:ascii="Times New Roman" w:hAnsi="Times New Roman" w:cs="Times New Roman"/>
                <w:b/>
                <w:sz w:val="24"/>
                <w:lang w:eastAsia="zh-CN"/>
              </w:rPr>
              <w:t>年半年度经营业绩情况？</w:t>
            </w:r>
          </w:p>
          <w:p w14:paraId="5E3BE734" w14:textId="3DD35FFE" w:rsidR="00BA4126" w:rsidRPr="0080095D" w:rsidRDefault="00BA4126" w:rsidP="00BA4126">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年上半年生产经营情况正常，主要财务数据及指标变动合理。</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1-6</w:t>
            </w:r>
            <w:r w:rsidRPr="0080095D">
              <w:rPr>
                <w:rFonts w:ascii="Times New Roman" w:hAnsi="Times New Roman" w:cs="Times New Roman"/>
                <w:sz w:val="24"/>
                <w:lang w:eastAsia="zh-CN"/>
              </w:rPr>
              <w:t>月，公司实现营业收入</w:t>
            </w:r>
            <w:r w:rsidRPr="0080095D">
              <w:rPr>
                <w:rFonts w:ascii="Times New Roman" w:hAnsi="Times New Roman" w:cs="Times New Roman"/>
                <w:sz w:val="24"/>
                <w:lang w:eastAsia="zh-CN"/>
              </w:rPr>
              <w:t>19,428.59</w:t>
            </w:r>
            <w:r w:rsidRPr="0080095D">
              <w:rPr>
                <w:rFonts w:ascii="Times New Roman" w:hAnsi="Times New Roman" w:cs="Times New Roman"/>
                <w:sz w:val="24"/>
                <w:lang w:eastAsia="zh-CN"/>
              </w:rPr>
              <w:t>万元，较上年同期增长</w:t>
            </w:r>
            <w:r w:rsidRPr="0080095D">
              <w:rPr>
                <w:rFonts w:ascii="Times New Roman" w:hAnsi="Times New Roman" w:cs="Times New Roman"/>
                <w:sz w:val="24"/>
                <w:lang w:eastAsia="zh-CN"/>
              </w:rPr>
              <w:t>21.71%</w:t>
            </w:r>
            <w:r w:rsidRPr="0080095D">
              <w:rPr>
                <w:rFonts w:ascii="Times New Roman" w:hAnsi="Times New Roman" w:cs="Times New Roman"/>
                <w:sz w:val="24"/>
                <w:lang w:eastAsia="zh-CN"/>
              </w:rPr>
              <w:t>，主要是本期新产品量产带来滤波器产品的销售收入增加所致；实现归属于上市公司股东的净利润</w:t>
            </w:r>
            <w:r w:rsidRPr="0080095D">
              <w:rPr>
                <w:rFonts w:ascii="Times New Roman" w:hAnsi="Times New Roman" w:cs="Times New Roman"/>
                <w:sz w:val="24"/>
                <w:lang w:eastAsia="zh-CN"/>
              </w:rPr>
              <w:t>2,162.65</w:t>
            </w:r>
            <w:r w:rsidRPr="0080095D">
              <w:rPr>
                <w:rFonts w:ascii="Times New Roman" w:hAnsi="Times New Roman" w:cs="Times New Roman"/>
                <w:sz w:val="24"/>
                <w:lang w:eastAsia="zh-CN"/>
              </w:rPr>
              <w:t>万元，较上年同期减少</w:t>
            </w:r>
            <w:r w:rsidRPr="0080095D">
              <w:rPr>
                <w:rFonts w:ascii="Times New Roman" w:hAnsi="Times New Roman" w:cs="Times New Roman"/>
                <w:sz w:val="24"/>
                <w:lang w:eastAsia="zh-CN"/>
              </w:rPr>
              <w:t>24.01%</w:t>
            </w:r>
            <w:r w:rsidRPr="0080095D">
              <w:rPr>
                <w:rFonts w:ascii="Times New Roman" w:hAnsi="Times New Roman" w:cs="Times New Roman"/>
                <w:sz w:val="24"/>
                <w:lang w:eastAsia="zh-CN"/>
              </w:rPr>
              <w:t>，主要原因系本期政府补助减少所致；本期归属于上市公司股东的扣除非经常性损益的净利润为</w:t>
            </w:r>
            <w:r w:rsidRPr="0080095D">
              <w:rPr>
                <w:rFonts w:ascii="Times New Roman" w:hAnsi="Times New Roman" w:cs="Times New Roman"/>
                <w:sz w:val="24"/>
                <w:lang w:eastAsia="zh-CN"/>
              </w:rPr>
              <w:t>907.86</w:t>
            </w:r>
            <w:r w:rsidRPr="0080095D">
              <w:rPr>
                <w:rFonts w:ascii="Times New Roman" w:hAnsi="Times New Roman" w:cs="Times New Roman"/>
                <w:sz w:val="24"/>
                <w:lang w:eastAsia="zh-CN"/>
              </w:rPr>
              <w:t>万元，较上年同期增长</w:t>
            </w:r>
            <w:r w:rsidRPr="0080095D">
              <w:rPr>
                <w:rFonts w:ascii="Times New Roman" w:hAnsi="Times New Roman" w:cs="Times New Roman"/>
                <w:sz w:val="24"/>
                <w:lang w:eastAsia="zh-CN"/>
              </w:rPr>
              <w:t>47.35%</w:t>
            </w:r>
            <w:r w:rsidRPr="0080095D">
              <w:rPr>
                <w:rFonts w:ascii="Times New Roman" w:hAnsi="Times New Roman" w:cs="Times New Roman"/>
                <w:sz w:val="24"/>
                <w:lang w:eastAsia="zh-CN"/>
              </w:rPr>
              <w:t>，主要系新产品量产，营业毛利与上年同期相比增加所致。</w:t>
            </w:r>
            <w:r w:rsidRPr="0080095D">
              <w:rPr>
                <w:rFonts w:ascii="Times New Roman" w:hAnsi="Times New Roman" w:cs="Times New Roman" w:hint="eastAsia"/>
                <w:sz w:val="24"/>
                <w:lang w:eastAsia="zh-CN"/>
              </w:rPr>
              <w:t>截至</w:t>
            </w:r>
            <w:r w:rsidRPr="0080095D">
              <w:rPr>
                <w:rFonts w:ascii="Times New Roman" w:hAnsi="Times New Roman" w:cs="Times New Roman" w:hint="eastAsia"/>
                <w:sz w:val="24"/>
                <w:lang w:eastAsia="zh-CN"/>
              </w:rPr>
              <w:t>2</w:t>
            </w:r>
            <w:r w:rsidRPr="0080095D">
              <w:rPr>
                <w:rFonts w:ascii="Times New Roman" w:hAnsi="Times New Roman" w:cs="Times New Roman"/>
                <w:sz w:val="24"/>
                <w:lang w:eastAsia="zh-CN"/>
              </w:rPr>
              <w:t>023</w:t>
            </w:r>
            <w:r w:rsidRPr="0080095D">
              <w:rPr>
                <w:rFonts w:ascii="Times New Roman" w:hAnsi="Times New Roman" w:cs="Times New Roman" w:hint="eastAsia"/>
                <w:sz w:val="24"/>
                <w:lang w:eastAsia="zh-CN"/>
              </w:rPr>
              <w:t>年</w:t>
            </w:r>
            <w:r w:rsidRPr="0080095D">
              <w:rPr>
                <w:rFonts w:ascii="Times New Roman" w:hAnsi="Times New Roman" w:cs="Times New Roman" w:hint="eastAsia"/>
                <w:sz w:val="24"/>
                <w:lang w:eastAsia="zh-CN"/>
              </w:rPr>
              <w:t>6</w:t>
            </w:r>
            <w:r w:rsidRPr="0080095D">
              <w:rPr>
                <w:rFonts w:ascii="Times New Roman" w:hAnsi="Times New Roman" w:cs="Times New Roman" w:hint="eastAsia"/>
                <w:sz w:val="24"/>
                <w:lang w:eastAsia="zh-CN"/>
              </w:rPr>
              <w:t>月</w:t>
            </w:r>
            <w:r w:rsidRPr="0080095D">
              <w:rPr>
                <w:rFonts w:ascii="Times New Roman" w:hAnsi="Times New Roman" w:cs="Times New Roman" w:hint="eastAsia"/>
                <w:sz w:val="24"/>
                <w:lang w:eastAsia="zh-CN"/>
              </w:rPr>
              <w:t>3</w:t>
            </w:r>
            <w:r w:rsidRPr="0080095D">
              <w:rPr>
                <w:rFonts w:ascii="Times New Roman" w:hAnsi="Times New Roman" w:cs="Times New Roman"/>
                <w:sz w:val="24"/>
                <w:lang w:eastAsia="zh-CN"/>
              </w:rPr>
              <w:t>0</w:t>
            </w:r>
            <w:r w:rsidRPr="0080095D">
              <w:rPr>
                <w:rFonts w:ascii="Times New Roman" w:hAnsi="Times New Roman" w:cs="Times New Roman" w:hint="eastAsia"/>
                <w:sz w:val="24"/>
                <w:lang w:eastAsia="zh-CN"/>
              </w:rPr>
              <w:t>日</w:t>
            </w:r>
            <w:r w:rsidRPr="0080095D">
              <w:rPr>
                <w:rFonts w:ascii="Times New Roman" w:hAnsi="Times New Roman" w:cs="Times New Roman"/>
                <w:sz w:val="24"/>
                <w:lang w:eastAsia="zh-CN"/>
              </w:rPr>
              <w:t>，公司财务状况良好，总资产</w:t>
            </w:r>
            <w:r w:rsidRPr="0080095D">
              <w:rPr>
                <w:rFonts w:ascii="Times New Roman" w:hAnsi="Times New Roman" w:cs="Times New Roman"/>
                <w:sz w:val="24"/>
                <w:lang w:eastAsia="zh-CN"/>
              </w:rPr>
              <w:t>22.98</w:t>
            </w:r>
            <w:r w:rsidRPr="0080095D">
              <w:rPr>
                <w:rFonts w:ascii="Times New Roman" w:hAnsi="Times New Roman" w:cs="Times New Roman"/>
                <w:sz w:val="24"/>
                <w:lang w:eastAsia="zh-CN"/>
              </w:rPr>
              <w:t>亿元，归属于上市公司股东的净资产</w:t>
            </w:r>
            <w:r w:rsidRPr="0080095D">
              <w:rPr>
                <w:rFonts w:ascii="Times New Roman" w:hAnsi="Times New Roman" w:cs="Times New Roman"/>
                <w:sz w:val="24"/>
                <w:lang w:eastAsia="zh-CN"/>
              </w:rPr>
              <w:t>21.05</w:t>
            </w:r>
            <w:r w:rsidRPr="0080095D">
              <w:rPr>
                <w:rFonts w:ascii="Times New Roman" w:hAnsi="Times New Roman" w:cs="Times New Roman"/>
                <w:sz w:val="24"/>
                <w:lang w:eastAsia="zh-CN"/>
              </w:rPr>
              <w:t>亿元，较</w:t>
            </w:r>
            <w:r w:rsidRPr="0080095D">
              <w:rPr>
                <w:rFonts w:ascii="Times New Roman" w:hAnsi="Times New Roman" w:cs="Times New Roman" w:hint="eastAsia"/>
                <w:sz w:val="24"/>
                <w:lang w:eastAsia="zh-CN"/>
              </w:rPr>
              <w:t>2</w:t>
            </w:r>
            <w:r w:rsidRPr="0080095D">
              <w:rPr>
                <w:rFonts w:ascii="Times New Roman" w:hAnsi="Times New Roman" w:cs="Times New Roman"/>
                <w:sz w:val="24"/>
                <w:lang w:eastAsia="zh-CN"/>
              </w:rPr>
              <w:t>023</w:t>
            </w:r>
            <w:r w:rsidRPr="0080095D">
              <w:rPr>
                <w:rFonts w:ascii="Times New Roman" w:hAnsi="Times New Roman" w:cs="Times New Roman" w:hint="eastAsia"/>
                <w:sz w:val="24"/>
                <w:lang w:eastAsia="zh-CN"/>
              </w:rPr>
              <w:t>年期初</w:t>
            </w:r>
            <w:r w:rsidRPr="0080095D">
              <w:rPr>
                <w:rFonts w:ascii="Times New Roman" w:hAnsi="Times New Roman" w:cs="Times New Roman"/>
                <w:sz w:val="24"/>
                <w:lang w:eastAsia="zh-CN"/>
              </w:rPr>
              <w:t>减少</w:t>
            </w:r>
            <w:r w:rsidRPr="0080095D">
              <w:rPr>
                <w:rFonts w:ascii="Times New Roman" w:hAnsi="Times New Roman" w:cs="Times New Roman"/>
                <w:sz w:val="24"/>
                <w:lang w:eastAsia="zh-CN"/>
              </w:rPr>
              <w:t>0.01%</w:t>
            </w:r>
            <w:r w:rsidRPr="0080095D">
              <w:rPr>
                <w:rFonts w:ascii="Times New Roman" w:hAnsi="Times New Roman" w:cs="Times New Roman"/>
                <w:sz w:val="24"/>
                <w:lang w:eastAsia="zh-CN"/>
              </w:rPr>
              <w:t>，主要系</w:t>
            </w:r>
            <w:r w:rsidRPr="0080095D">
              <w:rPr>
                <w:rFonts w:ascii="Times New Roman" w:hAnsi="Times New Roman" w:cs="Times New Roman" w:hint="eastAsia"/>
                <w:sz w:val="24"/>
                <w:lang w:eastAsia="zh-CN"/>
              </w:rPr>
              <w:t>2</w:t>
            </w:r>
            <w:r w:rsidRPr="0080095D">
              <w:rPr>
                <w:rFonts w:ascii="Times New Roman" w:hAnsi="Times New Roman" w:cs="Times New Roman"/>
                <w:sz w:val="24"/>
                <w:lang w:eastAsia="zh-CN"/>
              </w:rPr>
              <w:t>023</w:t>
            </w:r>
            <w:r w:rsidRPr="0080095D">
              <w:rPr>
                <w:rFonts w:ascii="Times New Roman" w:hAnsi="Times New Roman" w:cs="Times New Roman" w:hint="eastAsia"/>
                <w:sz w:val="24"/>
                <w:lang w:eastAsia="zh-CN"/>
              </w:rPr>
              <w:t>年上半年</w:t>
            </w:r>
            <w:r w:rsidRPr="0080095D">
              <w:rPr>
                <w:rFonts w:ascii="Times New Roman" w:hAnsi="Times New Roman" w:cs="Times New Roman"/>
                <w:sz w:val="24"/>
                <w:lang w:eastAsia="zh-CN"/>
              </w:rPr>
              <w:t>实施了</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年度权益分配。谢谢。</w:t>
            </w:r>
          </w:p>
          <w:p w14:paraId="71166997" w14:textId="03DDA94A" w:rsidR="0080095D" w:rsidRPr="0080095D" w:rsidRDefault="0080095D" w:rsidP="00BA4126">
            <w:pPr>
              <w:pStyle w:val="TableParagraph"/>
              <w:ind w:left="108"/>
              <w:jc w:val="both"/>
              <w:rPr>
                <w:rFonts w:ascii="Times New Roman" w:hAnsi="Times New Roman" w:cs="Times New Roman"/>
                <w:sz w:val="24"/>
                <w:lang w:eastAsia="zh-CN"/>
              </w:rPr>
            </w:pPr>
          </w:p>
          <w:p w14:paraId="2A90B106" w14:textId="3BA74C86" w:rsidR="0080095D" w:rsidRPr="0080095D" w:rsidRDefault="0080095D"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3</w:t>
            </w:r>
            <w:r w:rsidRPr="0080095D">
              <w:rPr>
                <w:rFonts w:ascii="Times New Roman" w:hAnsi="Times New Roman" w:cs="Times New Roman"/>
                <w:b/>
                <w:sz w:val="24"/>
                <w:lang w:eastAsia="zh-CN"/>
              </w:rPr>
              <w:t>、问：请问公司所处行业中的地位？</w:t>
            </w:r>
          </w:p>
          <w:p w14:paraId="0BE3EBD4" w14:textId="77777777" w:rsidR="0080095D" w:rsidRPr="0080095D" w:rsidRDefault="0080095D" w:rsidP="00C20170">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自成立以来紧密跟踪通信行业发展趋势，始终坚持以技术创新作为发展核心，在高端先进电子陶瓷材料和元器件领域持续投入研发，不断推动电子陶瓷元器件技术的创新和进步。公司是全国首批专精特新“小巨人”企业，目前拥有专利</w:t>
            </w:r>
            <w:r w:rsidRPr="0080095D">
              <w:rPr>
                <w:rFonts w:ascii="Times New Roman" w:hAnsi="Times New Roman" w:cs="Times New Roman"/>
                <w:sz w:val="24"/>
                <w:lang w:eastAsia="zh-CN"/>
              </w:rPr>
              <w:t>102</w:t>
            </w:r>
            <w:r w:rsidRPr="0080095D">
              <w:rPr>
                <w:rFonts w:ascii="Times New Roman" w:hAnsi="Times New Roman" w:cs="Times New Roman"/>
                <w:sz w:val="24"/>
                <w:lang w:eastAsia="zh-CN"/>
              </w:rPr>
              <w:t>项，同时还参与制定了</w:t>
            </w:r>
            <w:r w:rsidRPr="0080095D">
              <w:rPr>
                <w:rFonts w:ascii="Times New Roman" w:hAnsi="Times New Roman" w:cs="Times New Roman"/>
                <w:sz w:val="24"/>
                <w:lang w:eastAsia="zh-CN"/>
              </w:rPr>
              <w:t>7</w:t>
            </w:r>
            <w:r w:rsidRPr="0080095D">
              <w:rPr>
                <w:rFonts w:ascii="Times New Roman" w:hAnsi="Times New Roman" w:cs="Times New Roman"/>
                <w:sz w:val="24"/>
                <w:lang w:eastAsia="zh-CN"/>
              </w:rPr>
              <w:t>项行业标准。公司的</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耐高温天线的研发及产业化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通信用介质滤波器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分别荣获</w:t>
            </w: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年中国技术创新应用大赛产业化类金奖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“2019</w:t>
            </w:r>
            <w:r w:rsidRPr="0080095D">
              <w:rPr>
                <w:rFonts w:ascii="Times New Roman" w:hAnsi="Times New Roman" w:cs="Times New Roman"/>
                <w:sz w:val="24"/>
                <w:lang w:eastAsia="zh-CN"/>
              </w:rPr>
              <w:t>年中国先进技术转化应用大赛产业化类银奖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2019</w:t>
            </w:r>
            <w:r w:rsidRPr="0080095D">
              <w:rPr>
                <w:rFonts w:ascii="Times New Roman" w:hAnsi="Times New Roman" w:cs="Times New Roman"/>
                <w:sz w:val="24"/>
                <w:lang w:eastAsia="zh-CN"/>
              </w:rPr>
              <w:t>年，公司的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基站用大功率介质腔体滤波器关键技术研发</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被列入江苏省重大科技成果转</w:t>
            </w:r>
            <w:r w:rsidRPr="0080095D">
              <w:rPr>
                <w:rFonts w:ascii="Times New Roman" w:hAnsi="Times New Roman" w:cs="Times New Roman" w:hint="eastAsia"/>
                <w:sz w:val="24"/>
                <w:lang w:eastAsia="zh-CN"/>
              </w:rPr>
              <w:t>化项目。</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年，公司的高可靠性介质波导滤波器获得江苏专利银奖。在我国首个火星探测器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天问一号</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中，公司配套研制的大功率全介质填充双工器，在国内属于首创，被航天五院认定为</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代表了该频段航天产品的最高技术水平</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w:t>
            </w:r>
          </w:p>
          <w:p w14:paraId="69B430DB" w14:textId="41DAE3C8"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在先进微波介质陶瓷材料配方及制备、高性能介质波导滤波器、超大尺寸介质滤波器的制造及安装、复杂陶瓷体一次成型、盲孔陶瓷体金属化及银焊等领域拥有多项核心技术。在陶瓷粉体方面，公司目前已掌握</w:t>
            </w:r>
            <w:r w:rsidRPr="0080095D">
              <w:rPr>
                <w:rFonts w:ascii="Times New Roman" w:hAnsi="Times New Roman" w:cs="Times New Roman"/>
                <w:sz w:val="24"/>
                <w:lang w:eastAsia="zh-CN"/>
              </w:rPr>
              <w:t>150</w:t>
            </w:r>
            <w:r w:rsidRPr="0080095D">
              <w:rPr>
                <w:rFonts w:ascii="Times New Roman" w:hAnsi="Times New Roman" w:cs="Times New Roman"/>
                <w:sz w:val="24"/>
                <w:lang w:eastAsia="zh-CN"/>
              </w:rPr>
              <w:t>余种陶瓷粉体配方，其中</w:t>
            </w:r>
            <w:r w:rsidRPr="0080095D">
              <w:rPr>
                <w:rFonts w:ascii="Times New Roman" w:hAnsi="Times New Roman" w:cs="Times New Roman"/>
                <w:sz w:val="24"/>
                <w:lang w:eastAsia="zh-CN"/>
              </w:rPr>
              <w:t>60</w:t>
            </w:r>
            <w:r w:rsidRPr="0080095D">
              <w:rPr>
                <w:rFonts w:ascii="Times New Roman" w:hAnsi="Times New Roman" w:cs="Times New Roman"/>
                <w:sz w:val="24"/>
                <w:lang w:eastAsia="zh-CN"/>
              </w:rPr>
              <w:t>余种已得到商业化批量应用，介电常数覆盖</w:t>
            </w:r>
            <w:r w:rsidRPr="0080095D">
              <w:rPr>
                <w:rFonts w:ascii="Times New Roman" w:hAnsi="Times New Roman" w:cs="Times New Roman"/>
                <w:sz w:val="24"/>
                <w:lang w:eastAsia="zh-CN"/>
              </w:rPr>
              <w:t>4-150</w:t>
            </w:r>
            <w:r w:rsidRPr="0080095D">
              <w:rPr>
                <w:rFonts w:ascii="Times New Roman" w:hAnsi="Times New Roman" w:cs="Times New Roman"/>
                <w:sz w:val="24"/>
                <w:lang w:eastAsia="zh-CN"/>
              </w:rPr>
              <w:t>范围，并具备低温漂、高</w:t>
            </w:r>
            <w:r w:rsidRPr="0080095D">
              <w:rPr>
                <w:rFonts w:ascii="Times New Roman" w:hAnsi="Times New Roman" w:cs="Times New Roman"/>
                <w:sz w:val="24"/>
                <w:lang w:eastAsia="zh-CN"/>
              </w:rPr>
              <w:t>Q</w:t>
            </w:r>
            <w:r w:rsidRPr="0080095D">
              <w:rPr>
                <w:rFonts w:ascii="Times New Roman" w:hAnsi="Times New Roman" w:cs="Times New Roman"/>
                <w:sz w:val="24"/>
                <w:lang w:eastAsia="zh-CN"/>
              </w:rPr>
              <w:t>值等性能特点，可以满足频率在</w:t>
            </w:r>
            <w:r w:rsidRPr="0080095D">
              <w:rPr>
                <w:rFonts w:ascii="Times New Roman" w:hAnsi="Times New Roman" w:cs="Times New Roman"/>
                <w:sz w:val="24"/>
                <w:lang w:eastAsia="zh-CN"/>
              </w:rPr>
              <w:t>110GHz</w:t>
            </w:r>
            <w:r w:rsidRPr="0080095D">
              <w:rPr>
                <w:rFonts w:ascii="Times New Roman" w:hAnsi="Times New Roman" w:cs="Times New Roman"/>
                <w:sz w:val="24"/>
                <w:lang w:eastAsia="zh-CN"/>
              </w:rPr>
              <w:t>以内的介质滤波器、介质谐振器等产品的应用。公司现有生产线能够覆盖从陶瓷粉体制备到元器件成品出厂全过程，并可根据客户需求采取多品种、差异化的柔性生产模式。凭借长期的技术积累，公</w:t>
            </w:r>
            <w:r w:rsidRPr="0080095D">
              <w:rPr>
                <w:rFonts w:ascii="Times New Roman" w:hAnsi="Times New Roman" w:cs="Times New Roman" w:hint="eastAsia"/>
                <w:sz w:val="24"/>
                <w:lang w:eastAsia="zh-CN"/>
              </w:rPr>
              <w:t>司依托自有核心技术研制的滤波器、谐振器等主要产品在介电性能、稳定性、成本控制能力以及量产交付规模方面得到了下游客户的广泛认可。谢谢。</w:t>
            </w:r>
          </w:p>
          <w:p w14:paraId="34EE8E8B" w14:textId="3EDF31C1" w:rsidR="0080095D" w:rsidRPr="0080095D" w:rsidRDefault="0080095D" w:rsidP="00BA4126">
            <w:pPr>
              <w:pStyle w:val="TableParagraph"/>
              <w:ind w:left="108"/>
              <w:jc w:val="both"/>
              <w:rPr>
                <w:rFonts w:ascii="Times New Roman" w:hAnsi="Times New Roman" w:cs="Times New Roman"/>
                <w:sz w:val="24"/>
                <w:lang w:eastAsia="zh-CN"/>
              </w:rPr>
            </w:pPr>
          </w:p>
          <w:p w14:paraId="7FAE1869" w14:textId="66E4C1DB" w:rsidR="0080095D" w:rsidRPr="0080095D" w:rsidRDefault="0080095D"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4</w:t>
            </w:r>
            <w:r w:rsidRPr="0080095D">
              <w:rPr>
                <w:rFonts w:ascii="Times New Roman" w:hAnsi="Times New Roman" w:cs="Times New Roman"/>
                <w:b/>
                <w:sz w:val="24"/>
                <w:lang w:eastAsia="zh-CN"/>
              </w:rPr>
              <w:t>、问：公司近两年设立的子公司情况？</w:t>
            </w:r>
          </w:p>
          <w:p w14:paraId="138488FD" w14:textId="54EB62AA"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答：近两年，公司共设立三家控股子公司。分别是</w:t>
            </w:r>
            <w:r w:rsidRPr="0080095D">
              <w:rPr>
                <w:rFonts w:ascii="Times New Roman" w:hAnsi="Times New Roman" w:cs="Times New Roman"/>
                <w:sz w:val="24"/>
                <w:lang w:eastAsia="zh-CN"/>
              </w:rPr>
              <w:t>1</w:t>
            </w:r>
            <w:r w:rsidRPr="0080095D">
              <w:rPr>
                <w:rFonts w:ascii="Times New Roman" w:hAnsi="Times New Roman" w:cs="Times New Roman"/>
                <w:sz w:val="24"/>
                <w:lang w:eastAsia="zh-CN"/>
              </w:rPr>
              <w:t>、苏州拓瓷科技有限公司，成立于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51.00%</w:t>
            </w:r>
            <w:r w:rsidRPr="0080095D">
              <w:rPr>
                <w:rFonts w:ascii="Times New Roman" w:hAnsi="Times New Roman" w:cs="Times New Roman"/>
                <w:sz w:val="24"/>
                <w:lang w:eastAsia="zh-CN"/>
              </w:rPr>
              <w:t>，主营业务：金属陶瓷结构与功能器件的研发、生产和销售；</w:t>
            </w:r>
            <w:r w:rsidRPr="0080095D">
              <w:rPr>
                <w:rFonts w:ascii="Times New Roman" w:hAnsi="Times New Roman" w:cs="Times New Roman"/>
                <w:sz w:val="24"/>
                <w:lang w:eastAsia="zh-CN"/>
              </w:rPr>
              <w:t>2</w:t>
            </w:r>
            <w:r w:rsidRPr="0080095D">
              <w:rPr>
                <w:rFonts w:ascii="Times New Roman" w:hAnsi="Times New Roman" w:cs="Times New Roman"/>
                <w:sz w:val="24"/>
                <w:lang w:eastAsia="zh-CN"/>
              </w:rPr>
              <w:t>、苏州互迭科技有限公司，成立于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12</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50.20%</w:t>
            </w:r>
            <w:r w:rsidRPr="0080095D">
              <w:rPr>
                <w:rFonts w:ascii="Times New Roman" w:hAnsi="Times New Roman" w:cs="Times New Roman"/>
                <w:sz w:val="24"/>
                <w:lang w:eastAsia="zh-CN"/>
              </w:rPr>
              <w:t>，主营业务：射频模块与系统的研发、生产和销售；</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、苏州频普半导体科技有限公司，成立于</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65.00%</w:t>
            </w:r>
            <w:r w:rsidRPr="0080095D">
              <w:rPr>
                <w:rFonts w:ascii="Times New Roman" w:hAnsi="Times New Roman" w:cs="Times New Roman"/>
                <w:sz w:val="24"/>
                <w:lang w:eastAsia="zh-CN"/>
              </w:rPr>
              <w:t>，主营业务：研发、生产加工半导体薄膜及</w:t>
            </w:r>
            <w:r w:rsidRPr="0080095D">
              <w:rPr>
                <w:rFonts w:ascii="Times New Roman" w:hAnsi="Times New Roman" w:cs="Times New Roman"/>
                <w:sz w:val="24"/>
                <w:lang w:eastAsia="zh-CN"/>
              </w:rPr>
              <w:t>MEMS</w:t>
            </w:r>
            <w:r w:rsidRPr="0080095D">
              <w:rPr>
                <w:rFonts w:ascii="Times New Roman" w:hAnsi="Times New Roman" w:cs="Times New Roman"/>
                <w:sz w:val="24"/>
                <w:lang w:eastAsia="zh-CN"/>
              </w:rPr>
              <w:t>工艺电路等元器件产品</w:t>
            </w:r>
            <w:r w:rsidRPr="0080095D">
              <w:rPr>
                <w:rFonts w:ascii="Times New Roman" w:hAnsi="Times New Roman" w:cs="Times New Roman" w:hint="eastAsia"/>
                <w:sz w:val="24"/>
                <w:lang w:eastAsia="zh-CN"/>
              </w:rPr>
              <w:t>。谢谢。</w:t>
            </w:r>
          </w:p>
          <w:p w14:paraId="1943F691" w14:textId="5F56D7C4" w:rsidR="0080095D" w:rsidRPr="0080095D" w:rsidRDefault="0080095D" w:rsidP="00BA4126">
            <w:pPr>
              <w:pStyle w:val="TableParagraph"/>
              <w:ind w:left="108"/>
              <w:jc w:val="both"/>
              <w:rPr>
                <w:rFonts w:ascii="Times New Roman" w:hAnsi="Times New Roman" w:cs="Times New Roman"/>
                <w:sz w:val="24"/>
                <w:lang w:eastAsia="zh-CN"/>
              </w:rPr>
            </w:pPr>
          </w:p>
          <w:p w14:paraId="1E6EBF8D" w14:textId="77777777" w:rsidR="0080095D" w:rsidRPr="0080095D" w:rsidRDefault="0080095D" w:rsidP="0080095D">
            <w:pPr>
              <w:pStyle w:val="TableParagraph"/>
              <w:jc w:val="both"/>
              <w:rPr>
                <w:rFonts w:ascii="Times New Roman" w:hAnsi="Times New Roman" w:cs="Times New Roman"/>
                <w:b/>
                <w:sz w:val="24"/>
                <w:lang w:eastAsia="zh-CN"/>
              </w:rPr>
            </w:pPr>
            <w:r w:rsidRPr="0080095D">
              <w:rPr>
                <w:rFonts w:ascii="Times New Roman" w:hAnsi="Times New Roman" w:cs="Times New Roman"/>
                <w:b/>
                <w:sz w:val="24"/>
                <w:lang w:eastAsia="zh-CN"/>
              </w:rPr>
              <w:t>5</w:t>
            </w:r>
            <w:r w:rsidRPr="0080095D">
              <w:rPr>
                <w:rFonts w:ascii="Times New Roman" w:hAnsi="Times New Roman" w:cs="Times New Roman"/>
                <w:b/>
                <w:sz w:val="24"/>
                <w:lang w:eastAsia="zh-CN"/>
              </w:rPr>
              <w:t>、问：想问下高端陶瓷器件的技术壁垒主要哪些</w:t>
            </w:r>
            <w:r w:rsidRPr="0080095D">
              <w:rPr>
                <w:rFonts w:ascii="Times New Roman" w:hAnsi="Times New Roman" w:cs="Times New Roman"/>
                <w:b/>
                <w:sz w:val="24"/>
                <w:lang w:eastAsia="zh-CN"/>
              </w:rPr>
              <w:t>?</w:t>
            </w:r>
          </w:p>
          <w:p w14:paraId="19B73FCB"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261711B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①材料壁垒</w:t>
            </w:r>
          </w:p>
          <w:p w14:paraId="5E101B9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2AFFFFFF"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②工艺壁垒</w:t>
            </w:r>
          </w:p>
          <w:p w14:paraId="3A0CA8B0"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B0339E"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③创新研发壁垒</w:t>
            </w:r>
          </w:p>
          <w:p w14:paraId="0CB8F96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F44EFC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w:t>
            </w:r>
            <w:r w:rsidRPr="0080095D">
              <w:rPr>
                <w:rFonts w:ascii="Times New Roman" w:hAnsi="Times New Roman" w:cs="Times New Roman" w:hint="eastAsia"/>
                <w:sz w:val="24"/>
                <w:lang w:eastAsia="zh-CN"/>
              </w:rPr>
              <w:lastRenderedPageBreak/>
              <w:t>快速变化，进入壁垒较高。谢谢。</w:t>
            </w:r>
          </w:p>
          <w:p w14:paraId="03FBA52E" w14:textId="77777777" w:rsidR="00BA4126" w:rsidRPr="0080095D" w:rsidRDefault="00BA4126" w:rsidP="008561E5">
            <w:pPr>
              <w:pStyle w:val="TableParagraph"/>
              <w:ind w:left="0"/>
              <w:jc w:val="both"/>
              <w:rPr>
                <w:rFonts w:ascii="Times New Roman" w:hAnsi="Times New Roman" w:cs="Times New Roman"/>
                <w:sz w:val="24"/>
                <w:lang w:eastAsia="zh-CN"/>
              </w:rPr>
            </w:pPr>
          </w:p>
          <w:p w14:paraId="2F453E23" w14:textId="29AA9460" w:rsidR="0048246B" w:rsidRPr="0080095D" w:rsidRDefault="0080095D"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r w:rsidR="0048246B" w:rsidRPr="0080095D">
              <w:rPr>
                <w:rFonts w:ascii="Times New Roman" w:hAnsi="Times New Roman" w:cs="Times New Roman"/>
                <w:b/>
                <w:sz w:val="24"/>
                <w:lang w:eastAsia="zh-CN"/>
              </w:rPr>
              <w:t>、问：公司</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陶瓷产品，主要包括哪些产品，用于哪些领域</w:t>
            </w:r>
            <w:r w:rsidR="0048246B" w:rsidRPr="0080095D">
              <w:rPr>
                <w:rFonts w:ascii="Times New Roman" w:hAnsi="Times New Roman" w:cs="Times New Roman"/>
                <w:b/>
                <w:sz w:val="24"/>
                <w:lang w:eastAsia="zh-CN"/>
              </w:rPr>
              <w:t>?</w:t>
            </w:r>
          </w:p>
          <w:p w14:paraId="0E6D7E1D" w14:textId="6392EFE5"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答：陶瓷基板、陶瓷基座、管壳，主要这三大类，主要应用于新能源、</w:t>
            </w:r>
            <w:r w:rsidRPr="0080095D">
              <w:rPr>
                <w:rFonts w:ascii="Times New Roman" w:hAnsi="Times New Roman" w:cs="Times New Roman"/>
                <w:sz w:val="24"/>
                <w:lang w:eastAsia="zh-CN"/>
              </w:rPr>
              <w:t>IGBT</w:t>
            </w:r>
            <w:r w:rsidRPr="0080095D">
              <w:rPr>
                <w:rFonts w:ascii="Times New Roman" w:hAnsi="Times New Roman" w:cs="Times New Roman"/>
                <w:sz w:val="24"/>
                <w:lang w:eastAsia="zh-CN"/>
              </w:rPr>
              <w:t>热管理、半导体封装和无线通信等领域。谢谢。</w:t>
            </w:r>
          </w:p>
          <w:p w14:paraId="170A1197" w14:textId="77777777" w:rsidR="00BA4126" w:rsidRPr="0080095D" w:rsidRDefault="00BA4126" w:rsidP="00BA4126">
            <w:pPr>
              <w:pStyle w:val="TableParagraph"/>
              <w:jc w:val="both"/>
              <w:rPr>
                <w:rFonts w:ascii="Times New Roman" w:hAnsi="Times New Roman" w:cs="Times New Roman"/>
                <w:sz w:val="24"/>
                <w:lang w:eastAsia="zh-CN"/>
              </w:rPr>
            </w:pPr>
          </w:p>
          <w:p w14:paraId="24CDC5B6" w14:textId="100ADEB3" w:rsidR="0048246B" w:rsidRPr="0080095D" w:rsidRDefault="00BA4126" w:rsidP="00BA4126">
            <w:pPr>
              <w:pStyle w:val="TableParagraph"/>
              <w:ind w:left="0"/>
              <w:jc w:val="both"/>
              <w:rPr>
                <w:rFonts w:ascii="Times New Roman" w:hAnsi="Times New Roman" w:cs="Times New Roman"/>
                <w:b/>
                <w:sz w:val="24"/>
                <w:lang w:eastAsia="zh-CN"/>
              </w:rPr>
            </w:pPr>
            <w:r w:rsidRPr="0080095D">
              <w:rPr>
                <w:rFonts w:ascii="Times New Roman" w:hAnsi="Times New Roman" w:cs="Times New Roman"/>
                <w:b/>
                <w:sz w:val="24"/>
                <w:lang w:eastAsia="zh-CN"/>
              </w:rPr>
              <w:t xml:space="preserve"> </w:t>
            </w:r>
            <w:r w:rsidR="0080095D">
              <w:rPr>
                <w:rFonts w:ascii="Times New Roman" w:hAnsi="Times New Roman" w:cs="Times New Roman"/>
                <w:b/>
                <w:sz w:val="24"/>
                <w:lang w:eastAsia="zh-CN"/>
              </w:rPr>
              <w:t>7</w:t>
            </w:r>
            <w:r w:rsidR="0048246B" w:rsidRPr="0080095D">
              <w:rPr>
                <w:rFonts w:ascii="Times New Roman" w:hAnsi="Times New Roman" w:cs="Times New Roman" w:hint="eastAsia"/>
                <w:b/>
                <w:sz w:val="24"/>
                <w:lang w:eastAsia="zh-CN"/>
              </w:rPr>
              <w:t>、问：公司电子陶瓷产品在</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领域的发展情况？</w:t>
            </w:r>
          </w:p>
          <w:p w14:paraId="05269C94"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35519BDA"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通信对终端电子元器件提出了小型化、轻量化、低成本、高性能的技术发展要求，发展高性能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电子陶瓷产品将成为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及万物互联时代的迫切需要。基于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技术的电子陶瓷元器件、陶瓷封装、陶瓷基板等产品可实现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及万物互联所需的高性能，同时还具有大规模量产潜能、较高的环境耐受性等，使灵活的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及万物互联通信终端设计成为可能。</w:t>
            </w:r>
          </w:p>
          <w:p w14:paraId="16D4DBFB"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领域，国内厂商起步较晚，在技术积累方面也较为缓慢，导致</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产业与国外企业的差距越来越大。随着高端市场对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元器件、陶瓷封装、大功率陶瓷基板等需求的增长，国内厂商也开始意识到</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技术的重要性和巨大的发展空间。此外，受国际贸易摩擦影响，</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产品国产化替代的市场空间巨大。由于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行业技术门槛较高，目前仅有少数国内厂商在着手研发</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技术，形成批量供应能力的企业更是少数，技术能力和产量水平目前还远远不能满足国内相关领域的发展需求。</w:t>
            </w:r>
          </w:p>
          <w:p w14:paraId="7F07E13B" w14:textId="77777777" w:rsidR="0048246B" w:rsidRPr="0080095D" w:rsidRDefault="0048246B" w:rsidP="00C55FC0">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未来，随着</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应用、万物互联等市场的发展，对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电子陶瓷产品的进口替代，促进通信产业上下游的快速健康发展，提升我国在相关领域的国际竞争力。</w:t>
            </w:r>
          </w:p>
          <w:p w14:paraId="6C5885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电子陶瓷产品，因此公司生产的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电子陶瓷产品容易获取相应的市场资源和客户资源，同时将有利于进一步开拓新能源、半导体等领域的新客户。</w:t>
            </w:r>
          </w:p>
          <w:p w14:paraId="1B009D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公司目前已具备生产</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电子陶瓷产品所需的部分核心技</w:t>
            </w:r>
            <w:r w:rsidRPr="0080095D">
              <w:rPr>
                <w:rFonts w:ascii="Times New Roman" w:hAnsi="Times New Roman" w:cs="Times New Roman"/>
                <w:sz w:val="24"/>
                <w:lang w:eastAsia="zh-CN"/>
              </w:rPr>
              <w:lastRenderedPageBreak/>
              <w:t>术和客户资源，进入</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市场的风险较低。公司将结合市场需求不断改进制造工艺和技术，进一步加大在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技术领域的研发投入，力争实现工艺的快速成熟、产品的核心指标水平达到并超越国内外竞争对手。截至目前，公司</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14:paraId="306D5CFC" w14:textId="6E94FB39" w:rsidR="0080095D" w:rsidRPr="0080095D" w:rsidRDefault="0080095D" w:rsidP="00FF1647">
            <w:pPr>
              <w:pStyle w:val="TableParagraph"/>
              <w:ind w:left="0"/>
              <w:jc w:val="both"/>
              <w:rPr>
                <w:rFonts w:ascii="Times New Roman" w:hAnsi="Times New Roman" w:cs="Times New Roman"/>
                <w:sz w:val="24"/>
                <w:lang w:eastAsia="zh-CN"/>
              </w:rPr>
            </w:pPr>
          </w:p>
          <w:p w14:paraId="36A7D558" w14:textId="6ED138FC" w:rsidR="0080095D" w:rsidRPr="0080095D" w:rsidRDefault="004B5C91"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8</w:t>
            </w:r>
            <w:r w:rsidR="0080095D" w:rsidRPr="0080095D">
              <w:rPr>
                <w:rFonts w:ascii="Times New Roman" w:hAnsi="Times New Roman" w:cs="Times New Roman"/>
                <w:b/>
                <w:sz w:val="24"/>
                <w:lang w:eastAsia="zh-CN"/>
              </w:rPr>
              <w:t>、问：公司电子陶瓷产品在无线通信领域的发展情况？</w:t>
            </w:r>
          </w:p>
          <w:p w14:paraId="5FB06C14"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作为最新一代移动通信技术，其发展来自于对移动数据日益增长的需求。随着移动互联网的发展，越来越多的设备接入到移动网络中，新的服务和应用层出不穷，移动数据流量的暴涨给移动通信网络带来严峻的挑战。为了解决上述挑战，满足日益增长的移动流量需求，新一代</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移动通信网络应运而生。</w:t>
            </w:r>
          </w:p>
          <w:p w14:paraId="0E2F36AD"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年，是全球</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元年。</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移动通信基站采用</w:t>
            </w:r>
            <w:r w:rsidRPr="0080095D">
              <w:rPr>
                <w:rFonts w:ascii="Times New Roman" w:hAnsi="Times New Roman" w:cs="Times New Roman"/>
                <w:sz w:val="24"/>
                <w:lang w:eastAsia="zh-CN"/>
              </w:rPr>
              <w:t>Massive MIMO</w:t>
            </w:r>
            <w:r w:rsidRPr="0080095D">
              <w:rPr>
                <w:rFonts w:ascii="Times New Roman" w:hAnsi="Times New Roman" w:cs="Times New Roman"/>
                <w:sz w:val="24"/>
                <w:lang w:eastAsia="zh-CN"/>
              </w:rPr>
              <w:t>（大规模天线技术），导致射频通道数增加，使得滤波器走向小型化、轻量化、低成本的道路。以介质波导滤波器代替传统金属腔体滤波器，成为构造</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宏基站射频单元的主流技术方案之一，微波介质陶瓷元器件在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通信迎来了快速发展的时期。</w:t>
            </w:r>
          </w:p>
          <w:p w14:paraId="4451448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公司正是从</w:t>
            </w: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年开始，成功实现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介质波导滤波器的大规模量产，目前已成为全球</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通信产业链上游重要的射频器件供应商。</w:t>
            </w:r>
          </w:p>
          <w:p w14:paraId="7CBF5D16"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从进入</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商用第三年开始，即</w:t>
            </w:r>
            <w:r w:rsidRPr="0080095D">
              <w:rPr>
                <w:rFonts w:ascii="Times New Roman" w:hAnsi="Times New Roman" w:cs="Times New Roman"/>
                <w:sz w:val="24"/>
                <w:lang w:eastAsia="zh-CN"/>
              </w:rPr>
              <w:t>2021</w:t>
            </w:r>
            <w:r w:rsidRPr="0080095D">
              <w:rPr>
                <w:rFonts w:ascii="Times New Roman" w:hAnsi="Times New Roman" w:cs="Times New Roman"/>
                <w:sz w:val="24"/>
                <w:lang w:eastAsia="zh-CN"/>
              </w:rPr>
              <w:t>年以来，伴随数字经济的高速发展与用户体验需求的持续提升，我国</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正从基于</w:t>
            </w:r>
            <w:r w:rsidRPr="0080095D">
              <w:rPr>
                <w:rFonts w:ascii="Times New Roman" w:hAnsi="Times New Roman" w:cs="Times New Roman"/>
                <w:sz w:val="24"/>
                <w:lang w:eastAsia="zh-CN"/>
              </w:rPr>
              <w:t>TDD</w:t>
            </w:r>
            <w:r w:rsidRPr="0080095D">
              <w:rPr>
                <w:rFonts w:ascii="Times New Roman" w:hAnsi="Times New Roman" w:cs="Times New Roman"/>
                <w:sz w:val="24"/>
                <w:lang w:eastAsia="zh-CN"/>
              </w:rPr>
              <w:t>频段的规模部署，走向</w:t>
            </w:r>
            <w:r w:rsidRPr="0080095D">
              <w:rPr>
                <w:rFonts w:ascii="Times New Roman" w:hAnsi="Times New Roman" w:cs="Times New Roman"/>
                <w:sz w:val="24"/>
                <w:lang w:eastAsia="zh-CN"/>
              </w:rPr>
              <w:t>TDD+FDD</w:t>
            </w:r>
            <w:r w:rsidRPr="0080095D">
              <w:rPr>
                <w:rFonts w:ascii="Times New Roman" w:hAnsi="Times New Roman" w:cs="Times New Roman"/>
                <w:sz w:val="24"/>
                <w:lang w:eastAsia="zh-CN"/>
              </w:rPr>
              <w:t>协同部署。在</w:t>
            </w:r>
            <w:r w:rsidRPr="0080095D">
              <w:rPr>
                <w:rFonts w:ascii="Times New Roman" w:hAnsi="Times New Roman" w:cs="Times New Roman"/>
                <w:sz w:val="24"/>
                <w:lang w:eastAsia="zh-CN"/>
              </w:rPr>
              <w:t>Sub-6GH</w:t>
            </w:r>
            <w:r w:rsidRPr="0080095D">
              <w:rPr>
                <w:rFonts w:ascii="Times New Roman" w:hAnsi="Times New Roman" w:cs="Times New Roman"/>
                <w:sz w:val="24"/>
                <w:lang w:eastAsia="zh-CN"/>
              </w:rPr>
              <w:t>频段，除了</w:t>
            </w:r>
            <w:r w:rsidRPr="0080095D">
              <w:rPr>
                <w:rFonts w:ascii="Times New Roman" w:hAnsi="Times New Roman" w:cs="Times New Roman"/>
                <w:sz w:val="24"/>
                <w:lang w:eastAsia="zh-CN"/>
              </w:rPr>
              <w:t>TDD 2.6GHz</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3.5GHz</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 xml:space="preserve">4.9GHz </w:t>
            </w:r>
            <w:r w:rsidRPr="0080095D">
              <w:rPr>
                <w:rFonts w:ascii="Times New Roman" w:hAnsi="Times New Roman" w:cs="Times New Roman"/>
                <w:sz w:val="24"/>
                <w:lang w:eastAsia="zh-CN"/>
              </w:rPr>
              <w:t>频段外，中国电信和中国联通率先计划将</w:t>
            </w:r>
            <w:r w:rsidRPr="0080095D">
              <w:rPr>
                <w:rFonts w:ascii="Times New Roman" w:hAnsi="Times New Roman" w:cs="Times New Roman"/>
                <w:sz w:val="24"/>
                <w:lang w:eastAsia="zh-CN"/>
              </w:rPr>
              <w:t>2G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 xml:space="preserve">3G </w:t>
            </w:r>
            <w:r w:rsidRPr="0080095D">
              <w:rPr>
                <w:rFonts w:ascii="Times New Roman" w:hAnsi="Times New Roman" w:cs="Times New Roman"/>
                <w:sz w:val="24"/>
                <w:lang w:eastAsia="zh-CN"/>
              </w:rPr>
              <w:t>低频段用于</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建设。中国联通积极利用共建共享优势，盘活现网</w:t>
            </w:r>
            <w:r w:rsidRPr="0080095D">
              <w:rPr>
                <w:rFonts w:ascii="Times New Roman" w:hAnsi="Times New Roman" w:cs="Times New Roman"/>
                <w:sz w:val="24"/>
                <w:lang w:eastAsia="zh-CN"/>
              </w:rPr>
              <w:t>4T4R</w:t>
            </w:r>
            <w:r w:rsidRPr="0080095D">
              <w:rPr>
                <w:rFonts w:ascii="Times New Roman" w:hAnsi="Times New Roman" w:cs="Times New Roman"/>
                <w:sz w:val="24"/>
                <w:lang w:eastAsia="zh-CN"/>
              </w:rPr>
              <w:t>设备，部署</w:t>
            </w:r>
            <w:r w:rsidRPr="0080095D">
              <w:rPr>
                <w:rFonts w:ascii="Times New Roman" w:hAnsi="Times New Roman" w:cs="Times New Roman"/>
                <w:sz w:val="24"/>
                <w:lang w:eastAsia="zh-CN"/>
              </w:rPr>
              <w:t>5G FDD 4T4R</w:t>
            </w:r>
            <w:r w:rsidRPr="0080095D">
              <w:rPr>
                <w:rFonts w:ascii="Times New Roman" w:hAnsi="Times New Roman" w:cs="Times New Roman"/>
                <w:sz w:val="24"/>
                <w:lang w:eastAsia="zh-CN"/>
              </w:rPr>
              <w:t>双拼站点，优化</w:t>
            </w:r>
            <w:r w:rsidRPr="0080095D">
              <w:rPr>
                <w:rFonts w:ascii="Times New Roman" w:hAnsi="Times New Roman" w:cs="Times New Roman"/>
                <w:sz w:val="24"/>
                <w:lang w:eastAsia="zh-CN"/>
              </w:rPr>
              <w:t>8T8R</w:t>
            </w:r>
            <w:r w:rsidRPr="0080095D">
              <w:rPr>
                <w:rFonts w:ascii="Times New Roman" w:hAnsi="Times New Roman" w:cs="Times New Roman"/>
                <w:sz w:val="24"/>
                <w:lang w:eastAsia="zh-CN"/>
              </w:rPr>
              <w:t>基站性能。海外众多运营商在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时代也需要对原有</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网络进行升级。由此，</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基站开始由新建基站和升级基站共同组成</w:t>
            </w:r>
            <w:r w:rsidRPr="0080095D">
              <w:rPr>
                <w:rFonts w:ascii="Times New Roman" w:hAnsi="Times New Roman" w:cs="Times New Roman" w:hint="eastAsia"/>
                <w:sz w:val="24"/>
                <w:lang w:eastAsia="zh-CN"/>
              </w:rPr>
              <w:t>。</w:t>
            </w:r>
          </w:p>
          <w:p w14:paraId="546317F7"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年下半年开始，批量生产的最新款陶瓷介质滤波器能够广泛适用于</w:t>
            </w:r>
            <w:r w:rsidRPr="0080095D">
              <w:rPr>
                <w:rFonts w:ascii="Times New Roman" w:hAnsi="Times New Roman" w:cs="Times New Roman"/>
                <w:sz w:val="24"/>
                <w:lang w:eastAsia="zh-CN"/>
              </w:rPr>
              <w:t>sub-6GHz</w:t>
            </w:r>
            <w:r w:rsidRPr="0080095D">
              <w:rPr>
                <w:rFonts w:ascii="Times New Roman" w:hAnsi="Times New Roman" w:cs="Times New Roman"/>
                <w:sz w:val="24"/>
                <w:lang w:eastAsia="zh-CN"/>
              </w:rPr>
              <w:t>频段内的各应用场景，包括</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5.5G</w:t>
            </w:r>
            <w:r w:rsidRPr="0080095D">
              <w:rPr>
                <w:rFonts w:ascii="Times New Roman" w:hAnsi="Times New Roman" w:cs="Times New Roman"/>
                <w:sz w:val="24"/>
                <w:lang w:eastAsia="zh-CN"/>
              </w:rPr>
              <w:t>等</w:t>
            </w:r>
            <w:r w:rsidRPr="0080095D">
              <w:rPr>
                <w:rFonts w:ascii="Times New Roman" w:hAnsi="Times New Roman" w:cs="Times New Roman"/>
                <w:sz w:val="24"/>
                <w:lang w:eastAsia="zh-CN"/>
              </w:rPr>
              <w:t>FDD</w:t>
            </w:r>
            <w:r w:rsidRPr="0080095D">
              <w:rPr>
                <w:rFonts w:ascii="Times New Roman" w:hAnsi="Times New Roman" w:cs="Times New Roman"/>
                <w:sz w:val="24"/>
                <w:lang w:eastAsia="zh-CN"/>
              </w:rPr>
              <w:t>架构通信网络，进一步拓宽了公司在基站用滤波器的市场份额。</w:t>
            </w:r>
          </w:p>
          <w:p w14:paraId="789B4C0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截至</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6</w:t>
            </w:r>
            <w:r w:rsidRPr="0080095D">
              <w:rPr>
                <w:rFonts w:ascii="Times New Roman" w:hAnsi="Times New Roman" w:cs="Times New Roman"/>
                <w:sz w:val="24"/>
                <w:lang w:eastAsia="zh-CN"/>
              </w:rPr>
              <w:t>月</w:t>
            </w:r>
            <w:r w:rsidRPr="0080095D">
              <w:rPr>
                <w:rFonts w:ascii="Times New Roman" w:hAnsi="Times New Roman" w:cs="Times New Roman"/>
                <w:sz w:val="24"/>
                <w:lang w:eastAsia="zh-CN"/>
              </w:rPr>
              <w:t>30</w:t>
            </w:r>
            <w:r w:rsidRPr="0080095D">
              <w:rPr>
                <w:rFonts w:ascii="Times New Roman" w:hAnsi="Times New Roman" w:cs="Times New Roman"/>
                <w:sz w:val="24"/>
                <w:lang w:eastAsia="zh-CN"/>
              </w:rPr>
              <w:t>日，全球</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网络依然同步投资建设，从全球电信投资看，总体发展平稳，投资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网络的运营商数量持续增长。根据</w:t>
            </w:r>
            <w:r w:rsidRPr="0080095D">
              <w:rPr>
                <w:rFonts w:ascii="Times New Roman" w:hAnsi="Times New Roman" w:cs="Times New Roman"/>
                <w:sz w:val="24"/>
                <w:lang w:eastAsia="zh-CN"/>
              </w:rPr>
              <w:t>GSA</w:t>
            </w:r>
            <w:r w:rsidRPr="0080095D">
              <w:rPr>
                <w:rFonts w:ascii="Times New Roman" w:hAnsi="Times New Roman" w:cs="Times New Roman"/>
                <w:sz w:val="24"/>
                <w:lang w:eastAsia="zh-CN"/>
              </w:rPr>
              <w:t>（全球移动设备供应商协会）统计，截至</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年年底，全球</w:t>
            </w:r>
            <w:r w:rsidRPr="0080095D">
              <w:rPr>
                <w:rFonts w:ascii="Times New Roman" w:hAnsi="Times New Roman" w:cs="Times New Roman"/>
                <w:sz w:val="24"/>
                <w:lang w:eastAsia="zh-CN"/>
              </w:rPr>
              <w:t>155</w:t>
            </w:r>
            <w:r w:rsidRPr="0080095D">
              <w:rPr>
                <w:rFonts w:ascii="Times New Roman" w:hAnsi="Times New Roman" w:cs="Times New Roman"/>
                <w:sz w:val="24"/>
                <w:lang w:eastAsia="zh-CN"/>
              </w:rPr>
              <w:t>个国家和地区的</w:t>
            </w:r>
            <w:r w:rsidRPr="0080095D">
              <w:rPr>
                <w:rFonts w:ascii="Times New Roman" w:hAnsi="Times New Roman" w:cs="Times New Roman"/>
                <w:sz w:val="24"/>
                <w:lang w:eastAsia="zh-CN"/>
              </w:rPr>
              <w:t>515</w:t>
            </w:r>
            <w:r w:rsidRPr="0080095D">
              <w:rPr>
                <w:rFonts w:ascii="Times New Roman" w:hAnsi="Times New Roman" w:cs="Times New Roman"/>
                <w:sz w:val="24"/>
                <w:lang w:eastAsia="zh-CN"/>
              </w:rPr>
              <w:t>家电信运营商正在投资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。国内方面，根据工信部数据，截至</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年底，全国移动通信基站总数达</w:t>
            </w:r>
            <w:r w:rsidRPr="0080095D">
              <w:rPr>
                <w:rFonts w:ascii="Times New Roman" w:hAnsi="Times New Roman" w:cs="Times New Roman"/>
                <w:sz w:val="24"/>
                <w:lang w:eastAsia="zh-CN"/>
              </w:rPr>
              <w:t>1083</w:t>
            </w:r>
            <w:r w:rsidRPr="0080095D">
              <w:rPr>
                <w:rFonts w:ascii="Times New Roman" w:hAnsi="Times New Roman" w:cs="Times New Roman"/>
                <w:sz w:val="24"/>
                <w:lang w:eastAsia="zh-CN"/>
              </w:rPr>
              <w:t>万个，其中</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基站为</w:t>
            </w:r>
            <w:r w:rsidRPr="0080095D">
              <w:rPr>
                <w:rFonts w:ascii="Times New Roman" w:hAnsi="Times New Roman" w:cs="Times New Roman"/>
                <w:sz w:val="24"/>
                <w:lang w:eastAsia="zh-CN"/>
              </w:rPr>
              <w:t>231.2</w:t>
            </w:r>
            <w:r w:rsidRPr="0080095D">
              <w:rPr>
                <w:rFonts w:ascii="Times New Roman" w:hAnsi="Times New Roman" w:cs="Times New Roman"/>
                <w:sz w:val="24"/>
                <w:lang w:eastAsia="zh-CN"/>
              </w:rPr>
              <w:t>万个，全年新建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基站约</w:t>
            </w:r>
            <w:r w:rsidRPr="0080095D">
              <w:rPr>
                <w:rFonts w:ascii="Times New Roman" w:hAnsi="Times New Roman" w:cs="Times New Roman"/>
                <w:sz w:val="24"/>
                <w:lang w:eastAsia="zh-CN"/>
              </w:rPr>
              <w:t>88.7</w:t>
            </w:r>
            <w:r w:rsidRPr="0080095D">
              <w:rPr>
                <w:rFonts w:ascii="Times New Roman" w:hAnsi="Times New Roman" w:cs="Times New Roman"/>
                <w:sz w:val="24"/>
                <w:lang w:eastAsia="zh-CN"/>
              </w:rPr>
              <w:t>万个，占移动基站总数的</w:t>
            </w:r>
            <w:r w:rsidRPr="0080095D">
              <w:rPr>
                <w:rFonts w:ascii="Times New Roman" w:hAnsi="Times New Roman" w:cs="Times New Roman"/>
                <w:sz w:val="24"/>
                <w:lang w:eastAsia="zh-CN"/>
              </w:rPr>
              <w:t>21.3%</w:t>
            </w:r>
            <w:r w:rsidRPr="0080095D">
              <w:rPr>
                <w:rFonts w:ascii="Times New Roman" w:hAnsi="Times New Roman" w:cs="Times New Roman"/>
                <w:sz w:val="24"/>
                <w:lang w:eastAsia="zh-CN"/>
              </w:rPr>
              <w:t>。根据《扬帆计划》的建设目标，到</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年每万人拥有</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基站数超过</w:t>
            </w:r>
            <w:r w:rsidRPr="0080095D">
              <w:rPr>
                <w:rFonts w:ascii="Times New Roman" w:hAnsi="Times New Roman" w:cs="Times New Roman"/>
                <w:sz w:val="24"/>
                <w:lang w:eastAsia="zh-CN"/>
              </w:rPr>
              <w:t>18</w:t>
            </w:r>
            <w:r w:rsidRPr="0080095D">
              <w:rPr>
                <w:rFonts w:ascii="Times New Roman" w:hAnsi="Times New Roman" w:cs="Times New Roman"/>
                <w:sz w:val="24"/>
                <w:lang w:eastAsia="zh-CN"/>
              </w:rPr>
              <w:t>个测算，全国</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基站数预计将</w:t>
            </w:r>
            <w:r w:rsidRPr="0080095D">
              <w:rPr>
                <w:rFonts w:ascii="Times New Roman" w:hAnsi="Times New Roman" w:cs="Times New Roman" w:hint="eastAsia"/>
                <w:sz w:val="24"/>
                <w:lang w:eastAsia="zh-CN"/>
              </w:rPr>
              <w:t>达到</w:t>
            </w:r>
            <w:r w:rsidRPr="0080095D">
              <w:rPr>
                <w:rFonts w:ascii="Times New Roman" w:hAnsi="Times New Roman" w:cs="Times New Roman"/>
                <w:sz w:val="24"/>
                <w:lang w:eastAsia="zh-CN"/>
              </w:rPr>
              <w:t>252</w:t>
            </w:r>
            <w:r w:rsidRPr="0080095D">
              <w:rPr>
                <w:rFonts w:ascii="Times New Roman" w:hAnsi="Times New Roman" w:cs="Times New Roman"/>
                <w:sz w:val="24"/>
                <w:lang w:eastAsia="zh-CN"/>
              </w:rPr>
              <w:t>万个；根据工信部《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十四五</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信息通信行业发展规划》，到</w:t>
            </w:r>
            <w:r w:rsidRPr="0080095D">
              <w:rPr>
                <w:rFonts w:ascii="Times New Roman" w:hAnsi="Times New Roman" w:cs="Times New Roman"/>
                <w:sz w:val="24"/>
                <w:lang w:eastAsia="zh-CN"/>
              </w:rPr>
              <w:t>2025</w:t>
            </w:r>
            <w:r w:rsidRPr="0080095D">
              <w:rPr>
                <w:rFonts w:ascii="Times New Roman" w:hAnsi="Times New Roman" w:cs="Times New Roman"/>
                <w:sz w:val="24"/>
                <w:lang w:eastAsia="zh-CN"/>
              </w:rPr>
              <w:t>年，每万人拥有</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基站数将达</w:t>
            </w:r>
            <w:r w:rsidRPr="0080095D">
              <w:rPr>
                <w:rFonts w:ascii="Times New Roman" w:hAnsi="Times New Roman" w:cs="Times New Roman"/>
                <w:sz w:val="24"/>
                <w:lang w:eastAsia="zh-CN"/>
              </w:rPr>
              <w:t>26</w:t>
            </w:r>
            <w:r w:rsidRPr="0080095D">
              <w:rPr>
                <w:rFonts w:ascii="Times New Roman" w:hAnsi="Times New Roman" w:cs="Times New Roman"/>
                <w:sz w:val="24"/>
                <w:lang w:eastAsia="zh-CN"/>
              </w:rPr>
              <w:t>个，按照全国</w:t>
            </w:r>
            <w:r w:rsidRPr="0080095D">
              <w:rPr>
                <w:rFonts w:ascii="Times New Roman" w:hAnsi="Times New Roman" w:cs="Times New Roman"/>
                <w:sz w:val="24"/>
                <w:lang w:eastAsia="zh-CN"/>
              </w:rPr>
              <w:t>14</w:t>
            </w:r>
            <w:r w:rsidRPr="0080095D">
              <w:rPr>
                <w:rFonts w:ascii="Times New Roman" w:hAnsi="Times New Roman" w:cs="Times New Roman"/>
                <w:sz w:val="24"/>
                <w:lang w:eastAsia="zh-CN"/>
              </w:rPr>
              <w:t>亿人口计算，共需约</w:t>
            </w:r>
            <w:r w:rsidRPr="0080095D">
              <w:rPr>
                <w:rFonts w:ascii="Times New Roman" w:hAnsi="Times New Roman" w:cs="Times New Roman"/>
                <w:sz w:val="24"/>
                <w:lang w:eastAsia="zh-CN"/>
              </w:rPr>
              <w:t>364</w:t>
            </w:r>
            <w:r w:rsidRPr="0080095D">
              <w:rPr>
                <w:rFonts w:ascii="Times New Roman" w:hAnsi="Times New Roman" w:cs="Times New Roman"/>
                <w:sz w:val="24"/>
                <w:lang w:eastAsia="zh-CN"/>
              </w:rPr>
              <w:t>万站</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基站；根据</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日工信部公开</w:t>
            </w:r>
            <w:r w:rsidRPr="0080095D">
              <w:rPr>
                <w:rFonts w:ascii="Times New Roman" w:hAnsi="Times New Roman" w:cs="Times New Roman"/>
                <w:sz w:val="24"/>
                <w:lang w:eastAsia="zh-CN"/>
              </w:rPr>
              <w:lastRenderedPageBreak/>
              <w:t>信息显示，</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年将新建开通</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w:t>
            </w:r>
            <w:r w:rsidRPr="0080095D">
              <w:rPr>
                <w:rFonts w:ascii="Times New Roman" w:hAnsi="Times New Roman" w:cs="Times New Roman"/>
                <w:sz w:val="24"/>
                <w:lang w:eastAsia="zh-CN"/>
              </w:rPr>
              <w:t>60</w:t>
            </w:r>
            <w:r w:rsidRPr="0080095D">
              <w:rPr>
                <w:rFonts w:ascii="Times New Roman" w:hAnsi="Times New Roman" w:cs="Times New Roman"/>
                <w:sz w:val="24"/>
                <w:lang w:eastAsia="zh-CN"/>
              </w:rPr>
              <w:t>万个，总数将超过</w:t>
            </w:r>
            <w:r w:rsidRPr="0080095D">
              <w:rPr>
                <w:rFonts w:ascii="Times New Roman" w:hAnsi="Times New Roman" w:cs="Times New Roman"/>
                <w:sz w:val="24"/>
                <w:lang w:eastAsia="zh-CN"/>
              </w:rPr>
              <w:t>290</w:t>
            </w:r>
            <w:r w:rsidRPr="0080095D">
              <w:rPr>
                <w:rFonts w:ascii="Times New Roman" w:hAnsi="Times New Roman" w:cs="Times New Roman"/>
                <w:sz w:val="24"/>
                <w:lang w:eastAsia="zh-CN"/>
              </w:rPr>
              <w:t>万个。因此</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建设工作仍将持续开展。与此同时，基于工业互联网等物联网应用的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终端（包括</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小基站、</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微基站、室内分布等）也将得到大规模发展。</w:t>
            </w:r>
          </w:p>
          <w:p w14:paraId="78C16915"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与金属腔体滤波器相比，介质波导滤波器在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通信应用领域具有独特优势。同等频率要求下，介质波导滤波器产品的体积更小、重量更轻。其体积小、重量轻、成本低、接口方式多样，能够适应滤波器定制化、个性化的发展趋势。</w:t>
            </w:r>
          </w:p>
          <w:p w14:paraId="0044B871" w14:textId="2CF59A09" w:rsidR="00804202" w:rsidRPr="00B97267" w:rsidRDefault="0080095D" w:rsidP="00B8094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工艺和成本方面，介质波导滤波器的制造技术与传统金属腔体滤波器相比差异较大，由金属成型加工为主变成介质陶瓷粉末成型加工。相较而言，传统金属腔体滤波器的批量生产效率较低，不适合大批量、大规模的生产，加工环节需要大量的数控机床，单位设备、人力的产出效率较低，生产成本较高。介质波导滤波器通过不断优化批量生产制造工艺，可实现大规模、大批量生产，调试等工序的效率、单位设备和单位人力的产出数量远高于金属腔体滤波器，整体生产成本可以显著降低。谢谢。</w:t>
            </w:r>
          </w:p>
        </w:tc>
      </w:tr>
      <w:tr w:rsidR="009F30B6" w:rsidRPr="00B97267" w14:paraId="3B823354" w14:textId="77777777" w:rsidTr="0095645D">
        <w:trPr>
          <w:trHeight w:val="935"/>
        </w:trPr>
        <w:tc>
          <w:tcPr>
            <w:tcW w:w="2014" w:type="dxa"/>
          </w:tcPr>
          <w:p w14:paraId="1472A215" w14:textId="77777777" w:rsidR="009F30B6" w:rsidRPr="00B97267" w:rsidRDefault="009F30B6" w:rsidP="00CF4B0A">
            <w:pPr>
              <w:pStyle w:val="TableParagraph"/>
              <w:spacing w:before="79"/>
              <w:rPr>
                <w:rFonts w:ascii="Times New Roman" w:hAnsi="Times New Roman" w:cs="Times New Roman"/>
                <w:sz w:val="24"/>
              </w:rPr>
            </w:pPr>
            <w:r w:rsidRPr="00B97267">
              <w:rPr>
                <w:rFonts w:ascii="Times New Roman" w:hAnsi="Times New Roman" w:cs="Times New Roman"/>
                <w:sz w:val="24"/>
              </w:rPr>
              <w:lastRenderedPageBreak/>
              <w:t>附件清单（</w:t>
            </w:r>
            <w:r w:rsidRPr="00B97267">
              <w:rPr>
                <w:rFonts w:ascii="Times New Roman" w:hAnsi="Times New Roman" w:cs="Times New Roman"/>
                <w:sz w:val="24"/>
              </w:rPr>
              <w:t xml:space="preserve"> </w:t>
            </w:r>
            <w:r w:rsidRPr="00B97267">
              <w:rPr>
                <w:rFonts w:ascii="Times New Roman" w:hAnsi="Times New Roman" w:cs="Times New Roman"/>
                <w:sz w:val="24"/>
              </w:rPr>
              <w:t>如</w:t>
            </w:r>
          </w:p>
          <w:p w14:paraId="0CC0B91A" w14:textId="77777777" w:rsidR="009F30B6" w:rsidRPr="00B97267" w:rsidRDefault="009F30B6" w:rsidP="00CF4B0A">
            <w:pPr>
              <w:pStyle w:val="TableParagraph"/>
              <w:spacing w:before="160"/>
              <w:rPr>
                <w:rFonts w:ascii="Times New Roman" w:hAnsi="Times New Roman" w:cs="Times New Roman"/>
                <w:sz w:val="24"/>
              </w:rPr>
            </w:pPr>
            <w:r w:rsidRPr="00B97267">
              <w:rPr>
                <w:rFonts w:ascii="Times New Roman" w:hAnsi="Times New Roman" w:cs="Times New Roman"/>
                <w:sz w:val="24"/>
              </w:rPr>
              <w:t>有）</w:t>
            </w:r>
          </w:p>
        </w:tc>
        <w:tc>
          <w:tcPr>
            <w:tcW w:w="6917" w:type="dxa"/>
            <w:vAlign w:val="center"/>
          </w:tcPr>
          <w:p w14:paraId="5889DA22" w14:textId="77777777" w:rsidR="009F30B6" w:rsidRPr="00B97267" w:rsidRDefault="00FC50BF" w:rsidP="00CF4B0A">
            <w:pPr>
              <w:pStyle w:val="TableParagraph"/>
              <w:ind w:left="0"/>
              <w:rPr>
                <w:rFonts w:ascii="Times New Roman" w:hAnsi="Times New Roman" w:cs="Times New Roman"/>
                <w:sz w:val="24"/>
              </w:rPr>
            </w:pPr>
            <w:r w:rsidRPr="00B97267">
              <w:rPr>
                <w:rFonts w:ascii="Times New Roman" w:hAnsi="Times New Roman" w:cs="Times New Roman"/>
                <w:sz w:val="24"/>
                <w:lang w:eastAsia="zh-CN"/>
              </w:rPr>
              <w:t>无</w:t>
            </w:r>
          </w:p>
        </w:tc>
      </w:tr>
      <w:tr w:rsidR="00147B55" w:rsidRPr="00B97267" w14:paraId="66988184" w14:textId="77777777" w:rsidTr="0095645D">
        <w:trPr>
          <w:trHeight w:val="935"/>
        </w:trPr>
        <w:tc>
          <w:tcPr>
            <w:tcW w:w="2014" w:type="dxa"/>
            <w:vAlign w:val="center"/>
          </w:tcPr>
          <w:p w14:paraId="0CF7E35A" w14:textId="77777777" w:rsidR="00147B55" w:rsidRPr="00B97267" w:rsidRDefault="00147B55" w:rsidP="00147B55">
            <w:pPr>
              <w:pStyle w:val="TableParagraph"/>
              <w:spacing w:before="79"/>
              <w:jc w:val="center"/>
              <w:rPr>
                <w:rFonts w:ascii="Times New Roman" w:hAnsi="Times New Roman" w:cs="Times New Roman"/>
                <w:sz w:val="24"/>
              </w:rPr>
            </w:pPr>
            <w:r w:rsidRPr="00B97267">
              <w:rPr>
                <w:rFonts w:ascii="Times New Roman" w:hAnsi="Times New Roman" w:cs="Times New Roman"/>
                <w:sz w:val="24"/>
                <w:lang w:eastAsia="zh-CN"/>
              </w:rPr>
              <w:t>日期</w:t>
            </w:r>
          </w:p>
        </w:tc>
        <w:tc>
          <w:tcPr>
            <w:tcW w:w="6917" w:type="dxa"/>
            <w:vAlign w:val="center"/>
          </w:tcPr>
          <w:p w14:paraId="1CD9B243" w14:textId="47E8A2E9" w:rsidR="00147B55" w:rsidRPr="00B97267" w:rsidRDefault="003212CB" w:rsidP="003212CB">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Pr>
                <w:rFonts w:ascii="Times New Roman" w:hAnsi="Times New Roman" w:cs="Times New Roman"/>
                <w:sz w:val="24"/>
                <w:lang w:eastAsia="zh-CN"/>
              </w:rPr>
              <w:t>10</w:t>
            </w:r>
            <w:r w:rsidRPr="00B97267">
              <w:rPr>
                <w:rFonts w:ascii="Times New Roman" w:hAnsi="Times New Roman" w:cs="Times New Roman"/>
                <w:sz w:val="24"/>
                <w:lang w:eastAsia="zh-CN"/>
              </w:rPr>
              <w:t>月</w:t>
            </w:r>
            <w:r>
              <w:rPr>
                <w:rFonts w:ascii="Times New Roman" w:hAnsi="Times New Roman" w:cs="Times New Roman"/>
                <w:sz w:val="24"/>
                <w:lang w:eastAsia="zh-CN"/>
              </w:rPr>
              <w:t>20</w:t>
            </w:r>
            <w:r w:rsidR="00A22CB1" w:rsidRPr="00B97267">
              <w:rPr>
                <w:rFonts w:ascii="Times New Roman" w:hAnsi="Times New Roman" w:cs="Times New Roman"/>
                <w:sz w:val="24"/>
                <w:lang w:eastAsia="zh-CN"/>
              </w:rPr>
              <w:t>日</w:t>
            </w:r>
          </w:p>
        </w:tc>
      </w:tr>
    </w:tbl>
    <w:p w14:paraId="03AD823E" w14:textId="77777777" w:rsidR="002555DA" w:rsidRPr="00B97267" w:rsidRDefault="002555DA">
      <w:pPr>
        <w:rPr>
          <w:rFonts w:ascii="Times New Roman" w:hAnsi="Times New Roman" w:cs="Times New Roman"/>
        </w:rPr>
      </w:pPr>
    </w:p>
    <w:sectPr w:rsidR="002555DA" w:rsidRPr="00B97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BC3D" w14:textId="77777777" w:rsidR="00914038" w:rsidRDefault="00914038" w:rsidP="009F30B6">
      <w:r>
        <w:separator/>
      </w:r>
    </w:p>
  </w:endnote>
  <w:endnote w:type="continuationSeparator" w:id="0">
    <w:p w14:paraId="72CA6D42" w14:textId="77777777" w:rsidR="00914038" w:rsidRDefault="00914038"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CFE9" w14:textId="77777777" w:rsidR="00914038" w:rsidRDefault="00914038" w:rsidP="009F30B6">
      <w:r>
        <w:separator/>
      </w:r>
    </w:p>
  </w:footnote>
  <w:footnote w:type="continuationSeparator" w:id="0">
    <w:p w14:paraId="366AE3B8" w14:textId="77777777" w:rsidR="00914038" w:rsidRDefault="00914038"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3A"/>
    <w:rsid w:val="00003788"/>
    <w:rsid w:val="00011560"/>
    <w:rsid w:val="00030144"/>
    <w:rsid w:val="00033455"/>
    <w:rsid w:val="00041044"/>
    <w:rsid w:val="00041826"/>
    <w:rsid w:val="00051173"/>
    <w:rsid w:val="000567BB"/>
    <w:rsid w:val="000644D6"/>
    <w:rsid w:val="00070347"/>
    <w:rsid w:val="00072CBC"/>
    <w:rsid w:val="000848B3"/>
    <w:rsid w:val="000A0435"/>
    <w:rsid w:val="000B5FB7"/>
    <w:rsid w:val="000D07BA"/>
    <w:rsid w:val="0010263E"/>
    <w:rsid w:val="00136632"/>
    <w:rsid w:val="00141CD4"/>
    <w:rsid w:val="00147173"/>
    <w:rsid w:val="00147B55"/>
    <w:rsid w:val="001519AE"/>
    <w:rsid w:val="00175B80"/>
    <w:rsid w:val="00176116"/>
    <w:rsid w:val="001770E6"/>
    <w:rsid w:val="001A0911"/>
    <w:rsid w:val="001C5725"/>
    <w:rsid w:val="0022594F"/>
    <w:rsid w:val="002345AA"/>
    <w:rsid w:val="002555DA"/>
    <w:rsid w:val="002805B5"/>
    <w:rsid w:val="002874BE"/>
    <w:rsid w:val="002B1E7D"/>
    <w:rsid w:val="002E3423"/>
    <w:rsid w:val="00314004"/>
    <w:rsid w:val="003212CB"/>
    <w:rsid w:val="0034587A"/>
    <w:rsid w:val="00396292"/>
    <w:rsid w:val="003A26EF"/>
    <w:rsid w:val="003A4267"/>
    <w:rsid w:val="003A4E64"/>
    <w:rsid w:val="003C3437"/>
    <w:rsid w:val="0040248F"/>
    <w:rsid w:val="00416B63"/>
    <w:rsid w:val="00425362"/>
    <w:rsid w:val="00431BCD"/>
    <w:rsid w:val="004744E3"/>
    <w:rsid w:val="0048191F"/>
    <w:rsid w:val="0048246B"/>
    <w:rsid w:val="00496E33"/>
    <w:rsid w:val="0049745A"/>
    <w:rsid w:val="004B5C91"/>
    <w:rsid w:val="004B625E"/>
    <w:rsid w:val="004C453A"/>
    <w:rsid w:val="004C60C3"/>
    <w:rsid w:val="004D27C9"/>
    <w:rsid w:val="00583780"/>
    <w:rsid w:val="00587FE8"/>
    <w:rsid w:val="00597F3B"/>
    <w:rsid w:val="005C5A45"/>
    <w:rsid w:val="005C72A9"/>
    <w:rsid w:val="005D7118"/>
    <w:rsid w:val="00603587"/>
    <w:rsid w:val="00626E72"/>
    <w:rsid w:val="00632EAA"/>
    <w:rsid w:val="00636BD9"/>
    <w:rsid w:val="00644B00"/>
    <w:rsid w:val="00645CFF"/>
    <w:rsid w:val="00650C3A"/>
    <w:rsid w:val="006754B5"/>
    <w:rsid w:val="00694ED6"/>
    <w:rsid w:val="006A6300"/>
    <w:rsid w:val="00712B00"/>
    <w:rsid w:val="007370B9"/>
    <w:rsid w:val="007479AF"/>
    <w:rsid w:val="00753614"/>
    <w:rsid w:val="007744C7"/>
    <w:rsid w:val="007850D3"/>
    <w:rsid w:val="00797BCF"/>
    <w:rsid w:val="007B7952"/>
    <w:rsid w:val="007D20D4"/>
    <w:rsid w:val="007F3326"/>
    <w:rsid w:val="0080095D"/>
    <w:rsid w:val="00804202"/>
    <w:rsid w:val="00822B05"/>
    <w:rsid w:val="00837F45"/>
    <w:rsid w:val="00852B94"/>
    <w:rsid w:val="008561E5"/>
    <w:rsid w:val="00864FA3"/>
    <w:rsid w:val="00883FC2"/>
    <w:rsid w:val="00893B3F"/>
    <w:rsid w:val="00893E37"/>
    <w:rsid w:val="008B430F"/>
    <w:rsid w:val="008C22CE"/>
    <w:rsid w:val="008C54A0"/>
    <w:rsid w:val="008D789B"/>
    <w:rsid w:val="008E3B92"/>
    <w:rsid w:val="00914038"/>
    <w:rsid w:val="0095645D"/>
    <w:rsid w:val="00986066"/>
    <w:rsid w:val="009945CC"/>
    <w:rsid w:val="009D3C51"/>
    <w:rsid w:val="009E06B1"/>
    <w:rsid w:val="009E72E2"/>
    <w:rsid w:val="009E7F03"/>
    <w:rsid w:val="009F30B6"/>
    <w:rsid w:val="00A032B3"/>
    <w:rsid w:val="00A03774"/>
    <w:rsid w:val="00A20337"/>
    <w:rsid w:val="00A22CB1"/>
    <w:rsid w:val="00A7719D"/>
    <w:rsid w:val="00AA2C49"/>
    <w:rsid w:val="00AB6B38"/>
    <w:rsid w:val="00AD33B9"/>
    <w:rsid w:val="00AD66DC"/>
    <w:rsid w:val="00AE0924"/>
    <w:rsid w:val="00B03F30"/>
    <w:rsid w:val="00B21576"/>
    <w:rsid w:val="00B25FBB"/>
    <w:rsid w:val="00B3636F"/>
    <w:rsid w:val="00B56921"/>
    <w:rsid w:val="00B8094D"/>
    <w:rsid w:val="00B84F84"/>
    <w:rsid w:val="00B97267"/>
    <w:rsid w:val="00BA4126"/>
    <w:rsid w:val="00BE4240"/>
    <w:rsid w:val="00BE5F3B"/>
    <w:rsid w:val="00BE6B2C"/>
    <w:rsid w:val="00C20170"/>
    <w:rsid w:val="00C2655C"/>
    <w:rsid w:val="00C27EC2"/>
    <w:rsid w:val="00C31295"/>
    <w:rsid w:val="00C55FC0"/>
    <w:rsid w:val="00C73EFB"/>
    <w:rsid w:val="00CA7AA8"/>
    <w:rsid w:val="00CB6FE6"/>
    <w:rsid w:val="00CC2BC6"/>
    <w:rsid w:val="00CC630A"/>
    <w:rsid w:val="00CF6B42"/>
    <w:rsid w:val="00D049AF"/>
    <w:rsid w:val="00D14240"/>
    <w:rsid w:val="00D20F3A"/>
    <w:rsid w:val="00D502E2"/>
    <w:rsid w:val="00D73E47"/>
    <w:rsid w:val="00D8105D"/>
    <w:rsid w:val="00D97BE0"/>
    <w:rsid w:val="00D97E0B"/>
    <w:rsid w:val="00DA1104"/>
    <w:rsid w:val="00DE0975"/>
    <w:rsid w:val="00DE0DC1"/>
    <w:rsid w:val="00DE49D6"/>
    <w:rsid w:val="00DE7982"/>
    <w:rsid w:val="00DF0FB2"/>
    <w:rsid w:val="00E07276"/>
    <w:rsid w:val="00E07507"/>
    <w:rsid w:val="00E37E3E"/>
    <w:rsid w:val="00E42387"/>
    <w:rsid w:val="00E46F1E"/>
    <w:rsid w:val="00EA6B2F"/>
    <w:rsid w:val="00EB00DF"/>
    <w:rsid w:val="00F0559E"/>
    <w:rsid w:val="00F103FF"/>
    <w:rsid w:val="00F13868"/>
    <w:rsid w:val="00F16BEF"/>
    <w:rsid w:val="00F2072A"/>
    <w:rsid w:val="00F462C0"/>
    <w:rsid w:val="00F73A2F"/>
    <w:rsid w:val="00F759AA"/>
    <w:rsid w:val="00F8507A"/>
    <w:rsid w:val="00F91FCF"/>
    <w:rsid w:val="00F94A3C"/>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8F20F-8F54-4491-B008-6FCA6940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868</Words>
  <Characters>4953</Characters>
  <Application>Microsoft Office Word</Application>
  <DocSecurity>0</DocSecurity>
  <Lines>41</Lines>
  <Paragraphs>11</Paragraphs>
  <ScaleCrop>false</ScaleCrop>
  <Company>P R C</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6</cp:revision>
  <dcterms:created xsi:type="dcterms:W3CDTF">2023-10-20T08:35:00Z</dcterms:created>
  <dcterms:modified xsi:type="dcterms:W3CDTF">2023-10-20T08:58:00Z</dcterms:modified>
</cp:coreProperties>
</file>