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1D62" w14:textId="77777777" w:rsidR="002E0ECE" w:rsidRDefault="00000000">
      <w:pPr>
        <w:pStyle w:val="a3"/>
        <w:tabs>
          <w:tab w:val="left" w:pos="4225"/>
        </w:tabs>
        <w:spacing w:before="54"/>
        <w:ind w:left="25"/>
        <w:rPr>
          <w:rFonts w:ascii="微软雅黑" w:eastAsia="微软雅黑" w:hAnsi="微软雅黑" w:cs="微软雅黑"/>
          <w:b/>
          <w:bCs/>
          <w:sz w:val="26"/>
        </w:rPr>
      </w:pPr>
      <w:r>
        <w:rPr>
          <w:rFonts w:ascii="微软雅黑" w:eastAsia="微软雅黑" w:hAnsi="微软雅黑" w:cs="微软雅黑" w:hint="eastAsia"/>
          <w:b/>
          <w:bCs/>
        </w:rPr>
        <w:t>证券代码：600702</w:t>
      </w:r>
      <w:r>
        <w:rPr>
          <w:rFonts w:ascii="微软雅黑" w:eastAsia="微软雅黑" w:hAnsi="微软雅黑" w:cs="微软雅黑" w:hint="eastAsia"/>
          <w:b/>
          <w:bCs/>
        </w:rPr>
        <w:tab/>
        <w:t xml:space="preserve">                                证券简称：</w:t>
      </w:r>
      <w:r>
        <w:rPr>
          <w:rFonts w:ascii="微软雅黑" w:eastAsia="微软雅黑" w:hAnsi="微软雅黑" w:cs="微软雅黑" w:hint="eastAsia"/>
          <w:b/>
          <w:bCs/>
          <w:lang w:eastAsia="zh-Hans"/>
        </w:rPr>
        <w:t>舍得酒业</w:t>
      </w:r>
    </w:p>
    <w:p w14:paraId="26AC2014" w14:textId="77777777" w:rsidR="002E0ECE" w:rsidRDefault="002E0ECE">
      <w:pPr>
        <w:spacing w:line="360" w:lineRule="auto"/>
        <w:ind w:firstLineChars="200" w:firstLine="560"/>
        <w:jc w:val="center"/>
        <w:rPr>
          <w:rFonts w:ascii="微软雅黑" w:eastAsia="微软雅黑" w:hAnsi="微软雅黑"/>
          <w:b/>
          <w:sz w:val="28"/>
          <w:szCs w:val="28"/>
        </w:rPr>
      </w:pPr>
    </w:p>
    <w:p w14:paraId="34577330" w14:textId="77777777" w:rsidR="002E0ECE" w:rsidRDefault="00000000">
      <w:pPr>
        <w:spacing w:line="360" w:lineRule="auto"/>
        <w:jc w:val="center"/>
        <w:rPr>
          <w:rFonts w:ascii="宋体" w:eastAsia="微软雅黑" w:hAnsi="宋体" w:cs="宋体"/>
          <w:b/>
          <w:bCs/>
        </w:rPr>
      </w:pPr>
      <w:r>
        <w:rPr>
          <w:rFonts w:ascii="微软雅黑" w:eastAsia="微软雅黑" w:hAnsi="微软雅黑" w:hint="eastAsia"/>
          <w:b/>
          <w:sz w:val="32"/>
          <w:szCs w:val="32"/>
        </w:rPr>
        <w:t>舍得酒业</w:t>
      </w:r>
      <w:r>
        <w:rPr>
          <w:rFonts w:ascii="微软雅黑" w:eastAsia="微软雅黑" w:hAnsi="微软雅黑"/>
          <w:b/>
          <w:sz w:val="32"/>
          <w:szCs w:val="32"/>
        </w:rPr>
        <w:t>股份有限公司投资者关系活动记录表</w:t>
      </w:r>
    </w:p>
    <w:p w14:paraId="19EABCB3" w14:textId="77777777" w:rsidR="002E0ECE" w:rsidRDefault="002E0ECE">
      <w:pPr>
        <w:rPr>
          <w:rFonts w:ascii="宋体" w:eastAsia="宋体" w:hAnsi="宋体" w:cs="宋体"/>
        </w:rPr>
      </w:pPr>
    </w:p>
    <w:p w14:paraId="5D55E4B6" w14:textId="77777777" w:rsidR="002E0ECE" w:rsidRDefault="002E0ECE">
      <w:pPr>
        <w:jc w:val="right"/>
        <w:rPr>
          <w:rFonts w:ascii="宋体" w:eastAsia="宋体" w:hAnsi="宋体" w:cs="宋体"/>
        </w:rPr>
      </w:pPr>
    </w:p>
    <w:p w14:paraId="4333F11C" w14:textId="77777777" w:rsidR="002E0ECE" w:rsidRDefault="00000000">
      <w:pPr>
        <w:jc w:val="right"/>
        <w:rPr>
          <w:rFonts w:ascii="宋体" w:eastAsia="宋体" w:hAnsi="宋体" w:cs="宋体"/>
          <w:b/>
        </w:rPr>
      </w:pPr>
      <w:r>
        <w:rPr>
          <w:rFonts w:ascii="宋体" w:eastAsia="宋体" w:hAnsi="宋体" w:cs="宋体" w:hint="eastAsia"/>
          <w:b/>
        </w:rPr>
        <w:t>编号：2</w:t>
      </w:r>
      <w:r>
        <w:rPr>
          <w:rFonts w:ascii="宋体" w:eastAsia="宋体" w:hAnsi="宋体" w:cs="宋体"/>
          <w:b/>
        </w:rPr>
        <w:t>02</w:t>
      </w:r>
      <w:r>
        <w:rPr>
          <w:rFonts w:ascii="宋体" w:eastAsia="宋体" w:hAnsi="宋体" w:cs="宋体" w:hint="eastAsia"/>
          <w:b/>
        </w:rPr>
        <w:t>3-</w:t>
      </w:r>
      <w:r>
        <w:rPr>
          <w:rFonts w:ascii="宋体" w:eastAsia="宋体" w:hAnsi="宋体" w:cs="宋体"/>
          <w:b/>
        </w:rPr>
        <w:t>0</w:t>
      </w:r>
      <w:r>
        <w:rPr>
          <w:rFonts w:ascii="宋体" w:eastAsia="宋体" w:hAnsi="宋体" w:cs="宋体" w:hint="eastAsia"/>
          <w:b/>
        </w:rPr>
        <w:t>05</w:t>
      </w:r>
    </w:p>
    <w:tbl>
      <w:tblPr>
        <w:tblStyle w:val="a9"/>
        <w:tblpPr w:leftFromText="180" w:rightFromText="180" w:vertAnchor="page" w:horzAnchor="page" w:tblpX="935" w:tblpY="4362"/>
        <w:tblOverlap w:val="never"/>
        <w:tblW w:w="10187" w:type="dxa"/>
        <w:tblLook w:val="04A0" w:firstRow="1" w:lastRow="0" w:firstColumn="1" w:lastColumn="0" w:noHBand="0" w:noVBand="1"/>
      </w:tblPr>
      <w:tblGrid>
        <w:gridCol w:w="2000"/>
        <w:gridCol w:w="8187"/>
      </w:tblGrid>
      <w:tr w:rsidR="002E0ECE" w14:paraId="64F0E431" w14:textId="77777777">
        <w:tc>
          <w:tcPr>
            <w:tcW w:w="2000" w:type="dxa"/>
          </w:tcPr>
          <w:p w14:paraId="3AB59497" w14:textId="77777777" w:rsidR="002E0ECE" w:rsidRDefault="002E0ECE">
            <w:pPr>
              <w:spacing w:beforeLines="50" w:before="156" w:afterLines="50" w:after="156"/>
              <w:jc w:val="center"/>
              <w:rPr>
                <w:rFonts w:ascii="宋体" w:eastAsia="宋体" w:hAnsi="宋体" w:cs="宋体"/>
                <w:kern w:val="0"/>
                <w:sz w:val="24"/>
              </w:rPr>
            </w:pPr>
          </w:p>
          <w:p w14:paraId="63124164" w14:textId="77777777" w:rsidR="002E0ECE" w:rsidRDefault="00000000">
            <w:pPr>
              <w:spacing w:beforeLines="50" w:before="156" w:afterLines="50" w:after="156"/>
              <w:jc w:val="center"/>
              <w:rPr>
                <w:rFonts w:ascii="宋体" w:eastAsia="宋体" w:hAnsi="宋体" w:cs="宋体"/>
                <w:kern w:val="0"/>
                <w:sz w:val="24"/>
              </w:rPr>
            </w:pPr>
            <w:r>
              <w:rPr>
                <w:rFonts w:ascii="宋体" w:eastAsia="宋体" w:hAnsi="宋体" w:cs="宋体" w:hint="eastAsia"/>
                <w:kern w:val="0"/>
                <w:sz w:val="24"/>
              </w:rPr>
              <w:t>投资者关系</w:t>
            </w:r>
          </w:p>
          <w:p w14:paraId="4E637FAE" w14:textId="77777777" w:rsidR="002E0ECE" w:rsidRDefault="00000000">
            <w:pPr>
              <w:spacing w:beforeLines="50" w:before="156" w:afterLines="50" w:after="156"/>
              <w:jc w:val="center"/>
              <w:rPr>
                <w:rFonts w:ascii="宋体" w:eastAsia="宋体" w:hAnsi="宋体" w:cs="宋体"/>
                <w:kern w:val="0"/>
                <w:sz w:val="24"/>
              </w:rPr>
            </w:pPr>
            <w:r>
              <w:rPr>
                <w:rFonts w:ascii="宋体" w:eastAsia="宋体" w:hAnsi="宋体" w:cs="宋体" w:hint="eastAsia"/>
                <w:kern w:val="0"/>
                <w:sz w:val="24"/>
              </w:rPr>
              <w:t>活动类别</w:t>
            </w:r>
          </w:p>
        </w:tc>
        <w:tc>
          <w:tcPr>
            <w:tcW w:w="8187" w:type="dxa"/>
          </w:tcPr>
          <w:p w14:paraId="5A2614B2" w14:textId="77777777" w:rsidR="002E0ECE" w:rsidRDefault="00000000">
            <w:pPr>
              <w:spacing w:beforeLines="50" w:before="156" w:afterLines="50" w:after="156"/>
              <w:rPr>
                <w:rFonts w:ascii="宋体" w:eastAsia="宋体" w:hAnsi="宋体" w:cs="宋体"/>
                <w:kern w:val="0"/>
                <w:sz w:val="24"/>
              </w:rPr>
            </w:pPr>
            <w:r>
              <w:rPr>
                <w:rFonts w:ascii="宋体" w:eastAsia="宋体" w:hAnsi="宋体" w:cs="宋体" w:hint="eastAsia"/>
                <w:kern w:val="0"/>
                <w:sz w:val="24"/>
              </w:rPr>
              <w:sym w:font="Wingdings 2" w:char="00A3"/>
            </w:r>
            <w:r>
              <w:rPr>
                <w:rFonts w:ascii="宋体" w:eastAsia="宋体" w:hAnsi="宋体" w:cs="宋体" w:hint="eastAsia"/>
                <w:kern w:val="0"/>
                <w:sz w:val="24"/>
              </w:rPr>
              <w:t xml:space="preserve"> 特定对象调研                          </w:t>
            </w:r>
            <w:r>
              <w:rPr>
                <w:rFonts w:ascii="宋体" w:eastAsia="宋体" w:hAnsi="宋体" w:cs="宋体" w:hint="eastAsia"/>
                <w:kern w:val="0"/>
                <w:sz w:val="24"/>
              </w:rPr>
              <w:sym w:font="Wingdings 2" w:char="00A3"/>
            </w:r>
            <w:r>
              <w:rPr>
                <w:rFonts w:ascii="宋体" w:eastAsia="宋体" w:hAnsi="宋体" w:cs="宋体" w:hint="eastAsia"/>
                <w:kern w:val="0"/>
                <w:sz w:val="24"/>
              </w:rPr>
              <w:t xml:space="preserve"> 分析师会议</w:t>
            </w:r>
          </w:p>
          <w:p w14:paraId="01F4CC61" w14:textId="77777777" w:rsidR="002E0ECE" w:rsidRDefault="00000000">
            <w:pPr>
              <w:spacing w:beforeLines="50" w:before="156" w:afterLines="50" w:after="156"/>
              <w:rPr>
                <w:rFonts w:ascii="宋体" w:eastAsia="宋体" w:hAnsi="宋体" w:cs="宋体"/>
                <w:kern w:val="0"/>
                <w:sz w:val="24"/>
              </w:rPr>
            </w:pPr>
            <w:r>
              <w:rPr>
                <w:rFonts w:ascii="宋体" w:eastAsia="宋体" w:hAnsi="宋体" w:cs="宋体" w:hint="eastAsia"/>
                <w:kern w:val="0"/>
                <w:sz w:val="24"/>
              </w:rPr>
              <w:sym w:font="Wingdings 2" w:char="00A3"/>
            </w:r>
            <w:r>
              <w:rPr>
                <w:rFonts w:ascii="宋体" w:eastAsia="宋体" w:hAnsi="宋体" w:cs="宋体" w:hint="eastAsia"/>
                <w:kern w:val="0"/>
                <w:sz w:val="24"/>
              </w:rPr>
              <w:t xml:space="preserve"> 现场参观                              </w:t>
            </w:r>
            <w:r>
              <w:rPr>
                <w:rFonts w:ascii="宋体" w:eastAsia="宋体" w:hAnsi="宋体" w:cs="宋体" w:hint="eastAsia"/>
                <w:kern w:val="0"/>
                <w:sz w:val="24"/>
              </w:rPr>
              <w:sym w:font="Wingdings 2" w:char="00A3"/>
            </w:r>
            <w:r>
              <w:rPr>
                <w:rFonts w:ascii="宋体" w:eastAsia="宋体" w:hAnsi="宋体" w:cs="宋体" w:hint="eastAsia"/>
                <w:kern w:val="0"/>
                <w:sz w:val="24"/>
              </w:rPr>
              <w:t xml:space="preserve"> 业绩说明会</w:t>
            </w:r>
          </w:p>
          <w:p w14:paraId="2751654E" w14:textId="77777777" w:rsidR="002E0ECE" w:rsidRDefault="00000000">
            <w:pPr>
              <w:spacing w:beforeLines="50" w:before="156" w:afterLines="50" w:after="156"/>
              <w:rPr>
                <w:rFonts w:ascii="宋体" w:eastAsia="宋体" w:hAnsi="宋体" w:cs="宋体"/>
                <w:kern w:val="0"/>
                <w:sz w:val="24"/>
              </w:rPr>
            </w:pPr>
            <w:r>
              <w:rPr>
                <w:rFonts w:ascii="宋体" w:eastAsia="宋体" w:hAnsi="宋体" w:cs="宋体" w:hint="eastAsia"/>
                <w:kern w:val="0"/>
                <w:sz w:val="24"/>
              </w:rPr>
              <w:sym w:font="Wingdings 2" w:char="00A3"/>
            </w:r>
            <w:r>
              <w:rPr>
                <w:rFonts w:ascii="宋体" w:eastAsia="宋体" w:hAnsi="宋体" w:cs="宋体" w:hint="eastAsia"/>
                <w:kern w:val="0"/>
                <w:sz w:val="24"/>
              </w:rPr>
              <w:t xml:space="preserve"> 新闻发布会                            </w:t>
            </w:r>
            <w:r>
              <w:rPr>
                <w:rFonts w:ascii="宋体" w:eastAsia="宋体" w:hAnsi="宋体" w:cs="宋体" w:hint="eastAsia"/>
                <w:kern w:val="0"/>
                <w:sz w:val="24"/>
              </w:rPr>
              <w:sym w:font="Wingdings 2" w:char="0052"/>
            </w:r>
            <w:r>
              <w:rPr>
                <w:rFonts w:ascii="宋体" w:eastAsia="宋体" w:hAnsi="宋体" w:cs="宋体" w:hint="eastAsia"/>
                <w:kern w:val="0"/>
                <w:sz w:val="24"/>
              </w:rPr>
              <w:t xml:space="preserve"> 路演活动</w:t>
            </w:r>
          </w:p>
          <w:p w14:paraId="78A8206D" w14:textId="77777777" w:rsidR="002E0ECE" w:rsidRDefault="00000000">
            <w:pPr>
              <w:spacing w:beforeLines="50" w:before="156" w:afterLines="50" w:after="156"/>
              <w:rPr>
                <w:rFonts w:ascii="宋体" w:eastAsia="宋体" w:hAnsi="宋体" w:cs="宋体"/>
                <w:kern w:val="0"/>
                <w:sz w:val="24"/>
              </w:rPr>
            </w:pPr>
            <w:r>
              <w:rPr>
                <w:rFonts w:ascii="宋体" w:eastAsia="宋体" w:hAnsi="宋体" w:cs="宋体" w:hint="eastAsia"/>
                <w:kern w:val="0"/>
                <w:sz w:val="24"/>
              </w:rPr>
              <w:sym w:font="Wingdings 2" w:char="00A3"/>
            </w:r>
            <w:r>
              <w:rPr>
                <w:rFonts w:ascii="宋体" w:eastAsia="宋体" w:hAnsi="宋体" w:cs="宋体" w:hint="eastAsia"/>
                <w:kern w:val="0"/>
                <w:sz w:val="24"/>
              </w:rPr>
              <w:t xml:space="preserve"> 媒体来访                              </w:t>
            </w:r>
            <w:r>
              <w:rPr>
                <w:rFonts w:ascii="宋体" w:eastAsia="宋体" w:hAnsi="宋体" w:cs="宋体" w:hint="eastAsia"/>
                <w:kern w:val="0"/>
                <w:sz w:val="24"/>
              </w:rPr>
              <w:sym w:font="Wingdings 2" w:char="00A3"/>
            </w:r>
            <w:r>
              <w:rPr>
                <w:rFonts w:ascii="宋体" w:eastAsia="宋体" w:hAnsi="宋体" w:cs="宋体" w:hint="eastAsia"/>
                <w:kern w:val="0"/>
                <w:sz w:val="24"/>
              </w:rPr>
              <w:t>其他（视频+网络会议）</w:t>
            </w:r>
          </w:p>
        </w:tc>
      </w:tr>
      <w:tr w:rsidR="002E0ECE" w14:paraId="6D68A4C6" w14:textId="77777777" w:rsidTr="00EA7FE6">
        <w:trPr>
          <w:trHeight w:val="703"/>
        </w:trPr>
        <w:tc>
          <w:tcPr>
            <w:tcW w:w="2000" w:type="dxa"/>
            <w:vAlign w:val="center"/>
          </w:tcPr>
          <w:p w14:paraId="086F098A" w14:textId="77777777" w:rsidR="002E0ECE" w:rsidRDefault="002E0ECE">
            <w:pPr>
              <w:spacing w:beforeLines="50" w:before="156" w:afterLines="50" w:after="156" w:line="500" w:lineRule="exact"/>
              <w:jc w:val="center"/>
              <w:rPr>
                <w:rFonts w:ascii="宋体" w:eastAsia="宋体" w:hAnsi="宋体" w:cs="宋体"/>
                <w:kern w:val="0"/>
                <w:sz w:val="24"/>
              </w:rPr>
            </w:pPr>
          </w:p>
          <w:p w14:paraId="26CDAF87" w14:textId="77777777" w:rsidR="002E0ECE" w:rsidRDefault="002E0ECE">
            <w:pPr>
              <w:spacing w:beforeLines="50" w:before="156" w:afterLines="50" w:after="156" w:line="500" w:lineRule="exact"/>
              <w:jc w:val="center"/>
              <w:rPr>
                <w:rFonts w:ascii="宋体" w:eastAsia="宋体" w:hAnsi="宋体" w:cs="宋体"/>
                <w:kern w:val="0"/>
                <w:sz w:val="24"/>
              </w:rPr>
            </w:pPr>
          </w:p>
          <w:p w14:paraId="3BD390F4" w14:textId="77777777" w:rsidR="002E0ECE" w:rsidRDefault="00000000">
            <w:pPr>
              <w:spacing w:beforeLines="50" w:before="156" w:afterLines="50" w:after="156" w:line="500" w:lineRule="exact"/>
              <w:jc w:val="center"/>
              <w:rPr>
                <w:rFonts w:ascii="宋体" w:eastAsia="宋体" w:hAnsi="宋体" w:cs="宋体"/>
                <w:kern w:val="0"/>
                <w:sz w:val="24"/>
              </w:rPr>
            </w:pPr>
            <w:r>
              <w:rPr>
                <w:rFonts w:ascii="宋体" w:eastAsia="宋体" w:hAnsi="宋体" w:cs="宋体" w:hint="eastAsia"/>
                <w:kern w:val="0"/>
                <w:sz w:val="24"/>
              </w:rPr>
              <w:t>参与单位名称及人员姓名</w:t>
            </w:r>
          </w:p>
        </w:tc>
        <w:tc>
          <w:tcPr>
            <w:tcW w:w="8187" w:type="dxa"/>
          </w:tcPr>
          <w:p w14:paraId="3E6CC259" w14:textId="77777777" w:rsidR="002E0ECE" w:rsidRDefault="00000000">
            <w:pPr>
              <w:spacing w:beforeLines="50" w:before="156" w:afterLines="50" w:after="156" w:line="480" w:lineRule="auto"/>
              <w:rPr>
                <w:rFonts w:ascii="宋体" w:eastAsia="宋体" w:hAnsi="宋体" w:cs="宋体"/>
                <w:kern w:val="0"/>
                <w:sz w:val="24"/>
              </w:rPr>
            </w:pPr>
            <w:r>
              <w:rPr>
                <w:rFonts w:ascii="宋体" w:eastAsia="宋体" w:hAnsi="宋体" w:cs="宋体" w:hint="eastAsia"/>
                <w:kern w:val="0"/>
                <w:sz w:val="24"/>
              </w:rPr>
              <w:t>中信证券、中金公司、招商证券、财通证券、华创证券、华泰证券、</w:t>
            </w:r>
            <w:proofErr w:type="gramStart"/>
            <w:r>
              <w:rPr>
                <w:rFonts w:ascii="宋体" w:eastAsia="宋体" w:hAnsi="宋体" w:cs="宋体" w:hint="eastAsia"/>
                <w:kern w:val="0"/>
                <w:sz w:val="24"/>
              </w:rPr>
              <w:t>浙商证券</w:t>
            </w:r>
            <w:proofErr w:type="gramEnd"/>
            <w:r>
              <w:rPr>
                <w:rFonts w:ascii="宋体" w:eastAsia="宋体" w:hAnsi="宋体" w:cs="宋体" w:hint="eastAsia"/>
                <w:kern w:val="0"/>
                <w:sz w:val="24"/>
              </w:rPr>
              <w:t>、太平洋证券、东北证券、平安证券、海通证券、长江证券、华鑫证券、天风证券、德</w:t>
            </w:r>
            <w:proofErr w:type="gramStart"/>
            <w:r>
              <w:rPr>
                <w:rFonts w:ascii="宋体" w:eastAsia="宋体" w:hAnsi="宋体" w:cs="宋体" w:hint="eastAsia"/>
                <w:kern w:val="0"/>
                <w:sz w:val="24"/>
              </w:rPr>
              <w:t>邦</w:t>
            </w:r>
            <w:proofErr w:type="gramEnd"/>
            <w:r>
              <w:rPr>
                <w:rFonts w:ascii="宋体" w:eastAsia="宋体" w:hAnsi="宋体" w:cs="宋体" w:hint="eastAsia"/>
                <w:kern w:val="0"/>
                <w:sz w:val="24"/>
              </w:rPr>
              <w:t>证券、华安证券、光大证券、中泰证券、民生证券、国金证券、东方证券、国信证券、信达证券、方正证券、安信证券、国盛证券、兴业证券、</w:t>
            </w:r>
            <w:proofErr w:type="gramStart"/>
            <w:r>
              <w:rPr>
                <w:rFonts w:ascii="宋体" w:eastAsia="宋体" w:hAnsi="宋体" w:cs="宋体" w:hint="eastAsia"/>
                <w:kern w:val="0"/>
                <w:sz w:val="24"/>
              </w:rPr>
              <w:t>汇添富</w:t>
            </w:r>
            <w:proofErr w:type="gramEnd"/>
            <w:r>
              <w:rPr>
                <w:rFonts w:ascii="宋体" w:eastAsia="宋体" w:hAnsi="宋体" w:cs="宋体" w:hint="eastAsia"/>
                <w:kern w:val="0"/>
                <w:sz w:val="24"/>
              </w:rPr>
              <w:t>基金、嘉实基金、博时基金、招商基金、广发基金、鹏华基金、银华基金、云南卓晔基金、东</w:t>
            </w:r>
            <w:proofErr w:type="gramStart"/>
            <w:r>
              <w:rPr>
                <w:rFonts w:ascii="宋体" w:eastAsia="宋体" w:hAnsi="宋体" w:cs="宋体" w:hint="eastAsia"/>
                <w:kern w:val="0"/>
                <w:sz w:val="24"/>
              </w:rPr>
              <w:t>证资管</w:t>
            </w:r>
            <w:proofErr w:type="gramEnd"/>
            <w:r>
              <w:rPr>
                <w:rFonts w:ascii="宋体" w:eastAsia="宋体" w:hAnsi="宋体" w:cs="宋体" w:hint="eastAsia"/>
                <w:kern w:val="0"/>
                <w:sz w:val="24"/>
              </w:rPr>
              <w:t>、财</w:t>
            </w:r>
            <w:proofErr w:type="gramStart"/>
            <w:r>
              <w:rPr>
                <w:rFonts w:ascii="宋体" w:eastAsia="宋体" w:hAnsi="宋体" w:cs="宋体" w:hint="eastAsia"/>
                <w:kern w:val="0"/>
                <w:sz w:val="24"/>
              </w:rPr>
              <w:t>通资管</w:t>
            </w:r>
            <w:proofErr w:type="gramEnd"/>
            <w:r>
              <w:rPr>
                <w:rFonts w:ascii="宋体" w:eastAsia="宋体" w:hAnsi="宋体" w:cs="宋体" w:hint="eastAsia"/>
                <w:kern w:val="0"/>
                <w:sz w:val="24"/>
              </w:rPr>
              <w:t>、景林资产、泰康资产、人保资产、海通国际资管、工银安</w:t>
            </w:r>
            <w:proofErr w:type="gramStart"/>
            <w:r>
              <w:rPr>
                <w:rFonts w:ascii="宋体" w:eastAsia="宋体" w:hAnsi="宋体" w:cs="宋体" w:hint="eastAsia"/>
                <w:kern w:val="0"/>
                <w:sz w:val="24"/>
              </w:rPr>
              <w:t>盛资管</w:t>
            </w:r>
            <w:proofErr w:type="gramEnd"/>
            <w:r>
              <w:rPr>
                <w:rFonts w:ascii="宋体" w:eastAsia="宋体" w:hAnsi="宋体" w:cs="宋体" w:hint="eastAsia"/>
                <w:kern w:val="0"/>
                <w:sz w:val="24"/>
              </w:rPr>
              <w:t>、广银理财、招银理财、中</w:t>
            </w:r>
            <w:proofErr w:type="gramStart"/>
            <w:r>
              <w:rPr>
                <w:rFonts w:ascii="宋体" w:eastAsia="宋体" w:hAnsi="宋体" w:cs="宋体" w:hint="eastAsia"/>
                <w:kern w:val="0"/>
                <w:sz w:val="24"/>
              </w:rPr>
              <w:t>信建投基金</w:t>
            </w:r>
            <w:proofErr w:type="gramEnd"/>
            <w:r>
              <w:rPr>
                <w:rFonts w:ascii="宋体" w:eastAsia="宋体" w:hAnsi="宋体" w:cs="宋体" w:hint="eastAsia"/>
                <w:kern w:val="0"/>
                <w:sz w:val="24"/>
              </w:rPr>
              <w:t>、</w:t>
            </w:r>
            <w:proofErr w:type="gramStart"/>
            <w:r>
              <w:rPr>
                <w:rFonts w:ascii="宋体" w:eastAsia="宋体" w:hAnsi="宋体" w:cs="宋体" w:hint="eastAsia"/>
                <w:kern w:val="0"/>
                <w:sz w:val="24"/>
              </w:rPr>
              <w:t>众安保险</w:t>
            </w:r>
            <w:proofErr w:type="gramEnd"/>
            <w:r>
              <w:rPr>
                <w:rFonts w:ascii="宋体" w:eastAsia="宋体" w:hAnsi="宋体" w:cs="宋体" w:hint="eastAsia"/>
                <w:kern w:val="0"/>
                <w:sz w:val="24"/>
              </w:rPr>
              <w:t>、长城基金、</w:t>
            </w:r>
            <w:proofErr w:type="gramStart"/>
            <w:r>
              <w:rPr>
                <w:rFonts w:ascii="宋体" w:eastAsia="宋体" w:hAnsi="宋体" w:cs="宋体" w:hint="eastAsia"/>
                <w:kern w:val="0"/>
                <w:sz w:val="24"/>
              </w:rPr>
              <w:t>信达澳亚基</w:t>
            </w:r>
            <w:proofErr w:type="gramEnd"/>
            <w:r>
              <w:rPr>
                <w:rFonts w:ascii="宋体" w:eastAsia="宋体" w:hAnsi="宋体" w:cs="宋体" w:hint="eastAsia"/>
                <w:kern w:val="0"/>
                <w:sz w:val="24"/>
              </w:rPr>
              <w:t>金、前海开源基金、国海富兰克林基金、</w:t>
            </w:r>
            <w:proofErr w:type="gramStart"/>
            <w:r>
              <w:rPr>
                <w:rFonts w:ascii="宋体" w:eastAsia="宋体" w:hAnsi="宋体" w:cs="宋体" w:hint="eastAsia"/>
                <w:kern w:val="0"/>
                <w:sz w:val="24"/>
              </w:rPr>
              <w:t>兴证全球</w:t>
            </w:r>
            <w:proofErr w:type="gramEnd"/>
            <w:r>
              <w:rPr>
                <w:rFonts w:ascii="宋体" w:eastAsia="宋体" w:hAnsi="宋体" w:cs="宋体" w:hint="eastAsia"/>
                <w:kern w:val="0"/>
                <w:sz w:val="24"/>
              </w:rPr>
              <w:t>基金、华泰柏瑞基金、中银三星、富达基金、摩根基金、格林基金、安信基金、</w:t>
            </w:r>
            <w:proofErr w:type="gramStart"/>
            <w:r>
              <w:rPr>
                <w:rFonts w:ascii="宋体" w:eastAsia="宋体" w:hAnsi="宋体" w:cs="宋体" w:hint="eastAsia"/>
                <w:kern w:val="0"/>
                <w:sz w:val="24"/>
              </w:rPr>
              <w:t>汇安基金</w:t>
            </w:r>
            <w:proofErr w:type="gramEnd"/>
            <w:r>
              <w:rPr>
                <w:rFonts w:ascii="宋体" w:eastAsia="宋体" w:hAnsi="宋体" w:cs="宋体" w:hint="eastAsia"/>
                <w:kern w:val="0"/>
                <w:sz w:val="24"/>
              </w:rPr>
              <w:t>、华西基金、巨杉资产、韩国投信、HSBC、Atlantis Investment、Point72、UBS、</w:t>
            </w:r>
            <w:proofErr w:type="spellStart"/>
            <w:r>
              <w:rPr>
                <w:rFonts w:ascii="宋体" w:eastAsia="宋体" w:hAnsi="宋体" w:cs="宋体" w:hint="eastAsia"/>
                <w:kern w:val="0"/>
                <w:sz w:val="24"/>
              </w:rPr>
              <w:t>Eastspring</w:t>
            </w:r>
            <w:proofErr w:type="spellEnd"/>
            <w:r>
              <w:rPr>
                <w:rFonts w:ascii="宋体" w:eastAsia="宋体" w:hAnsi="宋体" w:cs="宋体" w:hint="eastAsia"/>
                <w:kern w:val="0"/>
                <w:sz w:val="24"/>
              </w:rPr>
              <w:t xml:space="preserve"> Investments、Rays Capital、</w:t>
            </w:r>
            <w:proofErr w:type="spellStart"/>
            <w:r>
              <w:rPr>
                <w:rFonts w:ascii="宋体" w:eastAsia="宋体" w:hAnsi="宋体" w:cs="宋体" w:hint="eastAsia"/>
                <w:kern w:val="0"/>
                <w:sz w:val="24"/>
              </w:rPr>
              <w:t>Azimut</w:t>
            </w:r>
            <w:proofErr w:type="spellEnd"/>
            <w:r>
              <w:rPr>
                <w:rFonts w:ascii="宋体" w:eastAsia="宋体" w:hAnsi="宋体" w:cs="宋体" w:hint="eastAsia"/>
                <w:kern w:val="0"/>
                <w:sz w:val="24"/>
              </w:rPr>
              <w:t xml:space="preserve"> Investments、DC Investments、Value Partners、</w:t>
            </w:r>
            <w:proofErr w:type="spellStart"/>
            <w:r>
              <w:rPr>
                <w:rFonts w:ascii="宋体" w:eastAsia="宋体" w:hAnsi="宋体" w:cs="宋体" w:hint="eastAsia"/>
                <w:kern w:val="0"/>
                <w:sz w:val="24"/>
              </w:rPr>
              <w:t>Stoneylake</w:t>
            </w:r>
            <w:proofErr w:type="spellEnd"/>
            <w:r>
              <w:rPr>
                <w:rFonts w:ascii="宋体" w:eastAsia="宋体" w:hAnsi="宋体" w:cs="宋体" w:hint="eastAsia"/>
                <w:kern w:val="0"/>
                <w:sz w:val="24"/>
              </w:rPr>
              <w:t xml:space="preserve"> Asset、IDG Capital、Quartet Capital、Hao Capital、</w:t>
            </w:r>
            <w:proofErr w:type="spellStart"/>
            <w:r>
              <w:rPr>
                <w:rFonts w:ascii="宋体" w:eastAsia="宋体" w:hAnsi="宋体" w:cs="宋体" w:hint="eastAsia"/>
                <w:kern w:val="0"/>
                <w:sz w:val="24"/>
              </w:rPr>
              <w:t>Visione</w:t>
            </w:r>
            <w:proofErr w:type="spellEnd"/>
            <w:r>
              <w:rPr>
                <w:rFonts w:ascii="宋体" w:eastAsia="宋体" w:hAnsi="宋体" w:cs="宋体" w:hint="eastAsia"/>
                <w:kern w:val="0"/>
                <w:sz w:val="24"/>
              </w:rPr>
              <w:t xml:space="preserve"> Asset、艾希资本、驼铃资产、同</w:t>
            </w:r>
            <w:proofErr w:type="gramStart"/>
            <w:r>
              <w:rPr>
                <w:rFonts w:ascii="宋体" w:eastAsia="宋体" w:hAnsi="宋体" w:cs="宋体" w:hint="eastAsia"/>
                <w:kern w:val="0"/>
                <w:sz w:val="24"/>
              </w:rPr>
              <w:t>犇</w:t>
            </w:r>
            <w:proofErr w:type="gramEnd"/>
            <w:r>
              <w:rPr>
                <w:rFonts w:ascii="宋体" w:eastAsia="宋体" w:hAnsi="宋体" w:cs="宋体" w:hint="eastAsia"/>
                <w:kern w:val="0"/>
                <w:sz w:val="24"/>
              </w:rPr>
              <w:t>投资等</w:t>
            </w:r>
            <w:r>
              <w:rPr>
                <w:rFonts w:ascii="宋体" w:eastAsia="宋体" w:hAnsi="宋体" w:cs="宋体" w:hint="eastAsia"/>
                <w:kern w:val="0"/>
                <w:sz w:val="24"/>
              </w:rPr>
              <w:lastRenderedPageBreak/>
              <w:t>分析师、机构投资者共计286人。</w:t>
            </w:r>
          </w:p>
        </w:tc>
      </w:tr>
      <w:tr w:rsidR="002E0ECE" w14:paraId="22FE1F9B" w14:textId="77777777">
        <w:trPr>
          <w:trHeight w:val="593"/>
        </w:trPr>
        <w:tc>
          <w:tcPr>
            <w:tcW w:w="2000" w:type="dxa"/>
          </w:tcPr>
          <w:p w14:paraId="628634F7" w14:textId="77777777" w:rsidR="002E0ECE" w:rsidRDefault="00000000">
            <w:pPr>
              <w:spacing w:beforeLines="50" w:before="156" w:afterLines="50" w:after="156" w:line="500" w:lineRule="exact"/>
              <w:ind w:firstLineChars="100" w:firstLine="240"/>
              <w:jc w:val="center"/>
              <w:rPr>
                <w:rFonts w:ascii="宋体" w:eastAsia="宋体" w:hAnsi="宋体" w:cs="宋体"/>
                <w:kern w:val="0"/>
                <w:sz w:val="24"/>
              </w:rPr>
            </w:pPr>
            <w:r>
              <w:rPr>
                <w:rFonts w:ascii="宋体" w:eastAsia="宋体" w:hAnsi="宋体" w:cs="宋体" w:hint="eastAsia"/>
                <w:kern w:val="0"/>
                <w:sz w:val="24"/>
              </w:rPr>
              <w:lastRenderedPageBreak/>
              <w:t>时间</w:t>
            </w:r>
          </w:p>
        </w:tc>
        <w:tc>
          <w:tcPr>
            <w:tcW w:w="8187" w:type="dxa"/>
          </w:tcPr>
          <w:p w14:paraId="51AADD71" w14:textId="77777777" w:rsidR="002E0ECE" w:rsidRDefault="00000000">
            <w:pPr>
              <w:spacing w:beforeLines="50" w:before="156" w:afterLines="50" w:after="156" w:line="500" w:lineRule="exact"/>
              <w:jc w:val="left"/>
              <w:rPr>
                <w:rFonts w:ascii="宋体" w:eastAsia="宋体" w:hAnsi="宋体" w:cs="宋体"/>
                <w:kern w:val="0"/>
                <w:sz w:val="24"/>
              </w:rPr>
            </w:pPr>
            <w:r>
              <w:rPr>
                <w:rFonts w:ascii="宋体" w:eastAsia="宋体" w:hAnsi="宋体" w:cs="宋体" w:hint="eastAsia"/>
                <w:kern w:val="0"/>
                <w:sz w:val="24"/>
              </w:rPr>
              <w:t xml:space="preserve">2023年10月26日下午16:00-17:00  </w:t>
            </w:r>
          </w:p>
        </w:tc>
      </w:tr>
      <w:tr w:rsidR="002E0ECE" w14:paraId="4D970A29" w14:textId="77777777">
        <w:trPr>
          <w:trHeight w:val="589"/>
        </w:trPr>
        <w:tc>
          <w:tcPr>
            <w:tcW w:w="2000" w:type="dxa"/>
          </w:tcPr>
          <w:p w14:paraId="0A0F31D6" w14:textId="77777777" w:rsidR="002E0ECE" w:rsidRDefault="00000000">
            <w:pPr>
              <w:spacing w:beforeLines="50" w:before="156" w:afterLines="50" w:after="156" w:line="500" w:lineRule="exact"/>
              <w:ind w:firstLineChars="100" w:firstLine="240"/>
              <w:jc w:val="center"/>
              <w:rPr>
                <w:rFonts w:ascii="宋体" w:eastAsia="宋体" w:hAnsi="宋体" w:cs="宋体"/>
                <w:kern w:val="0"/>
                <w:sz w:val="24"/>
              </w:rPr>
            </w:pPr>
            <w:r>
              <w:rPr>
                <w:rFonts w:ascii="宋体" w:eastAsia="宋体" w:hAnsi="宋体" w:cs="宋体" w:hint="eastAsia"/>
                <w:kern w:val="0"/>
                <w:sz w:val="24"/>
              </w:rPr>
              <w:t>地点</w:t>
            </w:r>
          </w:p>
        </w:tc>
        <w:tc>
          <w:tcPr>
            <w:tcW w:w="8187" w:type="dxa"/>
          </w:tcPr>
          <w:p w14:paraId="03F79EE3" w14:textId="77777777" w:rsidR="002E0ECE" w:rsidRDefault="00000000">
            <w:pPr>
              <w:spacing w:beforeLines="50" w:before="156" w:afterLines="50" w:after="156" w:line="500" w:lineRule="exact"/>
              <w:jc w:val="left"/>
              <w:rPr>
                <w:rFonts w:ascii="宋体" w:eastAsia="宋体" w:hAnsi="宋体" w:cs="宋体"/>
                <w:kern w:val="0"/>
                <w:sz w:val="24"/>
              </w:rPr>
            </w:pPr>
            <w:r>
              <w:rPr>
                <w:rFonts w:ascii="宋体" w:eastAsia="宋体" w:hAnsi="宋体" w:cs="宋体" w:hint="eastAsia"/>
                <w:kern w:val="0"/>
                <w:sz w:val="24"/>
              </w:rPr>
              <w:t>公司会议室+线上会议</w:t>
            </w:r>
          </w:p>
        </w:tc>
      </w:tr>
      <w:tr w:rsidR="002E0ECE" w14:paraId="3E819E0A" w14:textId="77777777">
        <w:trPr>
          <w:trHeight w:val="1070"/>
        </w:trPr>
        <w:tc>
          <w:tcPr>
            <w:tcW w:w="2000" w:type="dxa"/>
            <w:vAlign w:val="center"/>
          </w:tcPr>
          <w:p w14:paraId="366D9A5E" w14:textId="77777777" w:rsidR="002E0ECE" w:rsidRDefault="00000000">
            <w:pPr>
              <w:spacing w:beforeLines="50" w:before="156" w:afterLines="50" w:after="156" w:line="500" w:lineRule="exact"/>
              <w:jc w:val="center"/>
              <w:rPr>
                <w:rFonts w:ascii="宋体" w:eastAsia="宋体" w:hAnsi="宋体" w:cs="宋体"/>
                <w:kern w:val="0"/>
                <w:sz w:val="24"/>
              </w:rPr>
            </w:pPr>
            <w:r>
              <w:rPr>
                <w:rFonts w:ascii="宋体" w:eastAsia="宋体" w:hAnsi="宋体" w:cs="宋体" w:hint="eastAsia"/>
                <w:kern w:val="0"/>
                <w:sz w:val="24"/>
              </w:rPr>
              <w:t>上市公司接待</w:t>
            </w:r>
          </w:p>
          <w:p w14:paraId="25C7C8F7" w14:textId="77777777" w:rsidR="002E0ECE" w:rsidRDefault="00000000">
            <w:pPr>
              <w:spacing w:beforeLines="50" w:before="156" w:afterLines="50" w:after="156" w:line="500" w:lineRule="exact"/>
              <w:jc w:val="center"/>
              <w:rPr>
                <w:rFonts w:ascii="宋体" w:eastAsia="宋体" w:hAnsi="宋体" w:cs="宋体"/>
                <w:kern w:val="0"/>
                <w:sz w:val="24"/>
              </w:rPr>
            </w:pPr>
            <w:r>
              <w:rPr>
                <w:rFonts w:ascii="宋体" w:eastAsia="宋体" w:hAnsi="宋体" w:cs="宋体" w:hint="eastAsia"/>
                <w:kern w:val="0"/>
                <w:sz w:val="24"/>
              </w:rPr>
              <w:t>人员姓名</w:t>
            </w:r>
          </w:p>
        </w:tc>
        <w:tc>
          <w:tcPr>
            <w:tcW w:w="8187" w:type="dxa"/>
          </w:tcPr>
          <w:p w14:paraId="7C7563C6" w14:textId="77777777" w:rsidR="002E0ECE" w:rsidRDefault="00000000">
            <w:pPr>
              <w:spacing w:beforeLines="100" w:before="312" w:afterLines="50" w:after="156" w:line="500" w:lineRule="exact"/>
              <w:rPr>
                <w:rFonts w:ascii="宋体" w:eastAsia="宋体" w:hAnsi="宋体" w:cs="宋体"/>
                <w:kern w:val="0"/>
                <w:sz w:val="24"/>
              </w:rPr>
            </w:pPr>
            <w:r>
              <w:rPr>
                <w:rFonts w:ascii="宋体" w:eastAsia="宋体" w:hAnsi="宋体" w:cs="宋体" w:hint="eastAsia"/>
                <w:sz w:val="24"/>
              </w:rPr>
              <w:t>董事会秘书：张伟先生</w:t>
            </w:r>
          </w:p>
        </w:tc>
      </w:tr>
      <w:tr w:rsidR="002E0ECE" w14:paraId="7AD02FCA" w14:textId="77777777">
        <w:trPr>
          <w:trHeight w:val="798"/>
        </w:trPr>
        <w:tc>
          <w:tcPr>
            <w:tcW w:w="2000" w:type="dxa"/>
            <w:vAlign w:val="center"/>
          </w:tcPr>
          <w:p w14:paraId="0D98A9E5" w14:textId="77777777" w:rsidR="002E0ECE" w:rsidRDefault="00000000">
            <w:pPr>
              <w:spacing w:line="500" w:lineRule="exact"/>
              <w:jc w:val="center"/>
              <w:rPr>
                <w:rFonts w:ascii="宋体" w:eastAsia="宋体" w:hAnsi="宋体" w:cs="宋体"/>
                <w:kern w:val="0"/>
                <w:sz w:val="24"/>
              </w:rPr>
            </w:pPr>
            <w:r>
              <w:rPr>
                <w:rFonts w:ascii="宋体" w:eastAsia="宋体" w:hAnsi="宋体" w:cs="宋体" w:hint="eastAsia"/>
                <w:kern w:val="0"/>
                <w:sz w:val="24"/>
              </w:rPr>
              <w:t>投资者关系活动主要内容介绍</w:t>
            </w:r>
          </w:p>
        </w:tc>
        <w:tc>
          <w:tcPr>
            <w:tcW w:w="8187" w:type="dxa"/>
          </w:tcPr>
          <w:p w14:paraId="34BA7BE0" w14:textId="77777777" w:rsidR="002E0ECE" w:rsidRDefault="00000000">
            <w:pPr>
              <w:pStyle w:val="aa"/>
              <w:spacing w:beforeLines="50" w:before="156" w:afterLines="50" w:after="156" w:line="560" w:lineRule="exact"/>
              <w:ind w:firstLine="482"/>
              <w:rPr>
                <w:rFonts w:ascii="宋体" w:eastAsia="宋体" w:hAnsi="宋体" w:cs="宋体"/>
                <w:b/>
                <w:bCs/>
                <w:kern w:val="0"/>
                <w:sz w:val="24"/>
              </w:rPr>
            </w:pPr>
            <w:r>
              <w:rPr>
                <w:rFonts w:ascii="宋体" w:eastAsia="宋体" w:hAnsi="宋体" w:cs="宋体" w:hint="eastAsia"/>
                <w:b/>
                <w:bCs/>
                <w:kern w:val="0"/>
                <w:sz w:val="24"/>
              </w:rPr>
              <w:t>一、公司2023年前三季度经营情况及增长原因介绍</w:t>
            </w:r>
          </w:p>
          <w:p w14:paraId="712F175D" w14:textId="77777777" w:rsidR="002E0ECE" w:rsidRDefault="00000000">
            <w:pPr>
              <w:pStyle w:val="aa"/>
              <w:spacing w:line="560" w:lineRule="exact"/>
              <w:ind w:firstLine="480"/>
              <w:rPr>
                <w:rFonts w:ascii="宋体" w:eastAsia="宋体" w:hAnsi="宋体" w:cs="宋体"/>
                <w:sz w:val="24"/>
              </w:rPr>
            </w:pPr>
            <w:r>
              <w:rPr>
                <w:rFonts w:ascii="宋体" w:eastAsia="宋体" w:hAnsi="宋体" w:cs="宋体" w:hint="eastAsia"/>
                <w:sz w:val="24"/>
              </w:rPr>
              <w:t>2023年前三季度，公司实现营业收入52.45亿元，同比增长13.62%；实现归属于上市公司股东的净利润12.95亿元，同比增长7.93%。其中酒类产品实现营业收入48.43亿元，同比增长12.23%。在酒类产品中，中高档</w:t>
            </w:r>
            <w:proofErr w:type="gramStart"/>
            <w:r>
              <w:rPr>
                <w:rFonts w:ascii="宋体" w:eastAsia="宋体" w:hAnsi="宋体" w:cs="宋体" w:hint="eastAsia"/>
                <w:sz w:val="24"/>
              </w:rPr>
              <w:t>酒实现</w:t>
            </w:r>
            <w:proofErr w:type="gramEnd"/>
            <w:r>
              <w:rPr>
                <w:rFonts w:ascii="宋体" w:eastAsia="宋体" w:hAnsi="宋体" w:cs="宋体" w:hint="eastAsia"/>
                <w:sz w:val="24"/>
              </w:rPr>
              <w:t>营业收入41.50亿元，同比增长10.62%；普通</w:t>
            </w:r>
            <w:proofErr w:type="gramStart"/>
            <w:r>
              <w:rPr>
                <w:rFonts w:ascii="宋体" w:eastAsia="宋体" w:hAnsi="宋体" w:cs="宋体" w:hint="eastAsia"/>
                <w:sz w:val="24"/>
              </w:rPr>
              <w:t>酒实现</w:t>
            </w:r>
            <w:proofErr w:type="gramEnd"/>
            <w:r>
              <w:rPr>
                <w:rFonts w:ascii="宋体" w:eastAsia="宋体" w:hAnsi="宋体" w:cs="宋体" w:hint="eastAsia"/>
                <w:sz w:val="24"/>
              </w:rPr>
              <w:t>营业收入6.93亿元，同比增长22.94%。</w:t>
            </w:r>
          </w:p>
          <w:p w14:paraId="36A04691" w14:textId="77777777" w:rsidR="002E0ECE" w:rsidRDefault="00000000">
            <w:pPr>
              <w:spacing w:line="560" w:lineRule="exact"/>
              <w:ind w:firstLineChars="200" w:firstLine="480"/>
              <w:rPr>
                <w:rFonts w:ascii="宋体" w:eastAsia="宋体" w:hAnsi="宋体" w:cs="宋体"/>
                <w:sz w:val="24"/>
              </w:rPr>
            </w:pPr>
            <w:r>
              <w:rPr>
                <w:rFonts w:ascii="宋体" w:eastAsia="宋体" w:hAnsi="宋体" w:cs="宋体" w:hint="eastAsia"/>
                <w:sz w:val="24"/>
              </w:rPr>
              <w:t>公司坚持“老酒、多品牌矩阵、年轻化、国际化”战略，实施老酒“3+6+4”营销策略，秉承“稳价格、强动销、控库存”的核心原则，全面开展老酒馆、老酒盛宴、舍得·智慧之旅、</w:t>
            </w:r>
            <w:proofErr w:type="gramStart"/>
            <w:r>
              <w:rPr>
                <w:rFonts w:ascii="宋体" w:eastAsia="宋体" w:hAnsi="宋体" w:cs="宋体" w:hint="eastAsia"/>
                <w:sz w:val="24"/>
              </w:rPr>
              <w:t>沱牌潮</w:t>
            </w:r>
            <w:proofErr w:type="gramEnd"/>
            <w:r>
              <w:rPr>
                <w:rFonts w:ascii="宋体" w:eastAsia="宋体" w:hAnsi="宋体" w:cs="宋体" w:hint="eastAsia"/>
                <w:sz w:val="24"/>
              </w:rPr>
              <w:t>in美好夜、</w:t>
            </w:r>
            <w:proofErr w:type="gramStart"/>
            <w:r>
              <w:rPr>
                <w:rFonts w:ascii="宋体" w:eastAsia="宋体" w:hAnsi="宋体" w:cs="宋体" w:hint="eastAsia"/>
                <w:sz w:val="24"/>
              </w:rPr>
              <w:t>沱</w:t>
            </w:r>
            <w:proofErr w:type="gramEnd"/>
            <w:r>
              <w:rPr>
                <w:rFonts w:ascii="宋体" w:eastAsia="宋体" w:hAnsi="宋体" w:cs="宋体" w:hint="eastAsia"/>
                <w:sz w:val="24"/>
              </w:rPr>
              <w:t>牌特级餐饮免费品鉴等消费者体验项目，从而实现经营业绩的稳步增长。</w:t>
            </w:r>
          </w:p>
          <w:p w14:paraId="3DC00536" w14:textId="77777777" w:rsidR="002E0ECE" w:rsidRDefault="00000000">
            <w:pPr>
              <w:pStyle w:val="aa"/>
              <w:spacing w:beforeLines="50" w:before="156" w:afterLines="50" w:after="156" w:line="560" w:lineRule="exact"/>
              <w:ind w:firstLine="482"/>
              <w:rPr>
                <w:rFonts w:ascii="宋体" w:eastAsia="宋体" w:hAnsi="宋体" w:cs="宋体"/>
                <w:b/>
                <w:bCs/>
                <w:kern w:val="0"/>
                <w:sz w:val="24"/>
              </w:rPr>
            </w:pPr>
            <w:r>
              <w:rPr>
                <w:rFonts w:ascii="宋体" w:eastAsia="宋体" w:hAnsi="宋体" w:cs="宋体" w:hint="eastAsia"/>
                <w:b/>
                <w:bCs/>
                <w:kern w:val="0"/>
                <w:sz w:val="24"/>
              </w:rPr>
              <w:t>二、交流互动</w:t>
            </w:r>
          </w:p>
          <w:p w14:paraId="0A94CEF9" w14:textId="77777777" w:rsidR="002E0ECE" w:rsidRDefault="00000000">
            <w:pPr>
              <w:pStyle w:val="aa"/>
              <w:spacing w:line="560" w:lineRule="exact"/>
              <w:ind w:firstLine="482"/>
              <w:rPr>
                <w:rFonts w:ascii="宋体" w:eastAsia="宋体" w:hAnsi="宋体" w:cs="宋体"/>
                <w:b/>
                <w:bCs/>
                <w:kern w:val="0"/>
                <w:sz w:val="24"/>
              </w:rPr>
            </w:pPr>
            <w:r>
              <w:rPr>
                <w:rFonts w:ascii="宋体" w:eastAsia="宋体" w:hAnsi="宋体" w:cs="宋体" w:hint="eastAsia"/>
                <w:b/>
                <w:bCs/>
                <w:kern w:val="0"/>
                <w:sz w:val="24"/>
              </w:rPr>
              <w:t>1. 公司如何在保证增速的情况下保持渠道良性？</w:t>
            </w:r>
          </w:p>
          <w:p w14:paraId="09D4DE95" w14:textId="77777777" w:rsidR="002E0ECE" w:rsidRDefault="00000000">
            <w:pPr>
              <w:pStyle w:val="aa"/>
              <w:spacing w:line="560" w:lineRule="exact"/>
              <w:ind w:firstLine="480"/>
              <w:rPr>
                <w:rFonts w:ascii="宋体" w:eastAsia="宋体" w:hAnsi="宋体" w:cs="宋体"/>
                <w:sz w:val="24"/>
              </w:rPr>
            </w:pPr>
            <w:r>
              <w:rPr>
                <w:rFonts w:ascii="宋体" w:eastAsia="宋体" w:hAnsi="宋体" w:cs="宋体" w:hint="eastAsia"/>
                <w:sz w:val="24"/>
              </w:rPr>
              <w:t>答：公司坚持老酒战略，坚持做正确的事、</w:t>
            </w:r>
            <w:proofErr w:type="gramStart"/>
            <w:r>
              <w:rPr>
                <w:rFonts w:ascii="宋体" w:eastAsia="宋体" w:hAnsi="宋体" w:cs="宋体" w:hint="eastAsia"/>
                <w:sz w:val="24"/>
              </w:rPr>
              <w:t>做难</w:t>
            </w:r>
            <w:proofErr w:type="gramEnd"/>
            <w:r>
              <w:rPr>
                <w:rFonts w:ascii="宋体" w:eastAsia="宋体" w:hAnsi="宋体" w:cs="宋体" w:hint="eastAsia"/>
                <w:sz w:val="24"/>
              </w:rPr>
              <w:t>的事，做需要时间积累并经得起时间检验的事的长期主义理念，贯彻落实“聚焦</w:t>
            </w:r>
            <w:proofErr w:type="gramStart"/>
            <w:r>
              <w:rPr>
                <w:rFonts w:ascii="宋体" w:eastAsia="宋体" w:hAnsi="宋体" w:cs="宋体" w:hint="eastAsia"/>
                <w:sz w:val="24"/>
              </w:rPr>
              <w:t>盯</w:t>
            </w:r>
            <w:proofErr w:type="gramEnd"/>
            <w:r>
              <w:rPr>
                <w:rFonts w:ascii="宋体" w:eastAsia="宋体" w:hAnsi="宋体" w:cs="宋体" w:hint="eastAsia"/>
                <w:sz w:val="24"/>
              </w:rPr>
              <w:t>过程，余光看数据”指导思想，通过老酒盛宴俱乐部、老酒馆、联盟体、专卖店、</w:t>
            </w:r>
            <w:proofErr w:type="gramStart"/>
            <w:r>
              <w:rPr>
                <w:rFonts w:ascii="宋体" w:eastAsia="宋体" w:hAnsi="宋体" w:cs="宋体" w:hint="eastAsia"/>
                <w:sz w:val="24"/>
              </w:rPr>
              <w:t>名酒进名企</w:t>
            </w:r>
            <w:proofErr w:type="gramEnd"/>
            <w:r>
              <w:rPr>
                <w:rFonts w:ascii="宋体" w:eastAsia="宋体" w:hAnsi="宋体" w:cs="宋体" w:hint="eastAsia"/>
                <w:sz w:val="24"/>
              </w:rPr>
              <w:t>等市场措施，促进品牌提升与销售增量。</w:t>
            </w:r>
          </w:p>
          <w:p w14:paraId="466BAF7A"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lastRenderedPageBreak/>
              <w:t xml:space="preserve">公司开展员工持股计划的原因介绍？ </w:t>
            </w:r>
          </w:p>
          <w:p w14:paraId="2C37C1C0" w14:textId="77777777" w:rsidR="002E0ECE" w:rsidRDefault="00000000">
            <w:pPr>
              <w:pStyle w:val="aa"/>
              <w:spacing w:line="560" w:lineRule="exact"/>
              <w:ind w:firstLine="480"/>
              <w:rPr>
                <w:rFonts w:ascii="宋体" w:eastAsia="宋体" w:hAnsi="宋体" w:cs="宋体"/>
                <w:sz w:val="24"/>
              </w:rPr>
            </w:pPr>
            <w:r>
              <w:rPr>
                <w:rFonts w:ascii="宋体" w:eastAsia="宋体" w:hAnsi="宋体" w:cs="宋体" w:hint="eastAsia"/>
                <w:sz w:val="24"/>
              </w:rPr>
              <w:t>答：公司开展员工持股计划的目的为鼓励核心员工自愿自主地参与并分享企业的长期利益，以促进公司长远发展。同时，公司围绕战略目标和经营计划设置有严格的员工绩效考核要求，员工利益与公司利益具有充分的一致性，有利于推动公司战略目标的实现。</w:t>
            </w:r>
          </w:p>
          <w:p w14:paraId="7210A1D6"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t>公司近期推进全国化布局的市场举措？</w:t>
            </w:r>
          </w:p>
          <w:p w14:paraId="031D8CB3" w14:textId="77777777" w:rsidR="002E0ECE" w:rsidRDefault="00000000">
            <w:pPr>
              <w:pStyle w:val="aa"/>
              <w:spacing w:line="560" w:lineRule="exact"/>
              <w:ind w:firstLine="480"/>
              <w:rPr>
                <w:rFonts w:ascii="宋体" w:eastAsia="宋体" w:hAnsi="宋体" w:cs="宋体"/>
                <w:kern w:val="0"/>
                <w:sz w:val="24"/>
              </w:rPr>
            </w:pPr>
            <w:r>
              <w:rPr>
                <w:rFonts w:ascii="宋体" w:eastAsia="宋体" w:hAnsi="宋体" w:cs="宋体" w:hint="eastAsia"/>
                <w:kern w:val="0"/>
                <w:sz w:val="24"/>
              </w:rPr>
              <w:t>答：公司通过倾斜人力、战略组织化推进、消费者培育、渠道网络建设等方式在省会城市加大投入力度，针对全国省会城市分批次开展首府战役，加速全国化布局，目前正在推进首府战役的城市主要有杭州、乌鲁木齐、长沙、郑州、济南等。</w:t>
            </w:r>
          </w:p>
          <w:p w14:paraId="1FAB6F8B"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t xml:space="preserve">公司第四季度在招商方面有什么规划？ </w:t>
            </w:r>
          </w:p>
          <w:p w14:paraId="0EE2EA0A" w14:textId="77777777" w:rsidR="002E0ECE" w:rsidRDefault="00000000">
            <w:pPr>
              <w:pStyle w:val="aa"/>
              <w:spacing w:line="560" w:lineRule="exact"/>
              <w:ind w:firstLine="480"/>
              <w:rPr>
                <w:rFonts w:ascii="宋体" w:eastAsia="宋体" w:hAnsi="宋体" w:cs="宋体"/>
                <w:sz w:val="24"/>
              </w:rPr>
            </w:pPr>
            <w:r>
              <w:rPr>
                <w:rFonts w:ascii="宋体" w:eastAsia="宋体" w:hAnsi="宋体" w:cs="宋体" w:hint="eastAsia"/>
                <w:sz w:val="24"/>
              </w:rPr>
              <w:t>答：公司根据各个品牌的市场情况进行招商布局规划，在有序做好产品招商布局的同时，还要大力做好新经销商的培育工作。</w:t>
            </w:r>
          </w:p>
          <w:p w14:paraId="32393123"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t xml:space="preserve">公司针对核心产品如何形成梯度化市场建设？ </w:t>
            </w:r>
          </w:p>
          <w:p w14:paraId="571EEBB2" w14:textId="77777777" w:rsidR="002E0ECE" w:rsidRDefault="00000000">
            <w:pPr>
              <w:pStyle w:val="aa"/>
              <w:spacing w:line="560" w:lineRule="exact"/>
              <w:ind w:firstLine="480"/>
              <w:rPr>
                <w:rFonts w:ascii="宋体" w:eastAsia="宋体" w:hAnsi="宋体" w:cs="宋体"/>
                <w:kern w:val="0"/>
                <w:sz w:val="24"/>
              </w:rPr>
            </w:pPr>
            <w:r>
              <w:rPr>
                <w:rFonts w:ascii="宋体" w:eastAsia="宋体" w:hAnsi="宋体" w:cs="宋体" w:hint="eastAsia"/>
                <w:kern w:val="0"/>
                <w:sz w:val="24"/>
              </w:rPr>
              <w:t>答：公司坚定执行“战役聚过程，破圈创爆品”的指导思想，针对核心产品分别确定全国重点市场。公司针对不同品牌，将市场以城市为单元划分为“重点、发展、潜力”三类，聚焦重点市场，培育发展市场，布局潜力市场，从而形成针对不同品牌的梯度化市场建设。</w:t>
            </w:r>
          </w:p>
          <w:p w14:paraId="5844FFA7"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t xml:space="preserve">公司双节期间终端动销表现如何？ </w:t>
            </w:r>
          </w:p>
          <w:p w14:paraId="6A108A66" w14:textId="77777777" w:rsidR="002E0ECE" w:rsidRDefault="00000000">
            <w:pPr>
              <w:pStyle w:val="aa"/>
              <w:spacing w:line="560" w:lineRule="exact"/>
              <w:ind w:firstLine="480"/>
              <w:rPr>
                <w:rFonts w:ascii="宋体" w:eastAsia="宋体" w:hAnsi="宋体" w:cs="宋体"/>
                <w:kern w:val="0"/>
                <w:sz w:val="24"/>
              </w:rPr>
            </w:pPr>
            <w:r>
              <w:rPr>
                <w:rFonts w:ascii="宋体" w:eastAsia="宋体" w:hAnsi="宋体" w:cs="宋体" w:hint="eastAsia"/>
                <w:kern w:val="0"/>
                <w:sz w:val="24"/>
              </w:rPr>
              <w:t>答：公司坚持“稳价格、控库存、强动销”核心原则，强化过程管理，强化市场基础动作，通过宴席营销、团</w:t>
            </w:r>
            <w:proofErr w:type="gramStart"/>
            <w:r>
              <w:rPr>
                <w:rFonts w:ascii="宋体" w:eastAsia="宋体" w:hAnsi="宋体" w:cs="宋体" w:hint="eastAsia"/>
                <w:kern w:val="0"/>
                <w:sz w:val="24"/>
              </w:rPr>
              <w:t>购会销</w:t>
            </w:r>
            <w:proofErr w:type="gramEnd"/>
            <w:r>
              <w:rPr>
                <w:rFonts w:ascii="宋体" w:eastAsia="宋体" w:hAnsi="宋体" w:cs="宋体" w:hint="eastAsia"/>
                <w:kern w:val="0"/>
                <w:sz w:val="24"/>
              </w:rPr>
              <w:t>等方式推动终端动销，公司双节期间动销表现良好。</w:t>
            </w:r>
          </w:p>
          <w:p w14:paraId="179A5801" w14:textId="77777777" w:rsidR="002E0ECE" w:rsidRDefault="00000000">
            <w:pPr>
              <w:pStyle w:val="aa"/>
              <w:numPr>
                <w:ilvl w:val="0"/>
                <w:numId w:val="1"/>
              </w:numPr>
              <w:spacing w:line="560" w:lineRule="exact"/>
              <w:ind w:firstLine="482"/>
              <w:rPr>
                <w:rFonts w:ascii="宋体" w:eastAsia="宋体" w:hAnsi="宋体" w:cs="宋体"/>
                <w:b/>
                <w:bCs/>
                <w:kern w:val="0"/>
                <w:sz w:val="24"/>
              </w:rPr>
            </w:pPr>
            <w:r>
              <w:rPr>
                <w:rFonts w:ascii="宋体" w:eastAsia="宋体" w:hAnsi="宋体" w:cs="宋体" w:hint="eastAsia"/>
                <w:b/>
                <w:bCs/>
                <w:kern w:val="0"/>
                <w:sz w:val="24"/>
              </w:rPr>
              <w:t>公司第四季度的经营计划介绍？</w:t>
            </w:r>
          </w:p>
          <w:p w14:paraId="172ED5E3" w14:textId="77777777" w:rsidR="002E0ECE" w:rsidRDefault="00000000">
            <w:pPr>
              <w:pStyle w:val="aa"/>
              <w:spacing w:line="560" w:lineRule="exact"/>
              <w:ind w:firstLine="480"/>
              <w:rPr>
                <w:rFonts w:ascii="宋体" w:eastAsia="宋体" w:hAnsi="宋体" w:cs="宋体"/>
                <w:sz w:val="24"/>
              </w:rPr>
            </w:pPr>
            <w:r>
              <w:rPr>
                <w:rFonts w:ascii="宋体" w:eastAsia="宋体" w:hAnsi="宋体" w:cs="宋体" w:hint="eastAsia"/>
                <w:sz w:val="24"/>
              </w:rPr>
              <w:t>答：公司将在老酒战略“一核四维”的指引下，持续加强品牌建设，优化</w:t>
            </w:r>
            <w:r>
              <w:rPr>
                <w:rFonts w:ascii="宋体" w:eastAsia="宋体" w:hAnsi="宋体" w:cs="宋体" w:hint="eastAsia"/>
                <w:sz w:val="24"/>
              </w:rPr>
              <w:lastRenderedPageBreak/>
              <w:t>组织管理体系，聚焦战略产品和重点城市，大力发展优质经销商，加强市场基础建设，打造老酒品类第一品牌；继续实施生产系统的智能化升级改造，持续完善生态产业链，积极推进增产扩能项目的建设，加强老酒储备，提升老酒品质，推进老酒战略的进一步落地；快速推进国际化和C端置顶，打好关键战役，努力实现高速乘长。</w:t>
            </w:r>
          </w:p>
        </w:tc>
      </w:tr>
      <w:tr w:rsidR="002E0ECE" w14:paraId="184B6E06" w14:textId="77777777">
        <w:trPr>
          <w:trHeight w:val="798"/>
        </w:trPr>
        <w:tc>
          <w:tcPr>
            <w:tcW w:w="2000" w:type="dxa"/>
          </w:tcPr>
          <w:p w14:paraId="1FC65FC8" w14:textId="77777777" w:rsidR="002E0ECE" w:rsidRDefault="00000000">
            <w:pPr>
              <w:spacing w:beforeLines="50" w:before="156" w:afterLines="50" w:after="156" w:line="500" w:lineRule="exact"/>
              <w:jc w:val="center"/>
              <w:rPr>
                <w:rFonts w:ascii="宋体" w:eastAsia="宋体" w:hAnsi="宋体" w:cs="宋体"/>
                <w:kern w:val="0"/>
                <w:sz w:val="24"/>
              </w:rPr>
            </w:pPr>
            <w:r>
              <w:rPr>
                <w:rFonts w:ascii="宋体" w:eastAsia="宋体" w:hAnsi="宋体" w:cs="宋体" w:hint="eastAsia"/>
                <w:kern w:val="0"/>
                <w:sz w:val="24"/>
              </w:rPr>
              <w:lastRenderedPageBreak/>
              <w:t>附件清单</w:t>
            </w:r>
          </w:p>
        </w:tc>
        <w:tc>
          <w:tcPr>
            <w:tcW w:w="8187" w:type="dxa"/>
          </w:tcPr>
          <w:p w14:paraId="185537D4" w14:textId="77777777" w:rsidR="002E0ECE" w:rsidRDefault="00000000">
            <w:pPr>
              <w:spacing w:beforeLines="50" w:before="156" w:afterLines="50" w:after="156" w:line="500" w:lineRule="exact"/>
              <w:ind w:firstLineChars="200" w:firstLine="480"/>
              <w:rPr>
                <w:rFonts w:ascii="宋体" w:eastAsia="宋体" w:hAnsi="宋体" w:cs="宋体"/>
                <w:kern w:val="0"/>
                <w:sz w:val="24"/>
              </w:rPr>
            </w:pPr>
            <w:r>
              <w:rPr>
                <w:rFonts w:ascii="宋体" w:eastAsia="宋体" w:hAnsi="宋体" w:cs="宋体" w:hint="eastAsia"/>
                <w:kern w:val="0"/>
                <w:sz w:val="24"/>
              </w:rPr>
              <w:t>无</w:t>
            </w:r>
          </w:p>
        </w:tc>
      </w:tr>
    </w:tbl>
    <w:p w14:paraId="20C8A3E3" w14:textId="77777777" w:rsidR="002E0ECE" w:rsidRDefault="002E0ECE"/>
    <w:sectPr w:rsidR="002E0ECE">
      <w:pgSz w:w="11906" w:h="16838"/>
      <w:pgMar w:top="1383" w:right="896" w:bottom="1440" w:left="89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83FB"/>
    <w:multiLevelType w:val="singleLevel"/>
    <w:tmpl w:val="1FEE83FB"/>
    <w:lvl w:ilvl="0">
      <w:start w:val="2"/>
      <w:numFmt w:val="decimal"/>
      <w:suff w:val="space"/>
      <w:lvlText w:val="%1."/>
      <w:lvlJc w:val="left"/>
    </w:lvl>
  </w:abstractNum>
  <w:num w:numId="1" w16cid:durableId="173627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NjYjRkOThmN2FmNDhhN2UzM2ExMzUyODg5MDQ3ZjgifQ=="/>
  </w:docVars>
  <w:rsids>
    <w:rsidRoot w:val="00A7577B"/>
    <w:rsid w:val="00044083"/>
    <w:rsid w:val="000721B5"/>
    <w:rsid w:val="00076E63"/>
    <w:rsid w:val="000863AD"/>
    <w:rsid w:val="00094446"/>
    <w:rsid w:val="000A11E7"/>
    <w:rsid w:val="000B1C8A"/>
    <w:rsid w:val="000D49B7"/>
    <w:rsid w:val="000E3C94"/>
    <w:rsid w:val="000F442B"/>
    <w:rsid w:val="00101B87"/>
    <w:rsid w:val="00110F40"/>
    <w:rsid w:val="0011251C"/>
    <w:rsid w:val="001276AF"/>
    <w:rsid w:val="00130FB5"/>
    <w:rsid w:val="0014379A"/>
    <w:rsid w:val="00143D09"/>
    <w:rsid w:val="001514B6"/>
    <w:rsid w:val="001516EF"/>
    <w:rsid w:val="00165F48"/>
    <w:rsid w:val="00170F23"/>
    <w:rsid w:val="001C75E0"/>
    <w:rsid w:val="001D5368"/>
    <w:rsid w:val="001E00D5"/>
    <w:rsid w:val="001F31B2"/>
    <w:rsid w:val="0022724E"/>
    <w:rsid w:val="0025166A"/>
    <w:rsid w:val="00275918"/>
    <w:rsid w:val="00290B9B"/>
    <w:rsid w:val="002A103F"/>
    <w:rsid w:val="002E0ECE"/>
    <w:rsid w:val="002E5DEA"/>
    <w:rsid w:val="003009E5"/>
    <w:rsid w:val="00316468"/>
    <w:rsid w:val="00324167"/>
    <w:rsid w:val="00333620"/>
    <w:rsid w:val="00333DC2"/>
    <w:rsid w:val="00336579"/>
    <w:rsid w:val="00343214"/>
    <w:rsid w:val="003662BC"/>
    <w:rsid w:val="003730E7"/>
    <w:rsid w:val="003743FF"/>
    <w:rsid w:val="00391D8A"/>
    <w:rsid w:val="003F4CDF"/>
    <w:rsid w:val="00402ED0"/>
    <w:rsid w:val="004233E9"/>
    <w:rsid w:val="00423D29"/>
    <w:rsid w:val="00432B43"/>
    <w:rsid w:val="004549D8"/>
    <w:rsid w:val="00470C41"/>
    <w:rsid w:val="00471331"/>
    <w:rsid w:val="00483F46"/>
    <w:rsid w:val="004A1214"/>
    <w:rsid w:val="004B6BD4"/>
    <w:rsid w:val="004D2B3B"/>
    <w:rsid w:val="004D78D0"/>
    <w:rsid w:val="00532F85"/>
    <w:rsid w:val="005374F1"/>
    <w:rsid w:val="00594782"/>
    <w:rsid w:val="005952CA"/>
    <w:rsid w:val="005B6804"/>
    <w:rsid w:val="005C05E1"/>
    <w:rsid w:val="005C1AD3"/>
    <w:rsid w:val="005D7FA6"/>
    <w:rsid w:val="005E4A55"/>
    <w:rsid w:val="006540A6"/>
    <w:rsid w:val="00657341"/>
    <w:rsid w:val="00660990"/>
    <w:rsid w:val="0066180C"/>
    <w:rsid w:val="00683553"/>
    <w:rsid w:val="0068581F"/>
    <w:rsid w:val="00691EEE"/>
    <w:rsid w:val="006A3919"/>
    <w:rsid w:val="006D0BF5"/>
    <w:rsid w:val="006F5389"/>
    <w:rsid w:val="006F764D"/>
    <w:rsid w:val="00701804"/>
    <w:rsid w:val="007023BD"/>
    <w:rsid w:val="00703E82"/>
    <w:rsid w:val="00710CF3"/>
    <w:rsid w:val="00751C3D"/>
    <w:rsid w:val="0077694A"/>
    <w:rsid w:val="0079303A"/>
    <w:rsid w:val="007931DC"/>
    <w:rsid w:val="007A2CCE"/>
    <w:rsid w:val="007E497B"/>
    <w:rsid w:val="007F4E23"/>
    <w:rsid w:val="00814F2E"/>
    <w:rsid w:val="00816279"/>
    <w:rsid w:val="00847DE1"/>
    <w:rsid w:val="00857905"/>
    <w:rsid w:val="00864ED2"/>
    <w:rsid w:val="008A25F6"/>
    <w:rsid w:val="008B35DE"/>
    <w:rsid w:val="0090591A"/>
    <w:rsid w:val="0091308E"/>
    <w:rsid w:val="00953FB6"/>
    <w:rsid w:val="0098758C"/>
    <w:rsid w:val="009A1C04"/>
    <w:rsid w:val="009A422A"/>
    <w:rsid w:val="009B584D"/>
    <w:rsid w:val="009C1732"/>
    <w:rsid w:val="009E3416"/>
    <w:rsid w:val="009E5413"/>
    <w:rsid w:val="009E782C"/>
    <w:rsid w:val="009F4BCF"/>
    <w:rsid w:val="00A215C3"/>
    <w:rsid w:val="00A442E5"/>
    <w:rsid w:val="00A45182"/>
    <w:rsid w:val="00A66B52"/>
    <w:rsid w:val="00A70498"/>
    <w:rsid w:val="00A70BBD"/>
    <w:rsid w:val="00A7577B"/>
    <w:rsid w:val="00A918E8"/>
    <w:rsid w:val="00A918FC"/>
    <w:rsid w:val="00A931B5"/>
    <w:rsid w:val="00AB73F6"/>
    <w:rsid w:val="00AC791B"/>
    <w:rsid w:val="00AD0EEC"/>
    <w:rsid w:val="00AD6B22"/>
    <w:rsid w:val="00AD7281"/>
    <w:rsid w:val="00AF55DB"/>
    <w:rsid w:val="00B01A46"/>
    <w:rsid w:val="00B02E4B"/>
    <w:rsid w:val="00B16BDC"/>
    <w:rsid w:val="00B40CE7"/>
    <w:rsid w:val="00B425A9"/>
    <w:rsid w:val="00B43A5D"/>
    <w:rsid w:val="00B46520"/>
    <w:rsid w:val="00B74910"/>
    <w:rsid w:val="00B767E9"/>
    <w:rsid w:val="00B95B4A"/>
    <w:rsid w:val="00BA7198"/>
    <w:rsid w:val="00BB5F0F"/>
    <w:rsid w:val="00BC2EEE"/>
    <w:rsid w:val="00BC733F"/>
    <w:rsid w:val="00BE14F3"/>
    <w:rsid w:val="00C0287C"/>
    <w:rsid w:val="00C333A1"/>
    <w:rsid w:val="00C476AE"/>
    <w:rsid w:val="00C83BE1"/>
    <w:rsid w:val="00C90922"/>
    <w:rsid w:val="00CA6CF0"/>
    <w:rsid w:val="00CD0FE3"/>
    <w:rsid w:val="00CD4270"/>
    <w:rsid w:val="00CE1C09"/>
    <w:rsid w:val="00CF2D0E"/>
    <w:rsid w:val="00D123A4"/>
    <w:rsid w:val="00D142D8"/>
    <w:rsid w:val="00D169D1"/>
    <w:rsid w:val="00D373C4"/>
    <w:rsid w:val="00D55509"/>
    <w:rsid w:val="00D677F0"/>
    <w:rsid w:val="00D8189B"/>
    <w:rsid w:val="00D94583"/>
    <w:rsid w:val="00D96638"/>
    <w:rsid w:val="00D97D0C"/>
    <w:rsid w:val="00DE2B14"/>
    <w:rsid w:val="00DE4659"/>
    <w:rsid w:val="00DF1907"/>
    <w:rsid w:val="00E02415"/>
    <w:rsid w:val="00E50000"/>
    <w:rsid w:val="00E54F2B"/>
    <w:rsid w:val="00E63ABF"/>
    <w:rsid w:val="00E74C3C"/>
    <w:rsid w:val="00EA7FE6"/>
    <w:rsid w:val="00EC7F85"/>
    <w:rsid w:val="00EF736C"/>
    <w:rsid w:val="00F00499"/>
    <w:rsid w:val="00F117AA"/>
    <w:rsid w:val="00F22C7F"/>
    <w:rsid w:val="00F25435"/>
    <w:rsid w:val="00F30C6F"/>
    <w:rsid w:val="00F449E0"/>
    <w:rsid w:val="00F91D4D"/>
    <w:rsid w:val="00FA31C5"/>
    <w:rsid w:val="00FD5B6F"/>
    <w:rsid w:val="045B1542"/>
    <w:rsid w:val="04D65D34"/>
    <w:rsid w:val="05D07816"/>
    <w:rsid w:val="07247684"/>
    <w:rsid w:val="09060854"/>
    <w:rsid w:val="0EB67A58"/>
    <w:rsid w:val="0F000F7B"/>
    <w:rsid w:val="0FE32D76"/>
    <w:rsid w:val="13B65787"/>
    <w:rsid w:val="14F525E4"/>
    <w:rsid w:val="15CF16A7"/>
    <w:rsid w:val="15F07DF1"/>
    <w:rsid w:val="16AC3B2B"/>
    <w:rsid w:val="172C7770"/>
    <w:rsid w:val="17C31B9A"/>
    <w:rsid w:val="1C4A4D10"/>
    <w:rsid w:val="1D1B5B56"/>
    <w:rsid w:val="1E1973D5"/>
    <w:rsid w:val="1F8C0F1A"/>
    <w:rsid w:val="20E75690"/>
    <w:rsid w:val="22DD5403"/>
    <w:rsid w:val="231F3C6E"/>
    <w:rsid w:val="252A1E05"/>
    <w:rsid w:val="254C2D14"/>
    <w:rsid w:val="25FC03C5"/>
    <w:rsid w:val="26345C82"/>
    <w:rsid w:val="276C144B"/>
    <w:rsid w:val="29F55728"/>
    <w:rsid w:val="2AA767F8"/>
    <w:rsid w:val="2DA2605D"/>
    <w:rsid w:val="2E637258"/>
    <w:rsid w:val="2FB870A3"/>
    <w:rsid w:val="2FC4426D"/>
    <w:rsid w:val="30514CF8"/>
    <w:rsid w:val="32297D53"/>
    <w:rsid w:val="3715740A"/>
    <w:rsid w:val="38B22A36"/>
    <w:rsid w:val="38EF77E6"/>
    <w:rsid w:val="3C3F2833"/>
    <w:rsid w:val="3CBA17BE"/>
    <w:rsid w:val="3DE90CA8"/>
    <w:rsid w:val="3E9E62D3"/>
    <w:rsid w:val="3EE27D6A"/>
    <w:rsid w:val="42862F6A"/>
    <w:rsid w:val="443C4228"/>
    <w:rsid w:val="463D381E"/>
    <w:rsid w:val="48211094"/>
    <w:rsid w:val="4968786D"/>
    <w:rsid w:val="4A2A0416"/>
    <w:rsid w:val="4B76782C"/>
    <w:rsid w:val="4C99451E"/>
    <w:rsid w:val="4D7055CD"/>
    <w:rsid w:val="4DCE1C69"/>
    <w:rsid w:val="4E022557"/>
    <w:rsid w:val="4F9C201E"/>
    <w:rsid w:val="51216210"/>
    <w:rsid w:val="51D57A6A"/>
    <w:rsid w:val="523E73BD"/>
    <w:rsid w:val="530E3233"/>
    <w:rsid w:val="5331480B"/>
    <w:rsid w:val="53670B95"/>
    <w:rsid w:val="53F71096"/>
    <w:rsid w:val="541C6ECC"/>
    <w:rsid w:val="54992FD0"/>
    <w:rsid w:val="569E7563"/>
    <w:rsid w:val="57716D68"/>
    <w:rsid w:val="59080725"/>
    <w:rsid w:val="5B152C85"/>
    <w:rsid w:val="60121E89"/>
    <w:rsid w:val="60C671AE"/>
    <w:rsid w:val="61513383"/>
    <w:rsid w:val="61976DBB"/>
    <w:rsid w:val="65D82ED8"/>
    <w:rsid w:val="667E5FE0"/>
    <w:rsid w:val="66A23F66"/>
    <w:rsid w:val="68AF576A"/>
    <w:rsid w:val="68EF1155"/>
    <w:rsid w:val="69001FC7"/>
    <w:rsid w:val="6B2F7D93"/>
    <w:rsid w:val="6CC133C9"/>
    <w:rsid w:val="6EFD2E7C"/>
    <w:rsid w:val="6F101C89"/>
    <w:rsid w:val="7000236B"/>
    <w:rsid w:val="71D376CA"/>
    <w:rsid w:val="72952911"/>
    <w:rsid w:val="72CC4119"/>
    <w:rsid w:val="73D56F2B"/>
    <w:rsid w:val="746870A6"/>
    <w:rsid w:val="78321190"/>
    <w:rsid w:val="784A1D68"/>
    <w:rsid w:val="78964FAD"/>
    <w:rsid w:val="791A758F"/>
    <w:rsid w:val="7AA716F4"/>
    <w:rsid w:val="7B672C31"/>
    <w:rsid w:val="7B825CBD"/>
    <w:rsid w:val="7D8950E1"/>
    <w:rsid w:val="7DCE3C71"/>
    <w:rsid w:val="7E2E4986"/>
    <w:rsid w:val="7F3E014D"/>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0E42"/>
  <w15:docId w15:val="{A193D08E-B8C0-441A-A47C-A3C5EC5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9"/>
    <w:qFormat/>
    <w:pPr>
      <w:keepNext/>
      <w:keepLines/>
      <w:spacing w:before="340" w:after="330" w:line="576" w:lineRule="auto"/>
      <w:outlineLvl w:val="0"/>
    </w:pPr>
    <w:rPr>
      <w:rFonts w:ascii="Times New Roman" w:eastAsia="微软雅黑"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6"/>
    </w:pPr>
    <w:rPr>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uiPriority w:val="1"/>
    <w:qFormat/>
    <w:rPr>
      <w:sz w:val="24"/>
      <w:szCs w:val="24"/>
    </w:rPr>
  </w:style>
  <w:style w:type="paragraph" w:styleId="aa">
    <w:name w:val="List Paragraph"/>
    <w:basedOn w:val="a"/>
    <w:uiPriority w:val="99"/>
    <w:qFormat/>
    <w:pPr>
      <w:ind w:firstLineChars="200" w:firstLine="420"/>
    </w:pPr>
  </w:style>
  <w:style w:type="character" w:customStyle="1" w:styleId="10">
    <w:name w:val="标题 1 字符"/>
    <w:basedOn w:val="a0"/>
    <w:link w:val="1"/>
    <w:uiPriority w:val="99"/>
    <w:qFormat/>
    <w:rPr>
      <w:rFonts w:ascii="Times New Roman" w:eastAsia="微软雅黑" w:hAnsi="Times New Roman" w:cs="Times New Roman"/>
      <w:b/>
      <w:bCs/>
      <w:kern w:val="44"/>
      <w:sz w:val="44"/>
      <w:szCs w:val="44"/>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赵一菲</dc:creator>
  <cp:lastModifiedBy>CYT</cp:lastModifiedBy>
  <cp:revision>14</cp:revision>
  <cp:lastPrinted>2022-07-15T01:52:00Z</cp:lastPrinted>
  <dcterms:created xsi:type="dcterms:W3CDTF">2022-08-18T03:44:00Z</dcterms:created>
  <dcterms:modified xsi:type="dcterms:W3CDTF">2023-10-27T06:32:00Z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1CBDE455FCE74C24BE4F2E5C077B2B6F_13</vt:lpwstr>
  </property>
</Properties>
</file>