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C078AC" w14:textId="65231994" w:rsidR="000C5F86" w:rsidRPr="00B977E0" w:rsidRDefault="000C5F86" w:rsidP="000C5F86">
      <w:pPr>
        <w:rPr>
          <w:rFonts w:ascii="宋体" w:hAnsi="宋体"/>
          <w:sz w:val="24"/>
          <w:szCs w:val="24"/>
        </w:rPr>
      </w:pPr>
      <w:r w:rsidRPr="00B977E0">
        <w:rPr>
          <w:rFonts w:ascii="宋体" w:hAnsi="宋体" w:hint="eastAsia"/>
          <w:sz w:val="24"/>
          <w:szCs w:val="24"/>
        </w:rPr>
        <w:t>证券代码：</w:t>
      </w:r>
      <w:r w:rsidR="00B977E0">
        <w:rPr>
          <w:rFonts w:ascii="宋体" w:hAnsi="宋体" w:hint="eastAsia"/>
          <w:sz w:val="24"/>
          <w:szCs w:val="24"/>
        </w:rPr>
        <w:t>603855</w:t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B977E0">
        <w:rPr>
          <w:rFonts w:ascii="宋体" w:hAnsi="宋体" w:hint="eastAsia"/>
          <w:sz w:val="24"/>
          <w:szCs w:val="24"/>
        </w:rPr>
        <w:tab/>
      </w:r>
      <w:r w:rsidR="00A8470D" w:rsidRPr="00B977E0">
        <w:rPr>
          <w:rFonts w:ascii="宋体" w:hAnsi="宋体" w:hint="eastAsia"/>
          <w:sz w:val="24"/>
          <w:szCs w:val="24"/>
        </w:rPr>
        <w:t xml:space="preserve"> </w:t>
      </w:r>
      <w:r w:rsidRPr="00B977E0">
        <w:rPr>
          <w:rFonts w:ascii="宋体" w:hAnsi="宋体" w:hint="eastAsia"/>
          <w:sz w:val="24"/>
          <w:szCs w:val="24"/>
        </w:rPr>
        <w:t>证券简称：华荣股份</w:t>
      </w:r>
    </w:p>
    <w:p w14:paraId="13CB91C1" w14:textId="77777777" w:rsidR="000C5F86" w:rsidRPr="00B678C5" w:rsidRDefault="000C5F86" w:rsidP="009D44C0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黑体" w:eastAsia="黑体" w:hAnsi="黑体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华荣科技股份有限公司</w:t>
      </w:r>
    </w:p>
    <w:p w14:paraId="03A35F66" w14:textId="77777777" w:rsidR="000C5F86" w:rsidRPr="00B678C5" w:rsidRDefault="000C5F86" w:rsidP="009D44C0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投资者关系活动记录表</w:t>
      </w:r>
    </w:p>
    <w:p w14:paraId="7B48D922" w14:textId="56C55B59" w:rsidR="000C5F86" w:rsidRPr="00B977E0" w:rsidRDefault="000C5F86" w:rsidP="00DD1420">
      <w:pPr>
        <w:jc w:val="right"/>
        <w:rPr>
          <w:rFonts w:ascii="宋体" w:hAnsi="宋体"/>
          <w:sz w:val="24"/>
          <w:szCs w:val="24"/>
        </w:rPr>
      </w:pPr>
      <w:r w:rsidRPr="00B977E0">
        <w:rPr>
          <w:rFonts w:ascii="宋体" w:hAnsi="宋体" w:hint="eastAsia"/>
          <w:sz w:val="24"/>
          <w:szCs w:val="24"/>
        </w:rPr>
        <w:t>编号：202</w:t>
      </w:r>
      <w:r w:rsidR="006F7D95">
        <w:rPr>
          <w:rFonts w:ascii="宋体" w:hAnsi="宋体" w:hint="eastAsia"/>
          <w:sz w:val="24"/>
          <w:szCs w:val="24"/>
        </w:rPr>
        <w:t>3</w:t>
      </w:r>
      <w:r w:rsidRPr="00B977E0">
        <w:rPr>
          <w:rFonts w:ascii="宋体" w:hAnsi="宋体" w:hint="eastAsia"/>
          <w:sz w:val="24"/>
          <w:szCs w:val="24"/>
        </w:rPr>
        <w:t>-0</w:t>
      </w:r>
      <w:r w:rsidR="00F14513" w:rsidRPr="00B977E0">
        <w:rPr>
          <w:rFonts w:ascii="宋体" w:hAnsi="宋体" w:hint="eastAsia"/>
          <w:sz w:val="24"/>
          <w:szCs w:val="24"/>
        </w:rPr>
        <w:t>0</w:t>
      </w:r>
      <w:r w:rsidR="00440F52">
        <w:rPr>
          <w:rFonts w:ascii="宋体" w:hAnsi="宋体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77389" w:rsidRPr="00B678C5" w14:paraId="3C9038A4" w14:textId="77777777" w:rsidTr="00ED583A">
        <w:tc>
          <w:tcPr>
            <w:tcW w:w="1526" w:type="dxa"/>
            <w:vAlign w:val="center"/>
          </w:tcPr>
          <w:p w14:paraId="067932D8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996" w:type="dxa"/>
            <w:vAlign w:val="center"/>
          </w:tcPr>
          <w:p w14:paraId="72A04FA6" w14:textId="63108D9D" w:rsidR="00777389" w:rsidRPr="00B678C5" w:rsidRDefault="00601913">
            <w:pPr>
              <w:rPr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777389" w:rsidRPr="00B678C5">
              <w:rPr>
                <w:sz w:val="24"/>
                <w:szCs w:val="24"/>
              </w:rPr>
              <w:t>特定对象调研</w:t>
            </w:r>
            <w:r w:rsidR="002E776F">
              <w:rPr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777389" w:rsidRPr="00B678C5">
              <w:rPr>
                <w:sz w:val="24"/>
                <w:szCs w:val="24"/>
              </w:rPr>
              <w:t>分析师会议</w:t>
            </w:r>
          </w:p>
          <w:p w14:paraId="0B1C8294" w14:textId="49708DFF" w:rsidR="00777389" w:rsidRPr="00B678C5" w:rsidRDefault="00601913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777389" w:rsidRPr="00B678C5">
              <w:rPr>
                <w:sz w:val="24"/>
              </w:rPr>
              <w:t>媒体采访</w:t>
            </w:r>
            <w:r w:rsidR="00777389" w:rsidRPr="00B678C5">
              <w:rPr>
                <w:sz w:val="24"/>
              </w:rPr>
              <w:t xml:space="preserve">           </w:t>
            </w:r>
            <w:r w:rsidR="000F58B1">
              <w:rPr>
                <w:rFonts w:ascii="宋体" w:hAnsi="宋体" w:hint="eastAsia"/>
                <w:sz w:val="24"/>
              </w:rPr>
              <w:t>□</w:t>
            </w:r>
            <w:r w:rsidR="00777389" w:rsidRPr="00B678C5">
              <w:rPr>
                <w:sz w:val="24"/>
              </w:rPr>
              <w:t>业绩说明会</w:t>
            </w:r>
          </w:p>
          <w:p w14:paraId="5FCA1133" w14:textId="0BCF9FE4" w:rsidR="00777389" w:rsidRPr="00B678C5" w:rsidRDefault="00601913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777389" w:rsidRPr="00B678C5">
              <w:rPr>
                <w:sz w:val="24"/>
              </w:rPr>
              <w:t>新闻发布会</w:t>
            </w:r>
            <w:r w:rsidR="00CC3103">
              <w:rPr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777389" w:rsidRPr="00B678C5">
              <w:rPr>
                <w:sz w:val="24"/>
              </w:rPr>
              <w:t>路演活动</w:t>
            </w:r>
          </w:p>
          <w:p w14:paraId="6602BC86" w14:textId="20A96720" w:rsidR="00777389" w:rsidRPr="00B678C5" w:rsidRDefault="000F58B1">
            <w:pPr>
              <w:spacing w:line="480" w:lineRule="exact"/>
              <w:rPr>
                <w:bCs/>
                <w:iCs/>
                <w:sz w:val="24"/>
                <w:szCs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="00777389" w:rsidRPr="00B678C5">
              <w:rPr>
                <w:sz w:val="24"/>
                <w:szCs w:val="24"/>
              </w:rPr>
              <w:t>电话会议</w:t>
            </w:r>
          </w:p>
          <w:p w14:paraId="12074935" w14:textId="6705E013" w:rsidR="00777389" w:rsidRPr="00A65ED3" w:rsidRDefault="006F7D95" w:rsidP="006F7D95">
            <w:pPr>
              <w:pStyle w:val="New0"/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777389" w:rsidRPr="00B678C5">
              <w:rPr>
                <w:sz w:val="24"/>
              </w:rPr>
              <w:t>其他</w:t>
            </w:r>
            <w:r w:rsidR="00A65ED3">
              <w:rPr>
                <w:rFonts w:hint="eastAsia"/>
                <w:sz w:val="24"/>
                <w:u w:val="single"/>
              </w:rPr>
              <w:t xml:space="preserve"> </w:t>
            </w:r>
            <w:r w:rsidR="00ED12B1">
              <w:rPr>
                <w:rFonts w:hint="eastAsia"/>
                <w:sz w:val="24"/>
                <w:u w:val="single"/>
              </w:rPr>
              <w:t xml:space="preserve"> </w:t>
            </w:r>
            <w:r w:rsidR="00FA5984">
              <w:rPr>
                <w:rFonts w:hint="eastAsia"/>
                <w:sz w:val="24"/>
                <w:u w:val="single"/>
              </w:rPr>
              <w:t xml:space="preserve"> </w:t>
            </w:r>
            <w:r w:rsidR="00ED12B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ED12B1">
              <w:rPr>
                <w:rFonts w:hint="eastAsia"/>
                <w:sz w:val="24"/>
                <w:u w:val="single"/>
              </w:rPr>
              <w:t xml:space="preserve">    </w:t>
            </w:r>
          </w:p>
        </w:tc>
      </w:tr>
      <w:tr w:rsidR="00674193" w:rsidRPr="00024DA7" w14:paraId="5F0B7C9A" w14:textId="77777777" w:rsidTr="00BA5C10">
        <w:trPr>
          <w:trHeight w:val="3354"/>
        </w:trPr>
        <w:tc>
          <w:tcPr>
            <w:tcW w:w="1526" w:type="dxa"/>
            <w:vAlign w:val="center"/>
          </w:tcPr>
          <w:p w14:paraId="03D9C2E0" w14:textId="77777777" w:rsidR="00674193" w:rsidRPr="00173967" w:rsidRDefault="00674193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173967"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996" w:type="dxa"/>
            <w:shd w:val="clear" w:color="auto" w:fill="FFFFFF" w:themeFill="background1"/>
            <w:vAlign w:val="center"/>
          </w:tcPr>
          <w:p w14:paraId="060BAF55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郭嘉熙</w:t>
            </w:r>
            <w:r w:rsidRPr="00DD0217">
              <w:rPr>
                <w:rFonts w:ascii="宋体" w:hAnsi="宋体" w:hint="eastAsia"/>
              </w:rPr>
              <w:tab/>
              <w:t>泰康基金</w:t>
            </w:r>
          </w:p>
          <w:p w14:paraId="09520ADA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周岩明</w:t>
            </w:r>
            <w:r w:rsidRPr="00DD0217">
              <w:rPr>
                <w:rFonts w:ascii="宋体" w:hAnsi="宋体" w:hint="eastAsia"/>
              </w:rPr>
              <w:tab/>
              <w:t>东吴新加坡资管</w:t>
            </w:r>
          </w:p>
          <w:p w14:paraId="2B76FECD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潘孜骅</w:t>
            </w:r>
            <w:r w:rsidRPr="00DD0217">
              <w:rPr>
                <w:rFonts w:ascii="宋体" w:hAnsi="宋体" w:hint="eastAsia"/>
              </w:rPr>
              <w:tab/>
              <w:t>银杏环球资本</w:t>
            </w:r>
          </w:p>
          <w:p w14:paraId="0F19BB65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梁世阳</w:t>
            </w:r>
            <w:r w:rsidRPr="00DD0217">
              <w:rPr>
                <w:rFonts w:ascii="宋体" w:hAnsi="宋体" w:hint="eastAsia"/>
              </w:rPr>
              <w:tab/>
              <w:t>上海聚鸣投资管理有限公司</w:t>
            </w:r>
          </w:p>
          <w:p w14:paraId="6936B8A7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杨煜橙</w:t>
            </w:r>
            <w:r w:rsidRPr="00DD0217">
              <w:rPr>
                <w:rFonts w:ascii="宋体" w:hAnsi="宋体" w:hint="eastAsia"/>
              </w:rPr>
              <w:tab/>
              <w:t>淳厚基金</w:t>
            </w:r>
          </w:p>
          <w:p w14:paraId="7356C9E3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丁轶凡</w:t>
            </w:r>
            <w:r w:rsidRPr="00DD0217">
              <w:rPr>
                <w:rFonts w:ascii="宋体" w:hAnsi="宋体" w:hint="eastAsia"/>
              </w:rPr>
              <w:tab/>
              <w:t>华泰保兴基金管理有限公司</w:t>
            </w:r>
          </w:p>
          <w:p w14:paraId="638C06E5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李明斯</w:t>
            </w:r>
            <w:r w:rsidRPr="00DD0217">
              <w:rPr>
                <w:rFonts w:ascii="宋体" w:hAnsi="宋体" w:hint="eastAsia"/>
              </w:rPr>
              <w:tab/>
              <w:t>中信建投</w:t>
            </w:r>
          </w:p>
          <w:p w14:paraId="0DF15BBB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俞海海</w:t>
            </w:r>
            <w:r w:rsidRPr="00DD0217">
              <w:rPr>
                <w:rFonts w:ascii="宋体" w:hAnsi="宋体" w:hint="eastAsia"/>
              </w:rPr>
              <w:tab/>
              <w:t>拓璞基金</w:t>
            </w:r>
          </w:p>
          <w:p w14:paraId="7F58D4EB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周筱彧</w:t>
            </w:r>
            <w:r w:rsidRPr="00DD0217">
              <w:rPr>
                <w:rFonts w:ascii="宋体" w:hAnsi="宋体" w:hint="eastAsia"/>
              </w:rPr>
              <w:tab/>
              <w:t>平安置业</w:t>
            </w:r>
          </w:p>
          <w:p w14:paraId="0DED4039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姚远</w:t>
            </w:r>
            <w:r w:rsidRPr="00DD0217">
              <w:rPr>
                <w:rFonts w:ascii="宋体" w:hAnsi="宋体" w:hint="eastAsia"/>
              </w:rPr>
              <w:tab/>
              <w:t>长江证券（上海）资产管理有限公司</w:t>
            </w:r>
          </w:p>
          <w:p w14:paraId="61C58021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董智薇</w:t>
            </w:r>
            <w:r w:rsidRPr="00DD0217">
              <w:rPr>
                <w:rFonts w:ascii="宋体" w:hAnsi="宋体" w:hint="eastAsia"/>
              </w:rPr>
              <w:tab/>
              <w:t>上海同犇投资管理中心</w:t>
            </w:r>
          </w:p>
          <w:p w14:paraId="70D15F62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李巍宇</w:t>
            </w:r>
            <w:r w:rsidRPr="00DD0217">
              <w:rPr>
                <w:rFonts w:ascii="宋体" w:hAnsi="宋体" w:hint="eastAsia"/>
              </w:rPr>
              <w:tab/>
              <w:t>宝盈基金管理有限公司</w:t>
            </w:r>
          </w:p>
          <w:p w14:paraId="2B4513EF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项光隆</w:t>
            </w:r>
            <w:r w:rsidRPr="00DD0217">
              <w:rPr>
                <w:rFonts w:ascii="宋体" w:hAnsi="宋体" w:hint="eastAsia"/>
              </w:rPr>
              <w:tab/>
              <w:t>上海壹德资产管理有限公司</w:t>
            </w:r>
          </w:p>
          <w:p w14:paraId="141A8FDE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刘晋</w:t>
            </w:r>
            <w:r w:rsidRPr="00DD0217">
              <w:rPr>
                <w:rFonts w:ascii="宋体" w:hAnsi="宋体" w:hint="eastAsia"/>
              </w:rPr>
              <w:tab/>
              <w:t>广东博弈树投资股份有限公司</w:t>
            </w:r>
          </w:p>
          <w:p w14:paraId="5A0DFB88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周振兴</w:t>
            </w:r>
            <w:r w:rsidRPr="00DD0217">
              <w:rPr>
                <w:rFonts w:ascii="宋体" w:hAnsi="宋体" w:hint="eastAsia"/>
              </w:rPr>
              <w:tab/>
              <w:t>深圳清水源投资管理有限公司</w:t>
            </w:r>
          </w:p>
          <w:p w14:paraId="65777FF9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邵琮元</w:t>
            </w:r>
            <w:r w:rsidRPr="00DD0217">
              <w:rPr>
                <w:rFonts w:ascii="宋体" w:hAnsi="宋体" w:hint="eastAsia"/>
              </w:rPr>
              <w:tab/>
              <w:t>深圳凡二投资管理合伙企业（有限合伙)</w:t>
            </w:r>
          </w:p>
          <w:p w14:paraId="34755F0E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李卓健</w:t>
            </w:r>
            <w:r w:rsidRPr="00DD0217">
              <w:rPr>
                <w:rFonts w:ascii="宋体" w:hAnsi="宋体" w:hint="eastAsia"/>
              </w:rPr>
              <w:tab/>
              <w:t>华商基金管理有限公司</w:t>
            </w:r>
          </w:p>
          <w:p w14:paraId="15CC6FA2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鲍无可</w:t>
            </w:r>
            <w:r w:rsidRPr="00DD0217">
              <w:rPr>
                <w:rFonts w:ascii="宋体" w:hAnsi="宋体" w:hint="eastAsia"/>
              </w:rPr>
              <w:tab/>
              <w:t>景顺长城基金管理有限公司</w:t>
            </w:r>
          </w:p>
          <w:p w14:paraId="5EE361A2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贾昌浩</w:t>
            </w:r>
            <w:r w:rsidRPr="00DD0217">
              <w:rPr>
                <w:rFonts w:ascii="宋体" w:hAnsi="宋体" w:hint="eastAsia"/>
              </w:rPr>
              <w:tab/>
              <w:t>摩根士丹利基金管理（中国）有限公司</w:t>
            </w:r>
          </w:p>
          <w:p w14:paraId="54255E24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尹德才</w:t>
            </w:r>
            <w:r w:rsidRPr="00DD0217">
              <w:rPr>
                <w:rFonts w:ascii="宋体" w:hAnsi="宋体" w:hint="eastAsia"/>
              </w:rPr>
              <w:tab/>
              <w:t>海南夏尔私募基金管理有限公司</w:t>
            </w:r>
          </w:p>
          <w:p w14:paraId="38996033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李人望</w:t>
            </w:r>
            <w:r w:rsidRPr="00DD0217">
              <w:rPr>
                <w:rFonts w:ascii="宋体" w:hAnsi="宋体" w:hint="eastAsia"/>
              </w:rPr>
              <w:tab/>
              <w:t>鹏扬基金管理有限公司</w:t>
            </w:r>
          </w:p>
          <w:p w14:paraId="6F0C4530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王海山</w:t>
            </w:r>
            <w:r w:rsidRPr="00DD0217">
              <w:rPr>
                <w:rFonts w:ascii="宋体" w:hAnsi="宋体" w:hint="eastAsia"/>
              </w:rPr>
              <w:tab/>
              <w:t>华泰证券（上海）资产管理有限公司</w:t>
            </w:r>
          </w:p>
          <w:p w14:paraId="44C73946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钟慧玲</w:t>
            </w:r>
            <w:r w:rsidRPr="00DD0217">
              <w:rPr>
                <w:rFonts w:ascii="宋体" w:hAnsi="宋体" w:hint="eastAsia"/>
              </w:rPr>
              <w:tab/>
              <w:t>合煦智远基金管理有限公司</w:t>
            </w:r>
          </w:p>
          <w:p w14:paraId="29ED0F91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汲萌</w:t>
            </w:r>
            <w:r w:rsidRPr="00DD0217">
              <w:rPr>
                <w:rFonts w:ascii="宋体" w:hAnsi="宋体" w:hint="eastAsia"/>
              </w:rPr>
              <w:tab/>
              <w:t>光大证券研究所</w:t>
            </w:r>
          </w:p>
          <w:p w14:paraId="067AFF0D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谢校辉</w:t>
            </w:r>
            <w:r w:rsidRPr="00DD0217">
              <w:rPr>
                <w:rFonts w:ascii="宋体" w:hAnsi="宋体" w:hint="eastAsia"/>
              </w:rPr>
              <w:tab/>
              <w:t>中泰证券</w:t>
            </w:r>
          </w:p>
          <w:p w14:paraId="3797533D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荣景昱</w:t>
            </w:r>
            <w:r w:rsidRPr="00DD0217">
              <w:rPr>
                <w:rFonts w:ascii="宋体" w:hAnsi="宋体" w:hint="eastAsia"/>
              </w:rPr>
              <w:tab/>
              <w:t>华夏未来资本</w:t>
            </w:r>
          </w:p>
          <w:p w14:paraId="436129DF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董星宇</w:t>
            </w:r>
            <w:r w:rsidRPr="00DD0217">
              <w:rPr>
                <w:rFonts w:ascii="宋体" w:hAnsi="宋体" w:hint="eastAsia"/>
              </w:rPr>
              <w:tab/>
              <w:t>北京盛运德诚投资管理有限责任公司</w:t>
            </w:r>
          </w:p>
          <w:p w14:paraId="01901A45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臧怡</w:t>
            </w:r>
            <w:r w:rsidRPr="00DD0217">
              <w:rPr>
                <w:rFonts w:ascii="宋体" w:hAnsi="宋体" w:hint="eastAsia"/>
              </w:rPr>
              <w:tab/>
              <w:t>中意资产管理有限责任公司</w:t>
            </w:r>
          </w:p>
          <w:p w14:paraId="104C7CC5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李宝康</w:t>
            </w:r>
            <w:r w:rsidRPr="00DD0217">
              <w:rPr>
                <w:rFonts w:ascii="宋体" w:hAnsi="宋体" w:hint="eastAsia"/>
              </w:rPr>
              <w:tab/>
              <w:t>中信证券股份有限公司</w:t>
            </w:r>
          </w:p>
          <w:p w14:paraId="615B51C8" w14:textId="7C3398E0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郝思行</w:t>
            </w:r>
            <w:r w:rsidRPr="00DD0217">
              <w:rPr>
                <w:rFonts w:ascii="宋体" w:hAnsi="宋体" w:hint="eastAsia"/>
              </w:rPr>
              <w:tab/>
            </w:r>
            <w:r w:rsidR="00401F06">
              <w:rPr>
                <w:rFonts w:ascii="宋体" w:hAnsi="宋体" w:hint="eastAsia"/>
              </w:rPr>
              <w:t>财通机械</w:t>
            </w:r>
          </w:p>
          <w:p w14:paraId="1F276F09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吴佳歆</w:t>
            </w:r>
            <w:r w:rsidRPr="00DD0217">
              <w:rPr>
                <w:rFonts w:ascii="宋体" w:hAnsi="宋体" w:hint="eastAsia"/>
              </w:rPr>
              <w:tab/>
              <w:t>东吴基金管理有限公司</w:t>
            </w:r>
          </w:p>
          <w:p w14:paraId="46DB7D91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lastRenderedPageBreak/>
              <w:t>Jackson Juncheng Hui</w:t>
            </w:r>
            <w:r w:rsidRPr="00DD0217">
              <w:rPr>
                <w:rFonts w:ascii="宋体" w:hAnsi="宋体" w:hint="eastAsia"/>
              </w:rPr>
              <w:tab/>
              <w:t>资本集团</w:t>
            </w:r>
          </w:p>
          <w:p w14:paraId="6D6D0096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荣白丁</w:t>
            </w:r>
            <w:r w:rsidRPr="00DD0217">
              <w:rPr>
                <w:rFonts w:ascii="宋体" w:hAnsi="宋体" w:hint="eastAsia"/>
              </w:rPr>
              <w:tab/>
              <w:t>霸菱资产管理有限公司</w:t>
            </w:r>
          </w:p>
          <w:p w14:paraId="09BC5D54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姚文韬</w:t>
            </w:r>
            <w:r w:rsidRPr="00DD0217">
              <w:rPr>
                <w:rFonts w:ascii="宋体" w:hAnsi="宋体" w:hint="eastAsia"/>
              </w:rPr>
              <w:tab/>
              <w:t>华泰资管</w:t>
            </w:r>
          </w:p>
          <w:p w14:paraId="1A55031C" w14:textId="50E4D54F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邹靖</w:t>
            </w:r>
            <w:r w:rsidRPr="00DD0217">
              <w:rPr>
                <w:rFonts w:ascii="宋体" w:hAnsi="宋体" w:hint="eastAsia"/>
              </w:rPr>
              <w:tab/>
            </w:r>
            <w:r w:rsidR="00C65FEF">
              <w:rPr>
                <w:rFonts w:ascii="宋体" w:hAnsi="宋体" w:hint="eastAsia"/>
              </w:rPr>
              <w:t>中金公司</w:t>
            </w:r>
          </w:p>
          <w:p w14:paraId="4A65075D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郭文凯</w:t>
            </w:r>
            <w:r w:rsidRPr="00DD0217">
              <w:rPr>
                <w:rFonts w:ascii="宋体" w:hAnsi="宋体" w:hint="eastAsia"/>
              </w:rPr>
              <w:tab/>
              <w:t>敦和资产管理有限公司</w:t>
            </w:r>
          </w:p>
          <w:p w14:paraId="20D84B7C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安家正</w:t>
            </w:r>
            <w:r w:rsidRPr="00DD0217">
              <w:rPr>
                <w:rFonts w:ascii="宋体" w:hAnsi="宋体" w:hint="eastAsia"/>
              </w:rPr>
              <w:tab/>
              <w:t>中信证券</w:t>
            </w:r>
          </w:p>
          <w:p w14:paraId="24D49F94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刘康衡</w:t>
            </w:r>
            <w:r w:rsidRPr="00DD0217">
              <w:rPr>
                <w:rFonts w:ascii="宋体" w:hAnsi="宋体" w:hint="eastAsia"/>
              </w:rPr>
              <w:tab/>
              <w:t>上海适锦商务咨询有限公司</w:t>
            </w:r>
          </w:p>
          <w:p w14:paraId="0BFAA7D7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黄亚坤</w:t>
            </w:r>
            <w:r w:rsidRPr="00DD0217">
              <w:rPr>
                <w:rFonts w:ascii="宋体" w:hAnsi="宋体" w:hint="eastAsia"/>
              </w:rPr>
              <w:tab/>
              <w:t>深圳市奕金安投资管理有限公司</w:t>
            </w:r>
          </w:p>
          <w:p w14:paraId="2A05A9FD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彭景环</w:t>
            </w:r>
            <w:r w:rsidRPr="00DD0217">
              <w:rPr>
                <w:rFonts w:ascii="宋体" w:hAnsi="宋体" w:hint="eastAsia"/>
              </w:rPr>
              <w:tab/>
              <w:t>上海瓴仁私募基金管理合伙企业（有限合伙）</w:t>
            </w:r>
          </w:p>
          <w:p w14:paraId="3657224E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徐杨</w:t>
            </w:r>
            <w:r w:rsidRPr="00DD0217">
              <w:rPr>
                <w:rFonts w:ascii="宋体" w:hAnsi="宋体" w:hint="eastAsia"/>
              </w:rPr>
              <w:tab/>
              <w:t>金舆资产</w:t>
            </w:r>
          </w:p>
          <w:p w14:paraId="74F1B906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王鼎</w:t>
            </w:r>
            <w:r w:rsidRPr="00DD0217">
              <w:rPr>
                <w:rFonts w:ascii="宋体" w:hAnsi="宋体" w:hint="eastAsia"/>
              </w:rPr>
              <w:tab/>
              <w:t>国信证券经济研究所</w:t>
            </w:r>
          </w:p>
          <w:p w14:paraId="785415E9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黄晓峰</w:t>
            </w:r>
            <w:r w:rsidRPr="00DD0217">
              <w:rPr>
                <w:rFonts w:ascii="宋体" w:hAnsi="宋体" w:hint="eastAsia"/>
              </w:rPr>
              <w:tab/>
              <w:t>易米基金</w:t>
            </w:r>
          </w:p>
          <w:p w14:paraId="4CD979DD" w14:textId="75D808EB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王炜越</w:t>
            </w:r>
            <w:r w:rsidRPr="00DD0217">
              <w:rPr>
                <w:rFonts w:ascii="宋体" w:hAnsi="宋体" w:hint="eastAsia"/>
              </w:rPr>
              <w:tab/>
            </w:r>
            <w:r w:rsidR="00C65FEF">
              <w:rPr>
                <w:rFonts w:ascii="宋体" w:hAnsi="宋体" w:hint="eastAsia"/>
              </w:rPr>
              <w:t>中金公司</w:t>
            </w:r>
          </w:p>
          <w:p w14:paraId="4E24F49E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刘力思</w:t>
            </w:r>
            <w:r w:rsidRPr="00DD0217">
              <w:rPr>
                <w:rFonts w:ascii="宋体" w:hAnsi="宋体" w:hint="eastAsia"/>
              </w:rPr>
              <w:tab/>
              <w:t>景顺长城基金管理有限公司</w:t>
            </w:r>
          </w:p>
          <w:p w14:paraId="7AC9295C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 xml:space="preserve">徐睿 </w:t>
            </w:r>
            <w:r w:rsidRPr="00DD0217">
              <w:rPr>
                <w:rFonts w:ascii="宋体" w:hAnsi="宋体" w:hint="eastAsia"/>
              </w:rPr>
              <w:tab/>
              <w:t>湘楚资产</w:t>
            </w:r>
          </w:p>
          <w:p w14:paraId="1244B811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曾万平</w:t>
            </w:r>
            <w:r w:rsidRPr="00DD0217">
              <w:rPr>
                <w:rFonts w:ascii="宋体" w:hAnsi="宋体" w:hint="eastAsia"/>
              </w:rPr>
              <w:tab/>
              <w:t>汇泉基金管理有限公司</w:t>
            </w:r>
          </w:p>
          <w:p w14:paraId="71563193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包丽华</w:t>
            </w:r>
            <w:r w:rsidRPr="00DD0217">
              <w:rPr>
                <w:rFonts w:ascii="宋体" w:hAnsi="宋体" w:hint="eastAsia"/>
              </w:rPr>
              <w:tab/>
              <w:t>易米基金管理有限公司</w:t>
            </w:r>
          </w:p>
          <w:p w14:paraId="12B8C699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赵雪莲</w:t>
            </w:r>
            <w:r w:rsidRPr="00DD0217">
              <w:rPr>
                <w:rFonts w:ascii="宋体" w:hAnsi="宋体" w:hint="eastAsia"/>
              </w:rPr>
              <w:tab/>
              <w:t>德邦证券资产管理有限公司</w:t>
            </w:r>
          </w:p>
          <w:p w14:paraId="55A7882A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陈文</w:t>
            </w:r>
            <w:r w:rsidRPr="00DD0217">
              <w:rPr>
                <w:rFonts w:ascii="宋体" w:hAnsi="宋体" w:hint="eastAsia"/>
              </w:rPr>
              <w:tab/>
              <w:t>淳厚基金管理有限公司</w:t>
            </w:r>
          </w:p>
          <w:p w14:paraId="171F9006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陶然</w:t>
            </w:r>
            <w:r w:rsidRPr="00DD0217">
              <w:rPr>
                <w:rFonts w:ascii="宋体" w:hAnsi="宋体" w:hint="eastAsia"/>
              </w:rPr>
              <w:tab/>
              <w:t>上海理成资产管理有限公司</w:t>
            </w:r>
          </w:p>
          <w:p w14:paraId="30E4E4B6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张炳炜</w:t>
            </w:r>
            <w:r w:rsidRPr="00DD0217">
              <w:rPr>
                <w:rFonts w:ascii="宋体" w:hAnsi="宋体" w:hint="eastAsia"/>
              </w:rPr>
              <w:tab/>
              <w:t>国泰君安证券股份有限公司</w:t>
            </w:r>
          </w:p>
          <w:p w14:paraId="5826EC3D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唐奕波</w:t>
            </w:r>
            <w:r w:rsidRPr="00DD0217">
              <w:rPr>
                <w:rFonts w:ascii="宋体" w:hAnsi="宋体" w:hint="eastAsia"/>
              </w:rPr>
              <w:tab/>
              <w:t>璞瑜资本</w:t>
            </w:r>
          </w:p>
          <w:p w14:paraId="6841BCFF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周小锋</w:t>
            </w:r>
            <w:r w:rsidRPr="00DD0217">
              <w:rPr>
                <w:rFonts w:ascii="宋体" w:hAnsi="宋体" w:hint="eastAsia"/>
              </w:rPr>
              <w:tab/>
              <w:t>方正-资管</w:t>
            </w:r>
          </w:p>
          <w:p w14:paraId="3CFC5E80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张许宏</w:t>
            </w:r>
            <w:r w:rsidRPr="00DD0217">
              <w:rPr>
                <w:rFonts w:ascii="宋体" w:hAnsi="宋体" w:hint="eastAsia"/>
              </w:rPr>
              <w:tab/>
              <w:t>淳臻投资</w:t>
            </w:r>
          </w:p>
          <w:p w14:paraId="38C22280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周旭</w:t>
            </w:r>
            <w:r w:rsidRPr="00DD0217">
              <w:rPr>
                <w:rFonts w:ascii="宋体" w:hAnsi="宋体" w:hint="eastAsia"/>
              </w:rPr>
              <w:tab/>
              <w:t>天井投资</w:t>
            </w:r>
          </w:p>
          <w:p w14:paraId="0AB265B7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徐平</w:t>
            </w:r>
            <w:r w:rsidRPr="00DD0217">
              <w:rPr>
                <w:rFonts w:ascii="宋体" w:hAnsi="宋体" w:hint="eastAsia"/>
              </w:rPr>
              <w:tab/>
              <w:t>云南国际信托有限公司</w:t>
            </w:r>
          </w:p>
          <w:p w14:paraId="78F4CF74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刘苏</w:t>
            </w:r>
            <w:r w:rsidRPr="00DD0217">
              <w:rPr>
                <w:rFonts w:ascii="宋体" w:hAnsi="宋体" w:hint="eastAsia"/>
              </w:rPr>
              <w:tab/>
              <w:t>景顺长城基金</w:t>
            </w:r>
          </w:p>
          <w:p w14:paraId="62C79B43" w14:textId="77777777" w:rsidR="00DD0217" w:rsidRPr="00DD0217" w:rsidRDefault="00DD0217" w:rsidP="00DD0217">
            <w:pPr>
              <w:ind w:left="840" w:hangingChars="400" w:hanging="840"/>
              <w:rPr>
                <w:rFonts w:ascii="宋体" w:hAnsi="宋体"/>
              </w:rPr>
            </w:pPr>
            <w:r w:rsidRPr="00DD0217">
              <w:rPr>
                <w:rFonts w:ascii="宋体" w:hAnsi="宋体" w:hint="eastAsia"/>
              </w:rPr>
              <w:t>姚琪</w:t>
            </w:r>
            <w:r w:rsidRPr="00DD0217">
              <w:rPr>
                <w:rFonts w:ascii="宋体" w:hAnsi="宋体" w:hint="eastAsia"/>
              </w:rPr>
              <w:tab/>
              <w:t>青岛幂加和私募基金管理有限责任公司</w:t>
            </w:r>
          </w:p>
          <w:p w14:paraId="5415AFF0" w14:textId="1E9C3893" w:rsidR="00E214EB" w:rsidRPr="00C53C95" w:rsidRDefault="00DD0217" w:rsidP="00DD0217">
            <w:pPr>
              <w:ind w:left="840" w:hangingChars="400" w:hanging="840"/>
              <w:rPr>
                <w:rFonts w:ascii="宋体" w:hAnsi="宋体"/>
                <w:highlight w:val="yellow"/>
              </w:rPr>
            </w:pPr>
            <w:r w:rsidRPr="00DD0217">
              <w:rPr>
                <w:rFonts w:ascii="宋体" w:hAnsi="宋体" w:hint="eastAsia"/>
              </w:rPr>
              <w:t>杨平</w:t>
            </w:r>
            <w:r w:rsidRPr="00DD0217">
              <w:rPr>
                <w:rFonts w:ascii="宋体" w:hAnsi="宋体" w:hint="eastAsia"/>
              </w:rPr>
              <w:tab/>
              <w:t>淳臻投资</w:t>
            </w:r>
          </w:p>
        </w:tc>
      </w:tr>
      <w:tr w:rsidR="00674193" w:rsidRPr="00B678C5" w14:paraId="17176A3F" w14:textId="77777777" w:rsidTr="003F33EA">
        <w:trPr>
          <w:trHeight w:val="460"/>
        </w:trPr>
        <w:tc>
          <w:tcPr>
            <w:tcW w:w="1526" w:type="dxa"/>
            <w:vAlign w:val="center"/>
          </w:tcPr>
          <w:p w14:paraId="56B807CB" w14:textId="77777777" w:rsidR="00674193" w:rsidRPr="00B678C5" w:rsidRDefault="00674193" w:rsidP="003F33EA">
            <w:pPr>
              <w:pStyle w:val="New0"/>
              <w:spacing w:before="100" w:beforeAutospacing="1" w:afterLines="50" w:after="156"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996" w:type="dxa"/>
            <w:vAlign w:val="center"/>
          </w:tcPr>
          <w:p w14:paraId="6D0FED81" w14:textId="1F11B0B1" w:rsidR="00674193" w:rsidRPr="00BE6F10" w:rsidRDefault="00674193" w:rsidP="00C65FEF">
            <w:pPr>
              <w:pStyle w:val="New0"/>
              <w:spacing w:before="100" w:beforeAutospacing="1" w:afterLines="50" w:after="156"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E6F10">
              <w:rPr>
                <w:rFonts w:ascii="宋体" w:hAnsi="宋体" w:hint="eastAsia"/>
                <w:bCs/>
                <w:iCs/>
                <w:sz w:val="24"/>
              </w:rPr>
              <w:t>202</w:t>
            </w:r>
            <w:r w:rsidR="006F7D95">
              <w:rPr>
                <w:rFonts w:ascii="宋体" w:hAnsi="宋体" w:hint="eastAsia"/>
                <w:bCs/>
                <w:iCs/>
                <w:sz w:val="24"/>
              </w:rPr>
              <w:t>3</w:t>
            </w:r>
            <w:r w:rsidRPr="00BE6F10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DD0217">
              <w:rPr>
                <w:rFonts w:ascii="宋体" w:hAnsi="宋体"/>
                <w:bCs/>
                <w:iCs/>
                <w:sz w:val="24"/>
              </w:rPr>
              <w:t>10</w:t>
            </w:r>
            <w:r w:rsidRPr="00BE6F10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6F7D95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="00DD0217">
              <w:rPr>
                <w:rFonts w:ascii="宋体" w:hAnsi="宋体"/>
                <w:bCs/>
                <w:iCs/>
                <w:sz w:val="24"/>
              </w:rPr>
              <w:t>7</w:t>
            </w:r>
            <w:r w:rsidRPr="00BE6F10">
              <w:rPr>
                <w:rFonts w:ascii="宋体" w:hAnsi="宋体" w:hint="eastAsia"/>
                <w:bCs/>
                <w:iCs/>
                <w:sz w:val="24"/>
              </w:rPr>
              <w:t>日 1</w:t>
            </w:r>
            <w:r w:rsidR="006F7D95">
              <w:rPr>
                <w:rFonts w:ascii="宋体" w:hAnsi="宋体" w:hint="eastAsia"/>
                <w:bCs/>
                <w:iCs/>
                <w:sz w:val="24"/>
              </w:rPr>
              <w:t>5</w:t>
            </w:r>
            <w:r w:rsidRPr="00BE6F10">
              <w:rPr>
                <w:rFonts w:ascii="宋体" w:hAnsi="宋体" w:hint="eastAsia"/>
                <w:bCs/>
                <w:iCs/>
                <w:sz w:val="24"/>
              </w:rPr>
              <w:t>:</w:t>
            </w:r>
            <w:r w:rsidR="000D19A5">
              <w:rPr>
                <w:rFonts w:ascii="宋体" w:hAnsi="宋体"/>
                <w:bCs/>
                <w:iCs/>
                <w:sz w:val="24"/>
              </w:rPr>
              <w:t>30</w:t>
            </w:r>
            <w:r w:rsidRPr="00BE6F10">
              <w:rPr>
                <w:rFonts w:ascii="宋体" w:hAnsi="宋体" w:hint="eastAsia"/>
                <w:bCs/>
                <w:iCs/>
                <w:sz w:val="24"/>
              </w:rPr>
              <w:t>-1</w:t>
            </w:r>
            <w:r w:rsidR="00C65FEF">
              <w:rPr>
                <w:rFonts w:ascii="宋体" w:hAnsi="宋体"/>
                <w:bCs/>
                <w:iCs/>
                <w:sz w:val="24"/>
              </w:rPr>
              <w:t>6</w:t>
            </w:r>
            <w:r w:rsidRPr="00BE6F10">
              <w:rPr>
                <w:rFonts w:ascii="宋体" w:hAnsi="宋体" w:hint="eastAsia"/>
                <w:bCs/>
                <w:iCs/>
                <w:sz w:val="24"/>
              </w:rPr>
              <w:t>:</w:t>
            </w:r>
            <w:r w:rsidR="00C65FEF">
              <w:rPr>
                <w:rFonts w:ascii="宋体" w:hAnsi="宋体"/>
                <w:bCs/>
                <w:iCs/>
                <w:sz w:val="24"/>
              </w:rPr>
              <w:t>3</w:t>
            </w:r>
            <w:r w:rsidRPr="00BE6F10">
              <w:rPr>
                <w:rFonts w:ascii="宋体" w:hAnsi="宋体" w:hint="eastAsia"/>
                <w:bCs/>
                <w:iCs/>
                <w:sz w:val="24"/>
              </w:rPr>
              <w:t>0</w:t>
            </w:r>
          </w:p>
        </w:tc>
      </w:tr>
      <w:tr w:rsidR="00674193" w:rsidRPr="00B678C5" w14:paraId="736EAFBD" w14:textId="77777777" w:rsidTr="00ED583A">
        <w:trPr>
          <w:trHeight w:val="450"/>
        </w:trPr>
        <w:tc>
          <w:tcPr>
            <w:tcW w:w="1526" w:type="dxa"/>
            <w:vAlign w:val="center"/>
          </w:tcPr>
          <w:p w14:paraId="7853BA71" w14:textId="77777777" w:rsidR="00674193" w:rsidRPr="00B678C5" w:rsidRDefault="00674193" w:rsidP="003F33EA">
            <w:pPr>
              <w:pStyle w:val="New0"/>
              <w:spacing w:before="100" w:beforeAutospacing="1" w:afterLines="50" w:after="156"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6996" w:type="dxa"/>
            <w:vAlign w:val="center"/>
          </w:tcPr>
          <w:p w14:paraId="3F246CCC" w14:textId="78EE1352" w:rsidR="00674193" w:rsidRPr="00BE6F10" w:rsidRDefault="00674193" w:rsidP="003F33EA">
            <w:pPr>
              <w:pStyle w:val="New0"/>
              <w:spacing w:before="100" w:beforeAutospacing="1" w:afterLines="50" w:after="156"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BE6F10">
              <w:rPr>
                <w:rFonts w:ascii="宋体" w:hAnsi="宋体" w:hint="eastAsia"/>
                <w:bCs/>
                <w:iCs/>
                <w:sz w:val="24"/>
              </w:rPr>
              <w:t>上海市嘉定区宝钱公路555号</w:t>
            </w:r>
          </w:p>
        </w:tc>
      </w:tr>
      <w:tr w:rsidR="00674193" w:rsidRPr="00B678C5" w14:paraId="32DBB040" w14:textId="77777777" w:rsidTr="00ED583A">
        <w:trPr>
          <w:trHeight w:val="1010"/>
        </w:trPr>
        <w:tc>
          <w:tcPr>
            <w:tcW w:w="1526" w:type="dxa"/>
            <w:vAlign w:val="center"/>
          </w:tcPr>
          <w:p w14:paraId="7858D97F" w14:textId="77777777" w:rsidR="00674193" w:rsidRPr="00B678C5" w:rsidRDefault="00674193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996" w:type="dxa"/>
            <w:vAlign w:val="center"/>
          </w:tcPr>
          <w:p w14:paraId="1512BE90" w14:textId="77777777" w:rsidR="00674193" w:rsidRDefault="00B977E0" w:rsidP="00811A02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财务总监：孙立</w:t>
            </w:r>
          </w:p>
          <w:p w14:paraId="039CD673" w14:textId="5668582A" w:rsidR="006F7D95" w:rsidRPr="00BE6F10" w:rsidRDefault="006F7D95" w:rsidP="00811A02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董事会秘书：宋宗斌</w:t>
            </w:r>
          </w:p>
        </w:tc>
      </w:tr>
      <w:tr w:rsidR="003F33EA" w:rsidRPr="00B678C5" w14:paraId="571B1B92" w14:textId="77777777" w:rsidTr="00ED583A">
        <w:trPr>
          <w:trHeight w:val="1010"/>
        </w:trPr>
        <w:tc>
          <w:tcPr>
            <w:tcW w:w="1526" w:type="dxa"/>
            <w:vAlign w:val="center"/>
          </w:tcPr>
          <w:p w14:paraId="41B16452" w14:textId="55E21F26" w:rsidR="003F33EA" w:rsidRPr="003F33EA" w:rsidRDefault="003F33EA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3F33EA">
              <w:rPr>
                <w:rFonts w:ascii="宋体" w:hAnsi="宋体" w:hint="eastAsia"/>
                <w:b/>
                <w:sz w:val="24"/>
              </w:rPr>
              <w:t>投资者关系活动主要内容介绍</w:t>
            </w:r>
          </w:p>
        </w:tc>
        <w:tc>
          <w:tcPr>
            <w:tcW w:w="6996" w:type="dxa"/>
            <w:vAlign w:val="center"/>
          </w:tcPr>
          <w:p w14:paraId="72B387AF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一、财务情况</w:t>
            </w:r>
          </w:p>
          <w:p w14:paraId="6C693929" w14:textId="692D56C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公司2023年前三季度实现营收20.47亿元，同比下降14.41%；归母净利润3.01亿元，同比增长6.8%；扣非归母净利润2.91亿元，同比下降2.42%，扣非净利率为14.2%，同比增长1.7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个百分点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；毛利率为57.42%，同比增长11.4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个百分点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；三项费用率为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lastRenderedPageBreak/>
              <w:t>41%，同比增长10.7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个百分点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，主要系前三季度新能源EPC未确认收入，造成净利润下降近3100万元。此外，公司调整薪酬体系，将年终奖分摊至各月发放，使得前三季度薪酬支出增长，对净利润影响约1500万元。</w:t>
            </w:r>
          </w:p>
          <w:p w14:paraId="1BC2CC03" w14:textId="32BD93B8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2023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年第三季度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公司实现营收7.3亿元，同比下滑28.5%，实现扣非归母净利润1.08亿元，同比下滑12.7%，扣非净利率为14.8%，同比增长2.7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个百分点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，主要系新能源EPC业务未确认收入。</w:t>
            </w:r>
          </w:p>
          <w:p w14:paraId="1B195B25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宏观上看，厂用防爆业务中石油化工传统领域需求低于预期，不仅影响传统产品销售，同时也影响公司安工智能产品的订单出现部分推迟。但从三季度开始，下游行业需求逐步复苏，上半年暂停的项目开始启动，预计明年业绩会比较乐观。</w:t>
            </w:r>
          </w:p>
          <w:p w14:paraId="36CA5BEE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1）厂用防爆板块实现营收15.7亿元，同比增长9.7%，其中内贸营收10.76亿元，同比增长9.5%；外贸营收4.96亿元，同比增长10.2%。实现净利润2.88亿元，同比增长6.3%。毛利率约60%，与去年同期基本持平。</w:t>
            </w:r>
          </w:p>
          <w:p w14:paraId="0C3589DD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2）能源板块前三季度实现营收2.69亿元，同比下滑65.1%，实现净利润1300万，同比下滑70.2%。其中矿用防爆实现营收2.58亿元，同比增长20%，毛利率为39.4%，与去年同期基本持平。此外，前三季度新能源相关业务主要为充电桩工程项目，实现营收300多万。</w:t>
            </w:r>
          </w:p>
          <w:p w14:paraId="7CF692F0" w14:textId="66FF0CB2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因新能源EPC业务未确认收入，</w:t>
            </w:r>
            <w:r w:rsidR="00580415" w:rsidRPr="00DD0217">
              <w:rPr>
                <w:rFonts w:ascii="宋体" w:hAnsi="宋体" w:hint="eastAsia"/>
                <w:bCs/>
                <w:iCs/>
                <w:sz w:val="24"/>
              </w:rPr>
              <w:t xml:space="preserve"> 2023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年第三季度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能源板块实现营收540万元，同比下降约1600万元。</w:t>
            </w:r>
          </w:p>
          <w:p w14:paraId="1E43D4B1" w14:textId="6E05F7CF" w:rsidR="001F0902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3）专业照明板块实现营收1.71亿元，同比增长12.4%，实现净利润600万，同比增超200%。毛利率为59.2%，同比增长0.4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个百分点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2B434DBD" w14:textId="110F7384" w:rsidR="001F0902" w:rsidRPr="001F0902" w:rsidRDefault="001F0902" w:rsidP="001F0902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1F0902">
              <w:rPr>
                <w:rFonts w:ascii="宋体" w:hAnsi="宋体" w:hint="eastAsia"/>
                <w:b/>
                <w:bCs/>
                <w:iCs/>
                <w:sz w:val="24"/>
              </w:rPr>
              <w:t>二、</w:t>
            </w:r>
            <w:r>
              <w:rPr>
                <w:rFonts w:ascii="宋体" w:hAnsi="宋体" w:hint="eastAsia"/>
                <w:b/>
                <w:bCs/>
                <w:iCs/>
                <w:sz w:val="24"/>
              </w:rPr>
              <w:t xml:space="preserve"> 问答</w:t>
            </w:r>
          </w:p>
          <w:p w14:paraId="0350DB97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1.公司四季度的业绩展望是怎么样的？</w:t>
            </w:r>
          </w:p>
          <w:p w14:paraId="5004E3DB" w14:textId="14965BA2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新能源EPC业务会在今年四季度集中交付和确认收入，因此预期四季度业绩相对乐观。</w:t>
            </w:r>
          </w:p>
          <w:p w14:paraId="66A624A5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2.为什么厂用防爆产品毛利率明显高于矿用防爆产品？</w:t>
            </w:r>
          </w:p>
          <w:p w14:paraId="0ED8C7DA" w14:textId="25CDA765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主要因为产品特性不同。矿用防爆电器标准化产品居多，厂用防爆产品偏定制化，因此毛利率更高。</w:t>
            </w:r>
          </w:p>
          <w:p w14:paraId="2D77BDFA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3.公司在厂用新兴领域的竞争对手是谁？</w:t>
            </w:r>
          </w:p>
          <w:p w14:paraId="65BFFA1B" w14:textId="5D9B9E76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除了核电领域使用的产品是核级照明外，其他新兴领域均使用防爆电器。国内防爆电器在2005年后基本没有外资品牌，因此竞争对手主要是内资的防爆电器企业。</w:t>
            </w:r>
          </w:p>
          <w:p w14:paraId="10EAD94B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4.除了石化领域需求下降以外，厂用板块其他领域需求展望是怎么样的？</w:t>
            </w:r>
          </w:p>
          <w:p w14:paraId="1C9ED2E9" w14:textId="789C62AF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公司在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传统油气化工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市场的营收中，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存量替换需求占比近70%，新建需求占比约30%多，因此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石油炼化领域资本开支下降对公司影响不大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。此外，公司在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安工智能产品、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核电、粮油医药、白酒、硅料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、机械配套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等下游领域通过设立专门的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、细化的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营销团队深挖需求，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使公司竞争力不断加强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140E051F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5.公开资料显示公司多次参与海外展会，能否对外贸业务进行介绍？</w:t>
            </w:r>
          </w:p>
          <w:p w14:paraId="78E72CE2" w14:textId="2B1FD8B9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预计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外贸部门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全年业绩与年初预测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基本一致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57B1C3E6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6.海外厂用防爆业务订单执行周期是怎么样的？今年海外防爆电器新增订单增长情况如何？</w:t>
            </w:r>
          </w:p>
          <w:p w14:paraId="59B53AAD" w14:textId="1B3325B1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通常情况下，执行周期在6-12个月，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有些大项目甚至更长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，曾经有项目执行了近三年，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具体需根据工程进度来确定。今年新增海外订单符合预期。</w:t>
            </w:r>
          </w:p>
          <w:p w14:paraId="1898DCCF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7.2024年内外贸收入的展望是什么样的？</w:t>
            </w:r>
          </w:p>
          <w:p w14:paraId="3B5BC27F" w14:textId="03984E3C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内贸业务方面，公司已将不同下游领域细分为七大营销板块，各板块营销团队分别细化、深挖各个领域的需求。</w:t>
            </w:r>
          </w:p>
          <w:p w14:paraId="4A415F0C" w14:textId="650B5EC8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外贸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部门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业务方面，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管控放开后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公司扩大拓展力度，包括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参加技术交流会、国际展会等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目前已见成效，预计2024年保持较好的增长。</w:t>
            </w:r>
          </w:p>
          <w:p w14:paraId="48E83231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8．目前安工智能产品情况大概是什么样的？</w:t>
            </w:r>
          </w:p>
          <w:p w14:paraId="0EDA4BAF" w14:textId="47245771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公司今年通过招募等方式，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加强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了安工智能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产品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研发、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交付团队。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除原有业务领域外，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预计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今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年内会落地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危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化园区的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样板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项目，待样板工程落成后会分析园区相关业务数据，包括可复制程度、交付周期等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预计2023年报会披露详细数据。</w:t>
            </w:r>
          </w:p>
          <w:p w14:paraId="67962FCB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9.公司后续将如何开展安工智能业务推广工作？</w:t>
            </w:r>
          </w:p>
          <w:p w14:paraId="07B479EF" w14:textId="04A502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部分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下游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领域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业务受整体经济环境影响，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安工智能业务有所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放缓。随着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经济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回暖，未来公司仍将继续重点推进该业务的发展。</w:t>
            </w:r>
          </w:p>
          <w:p w14:paraId="31B66A9D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10.安工智能有哪些下游行业在用？</w:t>
            </w:r>
          </w:p>
          <w:p w14:paraId="3E24E9FE" w14:textId="21B722BF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安工智能是软硬一体的平台系统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产品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公司现有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硬件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设备所能</w:t>
            </w:r>
            <w:bookmarkStart w:id="0" w:name="_GoBack"/>
            <w:bookmarkEnd w:id="0"/>
            <w:r w:rsidRPr="00DD0217">
              <w:rPr>
                <w:rFonts w:ascii="宋体" w:hAnsi="宋体" w:hint="eastAsia"/>
                <w:bCs/>
                <w:iCs/>
                <w:sz w:val="24"/>
              </w:rPr>
              <w:t>覆盖的下游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客户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都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对该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系统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有使用需求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目前公司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以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防爆和安全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为切入点</w:t>
            </w:r>
            <w:r w:rsidR="003126B5">
              <w:rPr>
                <w:rFonts w:ascii="宋体" w:hAnsi="宋体" w:hint="eastAsia"/>
                <w:bCs/>
                <w:iCs/>
                <w:sz w:val="24"/>
              </w:rPr>
              <w:t>推广该产品，当然，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在非防爆、非安全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的智能化需求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领域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仍然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可以使用。因此，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下游应用领域比较广泛。</w:t>
            </w:r>
          </w:p>
          <w:p w14:paraId="293190C3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11.能否提供2024年新能源EPC业务的指引？</w:t>
            </w:r>
          </w:p>
          <w:p w14:paraId="6D8B5A5C" w14:textId="4C2C71E6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公司会在一个会计年度结束后披露下阶段各板块业务的财务指引，届时请各位投资者关注信披情况。</w:t>
            </w:r>
          </w:p>
          <w:p w14:paraId="16166D3E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12.公司对专业照明业务及新能源EPC业务后续的资源投入计划是怎么样的？</w:t>
            </w:r>
          </w:p>
          <w:p w14:paraId="756993B3" w14:textId="6CFE946F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公司在浙江湖州南浔建设了第一期占地5</w:t>
            </w:r>
            <w:r w:rsidR="006342D8">
              <w:rPr>
                <w:rFonts w:ascii="宋体" w:hAnsi="宋体"/>
                <w:bCs/>
                <w:iCs/>
                <w:sz w:val="24"/>
              </w:rPr>
              <w:t>0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亩的厂房，专业照明产业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已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于2</w:t>
            </w:r>
            <w:r w:rsidR="006342D8">
              <w:rPr>
                <w:rFonts w:ascii="宋体" w:hAnsi="宋体"/>
                <w:bCs/>
                <w:iCs/>
                <w:sz w:val="24"/>
              </w:rPr>
              <w:t>021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年8月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全部迁入并投入运营，二期厂房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建设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lastRenderedPageBreak/>
              <w:t>预计今年年底完成验收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其他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不会增加更多投入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新能源EPC业务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作为项目总承包方，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遵循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项目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不垫资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有托底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的原则，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由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业主方或托底方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支付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预付款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、进度款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，公司开发建设电站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也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不会有太大的资金投入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6E54325C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13.公司业务在2024年上半年是否有望走出低迷？未来各业务预计的增长点分别是什么？</w:t>
            </w:r>
          </w:p>
          <w:p w14:paraId="2F1CE8D6" w14:textId="584AFDA8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2023年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整体经济环境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一般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，与制造业领域公司进行横向对比，华荣股份在前三季度没有新能源EPC业务收入的情况下，利润仍能实现正增长，表明公司仍具备较强竞争力。</w:t>
            </w:r>
          </w:p>
          <w:p w14:paraId="4933AEA1" w14:textId="14A541BA" w:rsidR="006342D8" w:rsidRDefault="006342D8" w:rsidP="00735480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在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未来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内贸</w:t>
            </w:r>
            <w:r>
              <w:rPr>
                <w:rFonts w:ascii="宋体" w:hAnsi="宋体" w:hint="eastAsia"/>
                <w:bCs/>
                <w:iCs/>
                <w:sz w:val="24"/>
              </w:rPr>
              <w:t>七大细分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板块销售团队将深挖需求，并持续扩张下游应用场景，</w:t>
            </w:r>
            <w:r>
              <w:rPr>
                <w:rFonts w:ascii="宋体" w:hAnsi="宋体" w:hint="eastAsia"/>
                <w:bCs/>
                <w:iCs/>
                <w:sz w:val="24"/>
              </w:rPr>
              <w:t>同时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通过打造成熟的安工智能</w:t>
            </w:r>
            <w:r>
              <w:rPr>
                <w:rFonts w:ascii="宋体" w:hAnsi="宋体" w:hint="eastAsia"/>
                <w:bCs/>
                <w:iCs/>
                <w:sz w:val="24"/>
              </w:rPr>
              <w:t>研发、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交付团队，为</w:t>
            </w:r>
            <w:r>
              <w:rPr>
                <w:rFonts w:ascii="宋体" w:hAnsi="宋体" w:hint="eastAsia"/>
                <w:bCs/>
                <w:iCs/>
                <w:sz w:val="24"/>
              </w:rPr>
              <w:t>企业端、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危化园区</w:t>
            </w:r>
            <w:r>
              <w:rPr>
                <w:rFonts w:ascii="宋体" w:hAnsi="宋体" w:hint="eastAsia"/>
                <w:bCs/>
                <w:iCs/>
                <w:sz w:val="24"/>
              </w:rPr>
              <w:t>端的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市场</w:t>
            </w:r>
            <w:r>
              <w:rPr>
                <w:rFonts w:ascii="宋体" w:hAnsi="宋体" w:hint="eastAsia"/>
                <w:bCs/>
                <w:iCs/>
                <w:sz w:val="24"/>
              </w:rPr>
              <w:t>需求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作充分的准备。外贸</w:t>
            </w:r>
            <w:r>
              <w:rPr>
                <w:rFonts w:ascii="宋体" w:hAnsi="宋体" w:hint="eastAsia"/>
                <w:bCs/>
                <w:iCs/>
                <w:sz w:val="24"/>
              </w:rPr>
              <w:t>部门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业务作为</w:t>
            </w:r>
            <w:r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重要战略方向，在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管控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结束后逐步恢复，大单</w:t>
            </w:r>
            <w:r>
              <w:rPr>
                <w:rFonts w:ascii="宋体" w:hAnsi="宋体" w:hint="eastAsia"/>
                <w:bCs/>
                <w:iCs/>
                <w:sz w:val="24"/>
              </w:rPr>
              <w:t>增</w:t>
            </w:r>
            <w:r w:rsidR="00DD0217" w:rsidRPr="00DD0217">
              <w:rPr>
                <w:rFonts w:ascii="宋体" w:hAnsi="宋体" w:hint="eastAsia"/>
                <w:bCs/>
                <w:iCs/>
                <w:sz w:val="24"/>
              </w:rPr>
              <w:t>多。</w:t>
            </w:r>
          </w:p>
          <w:p w14:paraId="031D2580" w14:textId="34948B72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Cs/>
                <w:iCs/>
                <w:sz w:val="24"/>
              </w:rPr>
              <w:t>专业照明业务因通用照明企业</w:t>
            </w:r>
            <w:r w:rsidR="006342D8">
              <w:rPr>
                <w:rFonts w:ascii="宋体" w:hAnsi="宋体" w:hint="eastAsia"/>
                <w:bCs/>
                <w:iCs/>
                <w:sz w:val="24"/>
              </w:rPr>
              <w:t>转入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专业照明领域</w:t>
            </w:r>
            <w:r w:rsidR="00122149">
              <w:rPr>
                <w:rFonts w:ascii="宋体" w:hAnsi="宋体" w:hint="eastAsia"/>
                <w:bCs/>
                <w:iCs/>
                <w:sz w:val="24"/>
              </w:rPr>
              <w:t>等因素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加剧行业竞争，公司将持续提升产品多样性和差异性，并培养新的业务发展商向更多的下游应用领域拓展。新能源EPC业务受手续办理及建设进度的影响，前三季度没有收入，但四季度</w:t>
            </w:r>
            <w:r w:rsidR="00580415">
              <w:rPr>
                <w:rFonts w:ascii="宋体" w:hAnsi="宋体" w:hint="eastAsia"/>
                <w:bCs/>
                <w:iCs/>
                <w:sz w:val="24"/>
              </w:rPr>
              <w:t>有望赶上建设进度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1034451E" w14:textId="77777777" w:rsidR="00DD0217" w:rsidRPr="00DD0217" w:rsidRDefault="00DD0217" w:rsidP="00DD0217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DD0217">
              <w:rPr>
                <w:rFonts w:ascii="宋体" w:hAnsi="宋体" w:hint="eastAsia"/>
                <w:b/>
                <w:bCs/>
                <w:iCs/>
                <w:sz w:val="24"/>
              </w:rPr>
              <w:t>14.公司未来的分红政策是否有变化？</w:t>
            </w:r>
          </w:p>
          <w:p w14:paraId="52AD9B2D" w14:textId="5975ECF8" w:rsidR="000D19A5" w:rsidRPr="001F0902" w:rsidRDefault="00DD0217" w:rsidP="00580415">
            <w:pPr>
              <w:pStyle w:val="New0"/>
              <w:adjustRightInd w:val="0"/>
              <w:snapToGrid w:val="0"/>
              <w:spacing w:beforeLines="50" w:before="156" w:afterLines="50" w:after="156" w:line="460" w:lineRule="exac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公司管理层会根据未来年度的现金使用情况、资本开支及可能发生的现金使用情况来调整分红比例，将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根据既定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现金分红政策</w:t>
            </w:r>
            <w:r w:rsidR="00735480">
              <w:rPr>
                <w:rFonts w:ascii="宋体" w:hAnsi="宋体" w:hint="eastAsia"/>
                <w:bCs/>
                <w:iCs/>
                <w:sz w:val="24"/>
              </w:rPr>
              <w:t>进行分红，不会有太大变化</w:t>
            </w:r>
            <w:r w:rsidRPr="00DD0217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</w:tc>
      </w:tr>
      <w:tr w:rsidR="00674193" w:rsidRPr="00B678C5" w14:paraId="4796CE49" w14:textId="77777777" w:rsidTr="00D53D08">
        <w:trPr>
          <w:trHeight w:val="90"/>
        </w:trPr>
        <w:tc>
          <w:tcPr>
            <w:tcW w:w="1526" w:type="dxa"/>
            <w:vAlign w:val="center"/>
          </w:tcPr>
          <w:p w14:paraId="040EF3C6" w14:textId="18253D9B" w:rsidR="00674193" w:rsidRPr="00B678C5" w:rsidRDefault="00674193" w:rsidP="00D53D08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96" w:type="dxa"/>
            <w:vAlign w:val="center"/>
          </w:tcPr>
          <w:p w14:paraId="4CAA9805" w14:textId="77777777" w:rsidR="00674193" w:rsidRPr="00BE6F10" w:rsidRDefault="00674193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E6F10">
              <w:rPr>
                <w:rFonts w:ascii="宋体" w:hAnsi="宋体"/>
                <w:bCs/>
                <w:iCs/>
                <w:sz w:val="24"/>
              </w:rPr>
              <w:t>无。</w:t>
            </w:r>
          </w:p>
        </w:tc>
      </w:tr>
      <w:tr w:rsidR="00674193" w14:paraId="28F87AC2" w14:textId="77777777" w:rsidTr="00D53D08">
        <w:tc>
          <w:tcPr>
            <w:tcW w:w="1526" w:type="dxa"/>
            <w:vAlign w:val="center"/>
          </w:tcPr>
          <w:p w14:paraId="7F749185" w14:textId="77777777" w:rsidR="00674193" w:rsidRPr="00B678C5" w:rsidRDefault="00674193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t>日期</w:t>
            </w:r>
          </w:p>
        </w:tc>
        <w:tc>
          <w:tcPr>
            <w:tcW w:w="6996" w:type="dxa"/>
            <w:vAlign w:val="center"/>
          </w:tcPr>
          <w:p w14:paraId="35FF94B4" w14:textId="6CFA4015" w:rsidR="00674193" w:rsidRPr="00BE6F10" w:rsidRDefault="00674193" w:rsidP="00DD0217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E6F10">
              <w:rPr>
                <w:rFonts w:ascii="宋体" w:hAnsi="宋体"/>
                <w:bCs/>
                <w:iCs/>
                <w:sz w:val="24"/>
              </w:rPr>
              <w:t>202</w:t>
            </w:r>
            <w:r w:rsidR="006F7D95">
              <w:rPr>
                <w:rFonts w:ascii="宋体" w:hAnsi="宋体" w:hint="eastAsia"/>
                <w:bCs/>
                <w:iCs/>
                <w:sz w:val="24"/>
              </w:rPr>
              <w:t>3</w:t>
            </w:r>
            <w:r w:rsidRPr="00BE6F10">
              <w:rPr>
                <w:rFonts w:ascii="宋体" w:hAnsi="宋体"/>
                <w:bCs/>
                <w:iCs/>
                <w:sz w:val="24"/>
              </w:rPr>
              <w:t>年</w:t>
            </w:r>
            <w:r w:rsidR="00DD0217">
              <w:rPr>
                <w:rFonts w:ascii="宋体" w:hAnsi="宋体"/>
                <w:bCs/>
                <w:iCs/>
                <w:sz w:val="24"/>
              </w:rPr>
              <w:t>10</w:t>
            </w:r>
            <w:r w:rsidRPr="009467CE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DD0217">
              <w:rPr>
                <w:rFonts w:ascii="宋体" w:hAnsi="宋体"/>
                <w:bCs/>
                <w:iCs/>
                <w:sz w:val="24"/>
              </w:rPr>
              <w:t>30</w:t>
            </w:r>
            <w:r w:rsidRPr="009467CE">
              <w:rPr>
                <w:rFonts w:ascii="宋体" w:hAnsi="宋体"/>
                <w:bCs/>
                <w:iCs/>
                <w:sz w:val="24"/>
              </w:rPr>
              <w:t>日</w:t>
            </w:r>
          </w:p>
        </w:tc>
      </w:tr>
    </w:tbl>
    <w:p w14:paraId="5429AABF" w14:textId="1E4AF4C3" w:rsidR="00777389" w:rsidRDefault="00777389" w:rsidP="009D44C0">
      <w:pPr>
        <w:rPr>
          <w:rFonts w:ascii="Times New Roman" w:hAnsi="Times New Roman"/>
          <w:sz w:val="28"/>
          <w:szCs w:val="28"/>
        </w:rPr>
      </w:pPr>
    </w:p>
    <w:sectPr w:rsidR="00777389" w:rsidSect="009D44C0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C164" w14:textId="77777777" w:rsidR="009D4D31" w:rsidRDefault="009D4D31" w:rsidP="00A8422C">
      <w:r>
        <w:separator/>
      </w:r>
    </w:p>
  </w:endnote>
  <w:endnote w:type="continuationSeparator" w:id="0">
    <w:p w14:paraId="5B236700" w14:textId="77777777" w:rsidR="009D4D31" w:rsidRDefault="009D4D31" w:rsidP="00A8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3783" w14:textId="77777777" w:rsidR="009D4D31" w:rsidRDefault="009D4D31" w:rsidP="00A8422C">
      <w:r>
        <w:separator/>
      </w:r>
    </w:p>
  </w:footnote>
  <w:footnote w:type="continuationSeparator" w:id="0">
    <w:p w14:paraId="2DF17C72" w14:textId="77777777" w:rsidR="009D4D31" w:rsidRDefault="009D4D31" w:rsidP="00A8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E52"/>
    <w:multiLevelType w:val="hybridMultilevel"/>
    <w:tmpl w:val="9A868F90"/>
    <w:lvl w:ilvl="0" w:tplc="61766F9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F43780"/>
    <w:multiLevelType w:val="hybridMultilevel"/>
    <w:tmpl w:val="328213FE"/>
    <w:lvl w:ilvl="0" w:tplc="FE7439C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62031"/>
    <w:multiLevelType w:val="hybridMultilevel"/>
    <w:tmpl w:val="3C4E096A"/>
    <w:lvl w:ilvl="0" w:tplc="A5E49D9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9EB3757"/>
    <w:multiLevelType w:val="hybridMultilevel"/>
    <w:tmpl w:val="49F8377E"/>
    <w:lvl w:ilvl="0" w:tplc="B82E51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705C1E"/>
    <w:multiLevelType w:val="hybridMultilevel"/>
    <w:tmpl w:val="79E4885E"/>
    <w:lvl w:ilvl="0" w:tplc="1DD4BD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662979"/>
    <w:multiLevelType w:val="hybridMultilevel"/>
    <w:tmpl w:val="3C388F6E"/>
    <w:lvl w:ilvl="0" w:tplc="2E2A4AD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EE1BB1"/>
    <w:multiLevelType w:val="hybridMultilevel"/>
    <w:tmpl w:val="BCC2CF82"/>
    <w:lvl w:ilvl="0" w:tplc="97F4F3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390E10"/>
    <w:multiLevelType w:val="hybridMultilevel"/>
    <w:tmpl w:val="89BA1524"/>
    <w:lvl w:ilvl="0" w:tplc="A05C8B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9F1550"/>
    <w:multiLevelType w:val="hybridMultilevel"/>
    <w:tmpl w:val="FC4697F4"/>
    <w:lvl w:ilvl="0" w:tplc="3416B3A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972996"/>
    <w:multiLevelType w:val="hybridMultilevel"/>
    <w:tmpl w:val="37ECCE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912B81"/>
    <w:multiLevelType w:val="hybridMultilevel"/>
    <w:tmpl w:val="0DB08F2C"/>
    <w:lvl w:ilvl="0" w:tplc="566CC7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56F0374"/>
    <w:multiLevelType w:val="hybridMultilevel"/>
    <w:tmpl w:val="93EA02DC"/>
    <w:lvl w:ilvl="0" w:tplc="521671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EE2255"/>
    <w:multiLevelType w:val="hybridMultilevel"/>
    <w:tmpl w:val="F28EB74C"/>
    <w:lvl w:ilvl="0" w:tplc="55B6AE0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12"/>
    <w:rsid w:val="00004648"/>
    <w:rsid w:val="0000545F"/>
    <w:rsid w:val="00005F34"/>
    <w:rsid w:val="00011B56"/>
    <w:rsid w:val="00015A23"/>
    <w:rsid w:val="00020D61"/>
    <w:rsid w:val="000219D8"/>
    <w:rsid w:val="00023BE6"/>
    <w:rsid w:val="00024DA7"/>
    <w:rsid w:val="00025EA5"/>
    <w:rsid w:val="00027CFB"/>
    <w:rsid w:val="00035858"/>
    <w:rsid w:val="00040602"/>
    <w:rsid w:val="00041307"/>
    <w:rsid w:val="00041CD1"/>
    <w:rsid w:val="00042172"/>
    <w:rsid w:val="00042352"/>
    <w:rsid w:val="000435DF"/>
    <w:rsid w:val="000444DB"/>
    <w:rsid w:val="00044C8F"/>
    <w:rsid w:val="00045692"/>
    <w:rsid w:val="0004575B"/>
    <w:rsid w:val="00046BEC"/>
    <w:rsid w:val="00046F82"/>
    <w:rsid w:val="000471F3"/>
    <w:rsid w:val="00050FD4"/>
    <w:rsid w:val="000524D9"/>
    <w:rsid w:val="000544A4"/>
    <w:rsid w:val="000562D3"/>
    <w:rsid w:val="00056EE7"/>
    <w:rsid w:val="00064578"/>
    <w:rsid w:val="00064C35"/>
    <w:rsid w:val="000655F7"/>
    <w:rsid w:val="00065610"/>
    <w:rsid w:val="000665E5"/>
    <w:rsid w:val="00066D61"/>
    <w:rsid w:val="000671EE"/>
    <w:rsid w:val="00067F72"/>
    <w:rsid w:val="00070309"/>
    <w:rsid w:val="0007375B"/>
    <w:rsid w:val="00073DE1"/>
    <w:rsid w:val="00075F96"/>
    <w:rsid w:val="00077664"/>
    <w:rsid w:val="00081199"/>
    <w:rsid w:val="00081E5A"/>
    <w:rsid w:val="00082FD5"/>
    <w:rsid w:val="0008335B"/>
    <w:rsid w:val="00083362"/>
    <w:rsid w:val="000847E9"/>
    <w:rsid w:val="00084BBF"/>
    <w:rsid w:val="0009015C"/>
    <w:rsid w:val="00091315"/>
    <w:rsid w:val="0009172F"/>
    <w:rsid w:val="000929CE"/>
    <w:rsid w:val="000932F4"/>
    <w:rsid w:val="00095B9F"/>
    <w:rsid w:val="000A196B"/>
    <w:rsid w:val="000A2090"/>
    <w:rsid w:val="000A2462"/>
    <w:rsid w:val="000A35C9"/>
    <w:rsid w:val="000A3DE4"/>
    <w:rsid w:val="000A3EB6"/>
    <w:rsid w:val="000A3F63"/>
    <w:rsid w:val="000A49C6"/>
    <w:rsid w:val="000A4F7B"/>
    <w:rsid w:val="000A67CA"/>
    <w:rsid w:val="000A7559"/>
    <w:rsid w:val="000A7B7C"/>
    <w:rsid w:val="000B03B7"/>
    <w:rsid w:val="000B1B58"/>
    <w:rsid w:val="000B283F"/>
    <w:rsid w:val="000B3336"/>
    <w:rsid w:val="000B49A2"/>
    <w:rsid w:val="000B5186"/>
    <w:rsid w:val="000B6572"/>
    <w:rsid w:val="000C35E8"/>
    <w:rsid w:val="000C3C31"/>
    <w:rsid w:val="000C5960"/>
    <w:rsid w:val="000C5F86"/>
    <w:rsid w:val="000D19A5"/>
    <w:rsid w:val="000D6C6F"/>
    <w:rsid w:val="000E0B57"/>
    <w:rsid w:val="000E1382"/>
    <w:rsid w:val="000E36B8"/>
    <w:rsid w:val="000E4568"/>
    <w:rsid w:val="000E4AB0"/>
    <w:rsid w:val="000E4B52"/>
    <w:rsid w:val="000E5D9F"/>
    <w:rsid w:val="000E748D"/>
    <w:rsid w:val="000F0CEE"/>
    <w:rsid w:val="000F39AA"/>
    <w:rsid w:val="000F5833"/>
    <w:rsid w:val="000F5898"/>
    <w:rsid w:val="000F58B1"/>
    <w:rsid w:val="000F630E"/>
    <w:rsid w:val="001007DE"/>
    <w:rsid w:val="00101F77"/>
    <w:rsid w:val="00104AFE"/>
    <w:rsid w:val="00107080"/>
    <w:rsid w:val="001078CF"/>
    <w:rsid w:val="00113A93"/>
    <w:rsid w:val="0011513A"/>
    <w:rsid w:val="00117038"/>
    <w:rsid w:val="001208CD"/>
    <w:rsid w:val="00120A49"/>
    <w:rsid w:val="00120C90"/>
    <w:rsid w:val="00122149"/>
    <w:rsid w:val="00125671"/>
    <w:rsid w:val="00125999"/>
    <w:rsid w:val="001301BE"/>
    <w:rsid w:val="001308BF"/>
    <w:rsid w:val="00134DD2"/>
    <w:rsid w:val="00140F5B"/>
    <w:rsid w:val="00142BBA"/>
    <w:rsid w:val="001447BD"/>
    <w:rsid w:val="00144F2F"/>
    <w:rsid w:val="00145E35"/>
    <w:rsid w:val="00146144"/>
    <w:rsid w:val="00146BB3"/>
    <w:rsid w:val="00152230"/>
    <w:rsid w:val="00153016"/>
    <w:rsid w:val="00157D5F"/>
    <w:rsid w:val="00157FF0"/>
    <w:rsid w:val="00160376"/>
    <w:rsid w:val="00162D41"/>
    <w:rsid w:val="00163358"/>
    <w:rsid w:val="001701D4"/>
    <w:rsid w:val="001704FA"/>
    <w:rsid w:val="00172754"/>
    <w:rsid w:val="00172A27"/>
    <w:rsid w:val="00173967"/>
    <w:rsid w:val="00174B45"/>
    <w:rsid w:val="001754AA"/>
    <w:rsid w:val="00175856"/>
    <w:rsid w:val="00175964"/>
    <w:rsid w:val="00175A06"/>
    <w:rsid w:val="00175C78"/>
    <w:rsid w:val="001837BB"/>
    <w:rsid w:val="001856DF"/>
    <w:rsid w:val="00186E63"/>
    <w:rsid w:val="0018777D"/>
    <w:rsid w:val="00187F6D"/>
    <w:rsid w:val="00187FD9"/>
    <w:rsid w:val="001930F7"/>
    <w:rsid w:val="00194DD0"/>
    <w:rsid w:val="00195157"/>
    <w:rsid w:val="00195EF5"/>
    <w:rsid w:val="0019655E"/>
    <w:rsid w:val="001A0B32"/>
    <w:rsid w:val="001A0EB7"/>
    <w:rsid w:val="001A5BA9"/>
    <w:rsid w:val="001A71CA"/>
    <w:rsid w:val="001A73B3"/>
    <w:rsid w:val="001B0407"/>
    <w:rsid w:val="001B3AA3"/>
    <w:rsid w:val="001B43A7"/>
    <w:rsid w:val="001B58BC"/>
    <w:rsid w:val="001B648D"/>
    <w:rsid w:val="001B78C1"/>
    <w:rsid w:val="001C1361"/>
    <w:rsid w:val="001C15A0"/>
    <w:rsid w:val="001C1C9B"/>
    <w:rsid w:val="001C391D"/>
    <w:rsid w:val="001C6196"/>
    <w:rsid w:val="001D12B3"/>
    <w:rsid w:val="001D2228"/>
    <w:rsid w:val="001D24D1"/>
    <w:rsid w:val="001D3A1F"/>
    <w:rsid w:val="001D6CEC"/>
    <w:rsid w:val="001E2027"/>
    <w:rsid w:val="001E221A"/>
    <w:rsid w:val="001E2958"/>
    <w:rsid w:val="001E339C"/>
    <w:rsid w:val="001E7A4B"/>
    <w:rsid w:val="001E7E1E"/>
    <w:rsid w:val="001F0902"/>
    <w:rsid w:val="001F0B1C"/>
    <w:rsid w:val="001F0F72"/>
    <w:rsid w:val="001F7BAB"/>
    <w:rsid w:val="002000B8"/>
    <w:rsid w:val="00200440"/>
    <w:rsid w:val="00201A09"/>
    <w:rsid w:val="00202A0A"/>
    <w:rsid w:val="00203B18"/>
    <w:rsid w:val="002114B9"/>
    <w:rsid w:val="00211BC1"/>
    <w:rsid w:val="00211F8D"/>
    <w:rsid w:val="00216826"/>
    <w:rsid w:val="00217DEE"/>
    <w:rsid w:val="00221855"/>
    <w:rsid w:val="00222620"/>
    <w:rsid w:val="00227F31"/>
    <w:rsid w:val="00230685"/>
    <w:rsid w:val="002352B7"/>
    <w:rsid w:val="0024780A"/>
    <w:rsid w:val="002516AB"/>
    <w:rsid w:val="00252AD2"/>
    <w:rsid w:val="00253F1E"/>
    <w:rsid w:val="00255343"/>
    <w:rsid w:val="0025535C"/>
    <w:rsid w:val="00255A23"/>
    <w:rsid w:val="00256011"/>
    <w:rsid w:val="00256AFC"/>
    <w:rsid w:val="00257B87"/>
    <w:rsid w:val="0026070C"/>
    <w:rsid w:val="00261293"/>
    <w:rsid w:val="00262981"/>
    <w:rsid w:val="00264863"/>
    <w:rsid w:val="0026491A"/>
    <w:rsid w:val="002708BA"/>
    <w:rsid w:val="0027179B"/>
    <w:rsid w:val="00271EC0"/>
    <w:rsid w:val="002741F9"/>
    <w:rsid w:val="0027653A"/>
    <w:rsid w:val="00281F96"/>
    <w:rsid w:val="002839DB"/>
    <w:rsid w:val="00283DF9"/>
    <w:rsid w:val="00284D48"/>
    <w:rsid w:val="00285D10"/>
    <w:rsid w:val="00287F17"/>
    <w:rsid w:val="00290E8A"/>
    <w:rsid w:val="0029120A"/>
    <w:rsid w:val="00292558"/>
    <w:rsid w:val="00293853"/>
    <w:rsid w:val="0029444C"/>
    <w:rsid w:val="0029563C"/>
    <w:rsid w:val="002960B5"/>
    <w:rsid w:val="002A11B3"/>
    <w:rsid w:val="002A3CFD"/>
    <w:rsid w:val="002A6858"/>
    <w:rsid w:val="002B1B58"/>
    <w:rsid w:val="002B1C71"/>
    <w:rsid w:val="002B5050"/>
    <w:rsid w:val="002C06DE"/>
    <w:rsid w:val="002C52C4"/>
    <w:rsid w:val="002C6D8E"/>
    <w:rsid w:val="002D17A3"/>
    <w:rsid w:val="002D21A5"/>
    <w:rsid w:val="002D3A14"/>
    <w:rsid w:val="002D6A9E"/>
    <w:rsid w:val="002D6F94"/>
    <w:rsid w:val="002E1931"/>
    <w:rsid w:val="002E5083"/>
    <w:rsid w:val="002E5695"/>
    <w:rsid w:val="002E5EEA"/>
    <w:rsid w:val="002E776F"/>
    <w:rsid w:val="002E7F64"/>
    <w:rsid w:val="002F1967"/>
    <w:rsid w:val="002F1EB2"/>
    <w:rsid w:val="002F2CA2"/>
    <w:rsid w:val="002F2FEB"/>
    <w:rsid w:val="002F4253"/>
    <w:rsid w:val="002F6A57"/>
    <w:rsid w:val="002F6E08"/>
    <w:rsid w:val="002F6E94"/>
    <w:rsid w:val="002F7945"/>
    <w:rsid w:val="00301F9D"/>
    <w:rsid w:val="00302F14"/>
    <w:rsid w:val="00310FCE"/>
    <w:rsid w:val="00311254"/>
    <w:rsid w:val="003126B5"/>
    <w:rsid w:val="00315251"/>
    <w:rsid w:val="00317C9D"/>
    <w:rsid w:val="00321961"/>
    <w:rsid w:val="00324755"/>
    <w:rsid w:val="00325404"/>
    <w:rsid w:val="00330563"/>
    <w:rsid w:val="003327BC"/>
    <w:rsid w:val="00332DA9"/>
    <w:rsid w:val="00335D61"/>
    <w:rsid w:val="00336978"/>
    <w:rsid w:val="0034056B"/>
    <w:rsid w:val="0034084A"/>
    <w:rsid w:val="003460FD"/>
    <w:rsid w:val="00346BBA"/>
    <w:rsid w:val="0035146B"/>
    <w:rsid w:val="00352492"/>
    <w:rsid w:val="00352FF2"/>
    <w:rsid w:val="00354477"/>
    <w:rsid w:val="003605C0"/>
    <w:rsid w:val="0036363C"/>
    <w:rsid w:val="00363B36"/>
    <w:rsid w:val="00364277"/>
    <w:rsid w:val="00364D56"/>
    <w:rsid w:val="00365F25"/>
    <w:rsid w:val="003663EA"/>
    <w:rsid w:val="00370794"/>
    <w:rsid w:val="00370EE8"/>
    <w:rsid w:val="0037189A"/>
    <w:rsid w:val="003763A6"/>
    <w:rsid w:val="00377D66"/>
    <w:rsid w:val="0038036F"/>
    <w:rsid w:val="0038101D"/>
    <w:rsid w:val="00382639"/>
    <w:rsid w:val="003856B5"/>
    <w:rsid w:val="00393B5C"/>
    <w:rsid w:val="00395CD8"/>
    <w:rsid w:val="003A0B72"/>
    <w:rsid w:val="003A1123"/>
    <w:rsid w:val="003A2692"/>
    <w:rsid w:val="003B0940"/>
    <w:rsid w:val="003B1C70"/>
    <w:rsid w:val="003B1E88"/>
    <w:rsid w:val="003B2DE3"/>
    <w:rsid w:val="003B3889"/>
    <w:rsid w:val="003B461E"/>
    <w:rsid w:val="003B6C95"/>
    <w:rsid w:val="003C2B04"/>
    <w:rsid w:val="003D395C"/>
    <w:rsid w:val="003D7E96"/>
    <w:rsid w:val="003E11A9"/>
    <w:rsid w:val="003E65E9"/>
    <w:rsid w:val="003F1F28"/>
    <w:rsid w:val="003F2C1F"/>
    <w:rsid w:val="003F33EA"/>
    <w:rsid w:val="003F44D1"/>
    <w:rsid w:val="003F5955"/>
    <w:rsid w:val="00401C1A"/>
    <w:rsid w:val="00401F06"/>
    <w:rsid w:val="004037CF"/>
    <w:rsid w:val="004063B5"/>
    <w:rsid w:val="004151D8"/>
    <w:rsid w:val="0041666B"/>
    <w:rsid w:val="00422B2B"/>
    <w:rsid w:val="00425CFF"/>
    <w:rsid w:val="00426D04"/>
    <w:rsid w:val="00433EBE"/>
    <w:rsid w:val="00434764"/>
    <w:rsid w:val="00434A19"/>
    <w:rsid w:val="004351C7"/>
    <w:rsid w:val="00437C45"/>
    <w:rsid w:val="004401FC"/>
    <w:rsid w:val="00440A8D"/>
    <w:rsid w:val="00440F52"/>
    <w:rsid w:val="00442BE2"/>
    <w:rsid w:val="00442C20"/>
    <w:rsid w:val="004449C1"/>
    <w:rsid w:val="004455B9"/>
    <w:rsid w:val="004526E5"/>
    <w:rsid w:val="00462093"/>
    <w:rsid w:val="004650B8"/>
    <w:rsid w:val="00467167"/>
    <w:rsid w:val="00470B4C"/>
    <w:rsid w:val="004713AF"/>
    <w:rsid w:val="00473868"/>
    <w:rsid w:val="0047399C"/>
    <w:rsid w:val="00473E5B"/>
    <w:rsid w:val="0047670A"/>
    <w:rsid w:val="0047756C"/>
    <w:rsid w:val="00481BE7"/>
    <w:rsid w:val="004851CE"/>
    <w:rsid w:val="00485B80"/>
    <w:rsid w:val="00486DE8"/>
    <w:rsid w:val="00487DA9"/>
    <w:rsid w:val="00491D7D"/>
    <w:rsid w:val="004A0F25"/>
    <w:rsid w:val="004A0F89"/>
    <w:rsid w:val="004A16CF"/>
    <w:rsid w:val="004A28B5"/>
    <w:rsid w:val="004A3515"/>
    <w:rsid w:val="004A4585"/>
    <w:rsid w:val="004A5020"/>
    <w:rsid w:val="004A69C2"/>
    <w:rsid w:val="004B18ED"/>
    <w:rsid w:val="004B24AB"/>
    <w:rsid w:val="004B52D6"/>
    <w:rsid w:val="004B59F2"/>
    <w:rsid w:val="004B670E"/>
    <w:rsid w:val="004B7F05"/>
    <w:rsid w:val="004C5D1C"/>
    <w:rsid w:val="004C5EAF"/>
    <w:rsid w:val="004D060B"/>
    <w:rsid w:val="004D4079"/>
    <w:rsid w:val="004D505B"/>
    <w:rsid w:val="004D7228"/>
    <w:rsid w:val="004D7403"/>
    <w:rsid w:val="004E1072"/>
    <w:rsid w:val="004E42E8"/>
    <w:rsid w:val="004E45E0"/>
    <w:rsid w:val="004E4C75"/>
    <w:rsid w:val="004E6435"/>
    <w:rsid w:val="004F3C47"/>
    <w:rsid w:val="004F7A76"/>
    <w:rsid w:val="005006A9"/>
    <w:rsid w:val="00500EDF"/>
    <w:rsid w:val="00501539"/>
    <w:rsid w:val="00502FD0"/>
    <w:rsid w:val="0050396F"/>
    <w:rsid w:val="00503F7C"/>
    <w:rsid w:val="005041FA"/>
    <w:rsid w:val="0050510A"/>
    <w:rsid w:val="00506993"/>
    <w:rsid w:val="00510E71"/>
    <w:rsid w:val="0051221B"/>
    <w:rsid w:val="00513958"/>
    <w:rsid w:val="005139E3"/>
    <w:rsid w:val="00515E53"/>
    <w:rsid w:val="00516D7C"/>
    <w:rsid w:val="00517AB6"/>
    <w:rsid w:val="00520AB6"/>
    <w:rsid w:val="00520E3C"/>
    <w:rsid w:val="00521684"/>
    <w:rsid w:val="005218D4"/>
    <w:rsid w:val="00522240"/>
    <w:rsid w:val="00523408"/>
    <w:rsid w:val="00523E9A"/>
    <w:rsid w:val="005245C9"/>
    <w:rsid w:val="005253FE"/>
    <w:rsid w:val="0052614F"/>
    <w:rsid w:val="005306FC"/>
    <w:rsid w:val="00532A07"/>
    <w:rsid w:val="005339C5"/>
    <w:rsid w:val="005352E2"/>
    <w:rsid w:val="005406BB"/>
    <w:rsid w:val="00543E6F"/>
    <w:rsid w:val="0054501F"/>
    <w:rsid w:val="00545AE6"/>
    <w:rsid w:val="00545E53"/>
    <w:rsid w:val="00546DF6"/>
    <w:rsid w:val="0054749E"/>
    <w:rsid w:val="005479B0"/>
    <w:rsid w:val="00547E98"/>
    <w:rsid w:val="00550187"/>
    <w:rsid w:val="005515F1"/>
    <w:rsid w:val="00560DB3"/>
    <w:rsid w:val="005628BB"/>
    <w:rsid w:val="0056431A"/>
    <w:rsid w:val="00566BE9"/>
    <w:rsid w:val="00571998"/>
    <w:rsid w:val="00572158"/>
    <w:rsid w:val="00573D63"/>
    <w:rsid w:val="00580415"/>
    <w:rsid w:val="005806A2"/>
    <w:rsid w:val="00581340"/>
    <w:rsid w:val="00581E0F"/>
    <w:rsid w:val="00583C9D"/>
    <w:rsid w:val="00587E46"/>
    <w:rsid w:val="0059625F"/>
    <w:rsid w:val="0059693A"/>
    <w:rsid w:val="005A32CF"/>
    <w:rsid w:val="005A41FD"/>
    <w:rsid w:val="005B0BD4"/>
    <w:rsid w:val="005B4A0E"/>
    <w:rsid w:val="005B561E"/>
    <w:rsid w:val="005B6ED2"/>
    <w:rsid w:val="005C2ADB"/>
    <w:rsid w:val="005D27B1"/>
    <w:rsid w:val="005D27F7"/>
    <w:rsid w:val="005D6441"/>
    <w:rsid w:val="005D6720"/>
    <w:rsid w:val="005E0283"/>
    <w:rsid w:val="005E0DEA"/>
    <w:rsid w:val="005E1B72"/>
    <w:rsid w:val="005E3677"/>
    <w:rsid w:val="005F1EEC"/>
    <w:rsid w:val="005F386B"/>
    <w:rsid w:val="005F478A"/>
    <w:rsid w:val="005F5E13"/>
    <w:rsid w:val="00601913"/>
    <w:rsid w:val="006022CF"/>
    <w:rsid w:val="006033B3"/>
    <w:rsid w:val="00604CF4"/>
    <w:rsid w:val="006079D1"/>
    <w:rsid w:val="00611E05"/>
    <w:rsid w:val="00612A62"/>
    <w:rsid w:val="00613A92"/>
    <w:rsid w:val="00613D0B"/>
    <w:rsid w:val="0061773E"/>
    <w:rsid w:val="006204F0"/>
    <w:rsid w:val="00621D1A"/>
    <w:rsid w:val="00623378"/>
    <w:rsid w:val="00626A02"/>
    <w:rsid w:val="00627F2A"/>
    <w:rsid w:val="00631A72"/>
    <w:rsid w:val="00631B53"/>
    <w:rsid w:val="006328E3"/>
    <w:rsid w:val="006342D8"/>
    <w:rsid w:val="00636DA5"/>
    <w:rsid w:val="0064691E"/>
    <w:rsid w:val="00650152"/>
    <w:rsid w:val="006507F5"/>
    <w:rsid w:val="006517F7"/>
    <w:rsid w:val="006518CC"/>
    <w:rsid w:val="00655E40"/>
    <w:rsid w:val="0066034A"/>
    <w:rsid w:val="00664A34"/>
    <w:rsid w:val="00665F0D"/>
    <w:rsid w:val="006676CF"/>
    <w:rsid w:val="006678A2"/>
    <w:rsid w:val="00671B1B"/>
    <w:rsid w:val="00674193"/>
    <w:rsid w:val="00677BFE"/>
    <w:rsid w:val="0068041C"/>
    <w:rsid w:val="006804CA"/>
    <w:rsid w:val="00680CE1"/>
    <w:rsid w:val="006816AE"/>
    <w:rsid w:val="00685887"/>
    <w:rsid w:val="006860FE"/>
    <w:rsid w:val="00692B6C"/>
    <w:rsid w:val="006932EC"/>
    <w:rsid w:val="00693632"/>
    <w:rsid w:val="00694563"/>
    <w:rsid w:val="00694691"/>
    <w:rsid w:val="006A058D"/>
    <w:rsid w:val="006A101F"/>
    <w:rsid w:val="006A387A"/>
    <w:rsid w:val="006A6794"/>
    <w:rsid w:val="006A742C"/>
    <w:rsid w:val="006B0D04"/>
    <w:rsid w:val="006B18FF"/>
    <w:rsid w:val="006B442D"/>
    <w:rsid w:val="006B6E82"/>
    <w:rsid w:val="006B7444"/>
    <w:rsid w:val="006C2801"/>
    <w:rsid w:val="006D297A"/>
    <w:rsid w:val="006D2A6F"/>
    <w:rsid w:val="006D4DDD"/>
    <w:rsid w:val="006D5B33"/>
    <w:rsid w:val="006E1AF5"/>
    <w:rsid w:val="006E2445"/>
    <w:rsid w:val="006E79CB"/>
    <w:rsid w:val="006E7ED0"/>
    <w:rsid w:val="006F1B07"/>
    <w:rsid w:val="006F3278"/>
    <w:rsid w:val="006F39F3"/>
    <w:rsid w:val="006F6893"/>
    <w:rsid w:val="006F6F48"/>
    <w:rsid w:val="006F7D95"/>
    <w:rsid w:val="0070213B"/>
    <w:rsid w:val="007051E9"/>
    <w:rsid w:val="007077A0"/>
    <w:rsid w:val="0071354C"/>
    <w:rsid w:val="00716360"/>
    <w:rsid w:val="0071651F"/>
    <w:rsid w:val="00716A4D"/>
    <w:rsid w:val="00716D41"/>
    <w:rsid w:val="00720BB3"/>
    <w:rsid w:val="0072233A"/>
    <w:rsid w:val="00722453"/>
    <w:rsid w:val="00724EF3"/>
    <w:rsid w:val="00725360"/>
    <w:rsid w:val="00735480"/>
    <w:rsid w:val="00736364"/>
    <w:rsid w:val="007401B5"/>
    <w:rsid w:val="0074076E"/>
    <w:rsid w:val="007422D0"/>
    <w:rsid w:val="007425A1"/>
    <w:rsid w:val="00742EB0"/>
    <w:rsid w:val="007440DA"/>
    <w:rsid w:val="0075103C"/>
    <w:rsid w:val="0075112A"/>
    <w:rsid w:val="00751877"/>
    <w:rsid w:val="00751D95"/>
    <w:rsid w:val="007528C6"/>
    <w:rsid w:val="0075373F"/>
    <w:rsid w:val="00756182"/>
    <w:rsid w:val="00757B8E"/>
    <w:rsid w:val="007617B1"/>
    <w:rsid w:val="007666BF"/>
    <w:rsid w:val="007676BD"/>
    <w:rsid w:val="00770A79"/>
    <w:rsid w:val="00777389"/>
    <w:rsid w:val="00777CB4"/>
    <w:rsid w:val="00787994"/>
    <w:rsid w:val="00790765"/>
    <w:rsid w:val="00790B10"/>
    <w:rsid w:val="00791597"/>
    <w:rsid w:val="0079731C"/>
    <w:rsid w:val="00797359"/>
    <w:rsid w:val="00797E7A"/>
    <w:rsid w:val="007A5054"/>
    <w:rsid w:val="007A6553"/>
    <w:rsid w:val="007A7B51"/>
    <w:rsid w:val="007B0DE9"/>
    <w:rsid w:val="007B1B5B"/>
    <w:rsid w:val="007B1E30"/>
    <w:rsid w:val="007B26D6"/>
    <w:rsid w:val="007B395B"/>
    <w:rsid w:val="007B6D06"/>
    <w:rsid w:val="007C6F63"/>
    <w:rsid w:val="007C706E"/>
    <w:rsid w:val="007C744F"/>
    <w:rsid w:val="007D0021"/>
    <w:rsid w:val="007D134F"/>
    <w:rsid w:val="007D32FF"/>
    <w:rsid w:val="007D34CF"/>
    <w:rsid w:val="007D4582"/>
    <w:rsid w:val="007E027E"/>
    <w:rsid w:val="007E1E61"/>
    <w:rsid w:val="007E458B"/>
    <w:rsid w:val="007E460F"/>
    <w:rsid w:val="007E4925"/>
    <w:rsid w:val="007E5F2B"/>
    <w:rsid w:val="007E66C2"/>
    <w:rsid w:val="007F303C"/>
    <w:rsid w:val="007F40D3"/>
    <w:rsid w:val="007F45AB"/>
    <w:rsid w:val="007F69AF"/>
    <w:rsid w:val="007F77BC"/>
    <w:rsid w:val="00800C15"/>
    <w:rsid w:val="00802F7B"/>
    <w:rsid w:val="00811A02"/>
    <w:rsid w:val="0081515F"/>
    <w:rsid w:val="00817C2F"/>
    <w:rsid w:val="00817FC4"/>
    <w:rsid w:val="00820EEF"/>
    <w:rsid w:val="008253B6"/>
    <w:rsid w:val="0082746A"/>
    <w:rsid w:val="00827E2F"/>
    <w:rsid w:val="0083071E"/>
    <w:rsid w:val="00830EAB"/>
    <w:rsid w:val="00831B4D"/>
    <w:rsid w:val="00832A98"/>
    <w:rsid w:val="00833A48"/>
    <w:rsid w:val="00841323"/>
    <w:rsid w:val="00842D2B"/>
    <w:rsid w:val="00842E7C"/>
    <w:rsid w:val="00851F7D"/>
    <w:rsid w:val="00855811"/>
    <w:rsid w:val="00856B6A"/>
    <w:rsid w:val="008571F2"/>
    <w:rsid w:val="008572A8"/>
    <w:rsid w:val="00857447"/>
    <w:rsid w:val="00860592"/>
    <w:rsid w:val="00862E72"/>
    <w:rsid w:val="00863024"/>
    <w:rsid w:val="00863976"/>
    <w:rsid w:val="008647C8"/>
    <w:rsid w:val="0086517C"/>
    <w:rsid w:val="008664D6"/>
    <w:rsid w:val="00870C56"/>
    <w:rsid w:val="00873A53"/>
    <w:rsid w:val="00873C56"/>
    <w:rsid w:val="008747C7"/>
    <w:rsid w:val="00877C21"/>
    <w:rsid w:val="008821E3"/>
    <w:rsid w:val="00885481"/>
    <w:rsid w:val="008865B0"/>
    <w:rsid w:val="00891686"/>
    <w:rsid w:val="008943CC"/>
    <w:rsid w:val="008A22C3"/>
    <w:rsid w:val="008B0CD1"/>
    <w:rsid w:val="008B1427"/>
    <w:rsid w:val="008B3707"/>
    <w:rsid w:val="008B7892"/>
    <w:rsid w:val="008C3247"/>
    <w:rsid w:val="008C71D8"/>
    <w:rsid w:val="008D120C"/>
    <w:rsid w:val="008D3EB3"/>
    <w:rsid w:val="008D5170"/>
    <w:rsid w:val="008D523C"/>
    <w:rsid w:val="008D5EA6"/>
    <w:rsid w:val="008D6DA4"/>
    <w:rsid w:val="008D7DC5"/>
    <w:rsid w:val="008E3E9A"/>
    <w:rsid w:val="008E6A0C"/>
    <w:rsid w:val="008E7207"/>
    <w:rsid w:val="008E7343"/>
    <w:rsid w:val="008F5580"/>
    <w:rsid w:val="008F5D94"/>
    <w:rsid w:val="008F658F"/>
    <w:rsid w:val="0090010C"/>
    <w:rsid w:val="00900507"/>
    <w:rsid w:val="00904907"/>
    <w:rsid w:val="00907D9D"/>
    <w:rsid w:val="009106B7"/>
    <w:rsid w:val="00921A47"/>
    <w:rsid w:val="009245A1"/>
    <w:rsid w:val="00924F44"/>
    <w:rsid w:val="00926FBB"/>
    <w:rsid w:val="00927874"/>
    <w:rsid w:val="00930C74"/>
    <w:rsid w:val="00932F1B"/>
    <w:rsid w:val="00935E3B"/>
    <w:rsid w:val="009379B1"/>
    <w:rsid w:val="00945686"/>
    <w:rsid w:val="0094630A"/>
    <w:rsid w:val="009467CE"/>
    <w:rsid w:val="00951E6B"/>
    <w:rsid w:val="00954CF3"/>
    <w:rsid w:val="009561D9"/>
    <w:rsid w:val="00962AEE"/>
    <w:rsid w:val="0096770E"/>
    <w:rsid w:val="00981555"/>
    <w:rsid w:val="009832E1"/>
    <w:rsid w:val="0098341A"/>
    <w:rsid w:val="00985FEE"/>
    <w:rsid w:val="00993DFE"/>
    <w:rsid w:val="00995929"/>
    <w:rsid w:val="009A2DCB"/>
    <w:rsid w:val="009A3003"/>
    <w:rsid w:val="009B07EF"/>
    <w:rsid w:val="009B16AF"/>
    <w:rsid w:val="009B2F0F"/>
    <w:rsid w:val="009C03D2"/>
    <w:rsid w:val="009C20B8"/>
    <w:rsid w:val="009C2B34"/>
    <w:rsid w:val="009D0955"/>
    <w:rsid w:val="009D0AF6"/>
    <w:rsid w:val="009D18C1"/>
    <w:rsid w:val="009D35BB"/>
    <w:rsid w:val="009D44C0"/>
    <w:rsid w:val="009D4D31"/>
    <w:rsid w:val="009E3820"/>
    <w:rsid w:val="009E4843"/>
    <w:rsid w:val="009E65EA"/>
    <w:rsid w:val="009E7DC2"/>
    <w:rsid w:val="009F330D"/>
    <w:rsid w:val="009F58F0"/>
    <w:rsid w:val="009F6FC2"/>
    <w:rsid w:val="00A02FA6"/>
    <w:rsid w:val="00A037A3"/>
    <w:rsid w:val="00A0388D"/>
    <w:rsid w:val="00A053AB"/>
    <w:rsid w:val="00A12AE9"/>
    <w:rsid w:val="00A15259"/>
    <w:rsid w:val="00A16B22"/>
    <w:rsid w:val="00A17146"/>
    <w:rsid w:val="00A1788A"/>
    <w:rsid w:val="00A20319"/>
    <w:rsid w:val="00A21AFF"/>
    <w:rsid w:val="00A22E92"/>
    <w:rsid w:val="00A27A0A"/>
    <w:rsid w:val="00A3138C"/>
    <w:rsid w:val="00A316F0"/>
    <w:rsid w:val="00A344AD"/>
    <w:rsid w:val="00A37647"/>
    <w:rsid w:val="00A37714"/>
    <w:rsid w:val="00A37F0A"/>
    <w:rsid w:val="00A400EE"/>
    <w:rsid w:val="00A45152"/>
    <w:rsid w:val="00A4743A"/>
    <w:rsid w:val="00A50597"/>
    <w:rsid w:val="00A5200A"/>
    <w:rsid w:val="00A525FF"/>
    <w:rsid w:val="00A537B6"/>
    <w:rsid w:val="00A53BE8"/>
    <w:rsid w:val="00A561C2"/>
    <w:rsid w:val="00A60F84"/>
    <w:rsid w:val="00A65ED3"/>
    <w:rsid w:val="00A70D1A"/>
    <w:rsid w:val="00A7163D"/>
    <w:rsid w:val="00A73F17"/>
    <w:rsid w:val="00A747A0"/>
    <w:rsid w:val="00A75D44"/>
    <w:rsid w:val="00A77EE4"/>
    <w:rsid w:val="00A837A5"/>
    <w:rsid w:val="00A83CFA"/>
    <w:rsid w:val="00A8422C"/>
    <w:rsid w:val="00A8470D"/>
    <w:rsid w:val="00A84A9B"/>
    <w:rsid w:val="00A84DD6"/>
    <w:rsid w:val="00A8742A"/>
    <w:rsid w:val="00A90152"/>
    <w:rsid w:val="00A923B6"/>
    <w:rsid w:val="00A9369A"/>
    <w:rsid w:val="00A940BB"/>
    <w:rsid w:val="00A97D04"/>
    <w:rsid w:val="00AA30C2"/>
    <w:rsid w:val="00AA4ADA"/>
    <w:rsid w:val="00AA56E5"/>
    <w:rsid w:val="00AA5792"/>
    <w:rsid w:val="00AB02A4"/>
    <w:rsid w:val="00AB1E85"/>
    <w:rsid w:val="00AB2113"/>
    <w:rsid w:val="00AB267A"/>
    <w:rsid w:val="00AB777A"/>
    <w:rsid w:val="00AC0128"/>
    <w:rsid w:val="00AC1CA6"/>
    <w:rsid w:val="00AC1FC5"/>
    <w:rsid w:val="00AC219F"/>
    <w:rsid w:val="00AC2DE1"/>
    <w:rsid w:val="00AC2F2A"/>
    <w:rsid w:val="00AC3F6C"/>
    <w:rsid w:val="00AC6CDF"/>
    <w:rsid w:val="00AD2A08"/>
    <w:rsid w:val="00AD51D3"/>
    <w:rsid w:val="00AD736E"/>
    <w:rsid w:val="00AE2326"/>
    <w:rsid w:val="00AE2ACC"/>
    <w:rsid w:val="00AE2BF3"/>
    <w:rsid w:val="00AE3482"/>
    <w:rsid w:val="00AE56EF"/>
    <w:rsid w:val="00AE7162"/>
    <w:rsid w:val="00AE7422"/>
    <w:rsid w:val="00AF18E9"/>
    <w:rsid w:val="00AF2A5E"/>
    <w:rsid w:val="00AF4C98"/>
    <w:rsid w:val="00B03405"/>
    <w:rsid w:val="00B040D7"/>
    <w:rsid w:val="00B04CCC"/>
    <w:rsid w:val="00B07592"/>
    <w:rsid w:val="00B12F9F"/>
    <w:rsid w:val="00B2144A"/>
    <w:rsid w:val="00B24C4A"/>
    <w:rsid w:val="00B30A6F"/>
    <w:rsid w:val="00B31C9A"/>
    <w:rsid w:val="00B36A91"/>
    <w:rsid w:val="00B51C7F"/>
    <w:rsid w:val="00B54A56"/>
    <w:rsid w:val="00B54EA1"/>
    <w:rsid w:val="00B551DA"/>
    <w:rsid w:val="00B5693A"/>
    <w:rsid w:val="00B56ED0"/>
    <w:rsid w:val="00B61798"/>
    <w:rsid w:val="00B6626C"/>
    <w:rsid w:val="00B669D9"/>
    <w:rsid w:val="00B67532"/>
    <w:rsid w:val="00B678C5"/>
    <w:rsid w:val="00B70B5C"/>
    <w:rsid w:val="00B70DA7"/>
    <w:rsid w:val="00B713EF"/>
    <w:rsid w:val="00B716C8"/>
    <w:rsid w:val="00B719D1"/>
    <w:rsid w:val="00B72647"/>
    <w:rsid w:val="00B72A92"/>
    <w:rsid w:val="00B72CAB"/>
    <w:rsid w:val="00B73039"/>
    <w:rsid w:val="00B7330B"/>
    <w:rsid w:val="00B73AFE"/>
    <w:rsid w:val="00B75217"/>
    <w:rsid w:val="00B756A4"/>
    <w:rsid w:val="00B817BB"/>
    <w:rsid w:val="00B824E6"/>
    <w:rsid w:val="00B83286"/>
    <w:rsid w:val="00B83BFB"/>
    <w:rsid w:val="00B8489C"/>
    <w:rsid w:val="00B9039C"/>
    <w:rsid w:val="00B92356"/>
    <w:rsid w:val="00B96C06"/>
    <w:rsid w:val="00B977E0"/>
    <w:rsid w:val="00B97886"/>
    <w:rsid w:val="00BA1D10"/>
    <w:rsid w:val="00BA2498"/>
    <w:rsid w:val="00BA4E13"/>
    <w:rsid w:val="00BA5C10"/>
    <w:rsid w:val="00BA78D4"/>
    <w:rsid w:val="00BB18D9"/>
    <w:rsid w:val="00BB1993"/>
    <w:rsid w:val="00BB3DC9"/>
    <w:rsid w:val="00BB413F"/>
    <w:rsid w:val="00BB5CEE"/>
    <w:rsid w:val="00BB7181"/>
    <w:rsid w:val="00BB7199"/>
    <w:rsid w:val="00BC17D9"/>
    <w:rsid w:val="00BC303A"/>
    <w:rsid w:val="00BC7BED"/>
    <w:rsid w:val="00BD30C4"/>
    <w:rsid w:val="00BD3F31"/>
    <w:rsid w:val="00BD5131"/>
    <w:rsid w:val="00BD7655"/>
    <w:rsid w:val="00BE410D"/>
    <w:rsid w:val="00BE6F10"/>
    <w:rsid w:val="00BF0AC0"/>
    <w:rsid w:val="00BF250B"/>
    <w:rsid w:val="00BF32A2"/>
    <w:rsid w:val="00BF4288"/>
    <w:rsid w:val="00BF4315"/>
    <w:rsid w:val="00BF64F8"/>
    <w:rsid w:val="00BF726E"/>
    <w:rsid w:val="00BF770E"/>
    <w:rsid w:val="00C0313B"/>
    <w:rsid w:val="00C040B8"/>
    <w:rsid w:val="00C07C11"/>
    <w:rsid w:val="00C1173C"/>
    <w:rsid w:val="00C15F5A"/>
    <w:rsid w:val="00C164C8"/>
    <w:rsid w:val="00C2105F"/>
    <w:rsid w:val="00C21B40"/>
    <w:rsid w:val="00C2264C"/>
    <w:rsid w:val="00C23516"/>
    <w:rsid w:val="00C3227E"/>
    <w:rsid w:val="00C327FB"/>
    <w:rsid w:val="00C346E4"/>
    <w:rsid w:val="00C42A6E"/>
    <w:rsid w:val="00C4725C"/>
    <w:rsid w:val="00C47B36"/>
    <w:rsid w:val="00C5082E"/>
    <w:rsid w:val="00C53C95"/>
    <w:rsid w:val="00C611E1"/>
    <w:rsid w:val="00C62406"/>
    <w:rsid w:val="00C63129"/>
    <w:rsid w:val="00C63665"/>
    <w:rsid w:val="00C65FEF"/>
    <w:rsid w:val="00C66867"/>
    <w:rsid w:val="00C7005B"/>
    <w:rsid w:val="00C751D3"/>
    <w:rsid w:val="00C85E4B"/>
    <w:rsid w:val="00C8667E"/>
    <w:rsid w:val="00C876B2"/>
    <w:rsid w:val="00C92905"/>
    <w:rsid w:val="00C93859"/>
    <w:rsid w:val="00C946CF"/>
    <w:rsid w:val="00C9496E"/>
    <w:rsid w:val="00C95862"/>
    <w:rsid w:val="00C97817"/>
    <w:rsid w:val="00CA0764"/>
    <w:rsid w:val="00CA09F1"/>
    <w:rsid w:val="00CA1B6F"/>
    <w:rsid w:val="00CA69D6"/>
    <w:rsid w:val="00CA6D2C"/>
    <w:rsid w:val="00CA7C09"/>
    <w:rsid w:val="00CB24F6"/>
    <w:rsid w:val="00CB3F02"/>
    <w:rsid w:val="00CC070C"/>
    <w:rsid w:val="00CC22C6"/>
    <w:rsid w:val="00CC3103"/>
    <w:rsid w:val="00CC3DFA"/>
    <w:rsid w:val="00CC783F"/>
    <w:rsid w:val="00CD3B6D"/>
    <w:rsid w:val="00CD4963"/>
    <w:rsid w:val="00CD54D3"/>
    <w:rsid w:val="00CE08AA"/>
    <w:rsid w:val="00CE2123"/>
    <w:rsid w:val="00CE7E8C"/>
    <w:rsid w:val="00CF07C6"/>
    <w:rsid w:val="00CF4EBA"/>
    <w:rsid w:val="00CF5215"/>
    <w:rsid w:val="00CF5B56"/>
    <w:rsid w:val="00CF5D39"/>
    <w:rsid w:val="00D0183A"/>
    <w:rsid w:val="00D022EC"/>
    <w:rsid w:val="00D02FD8"/>
    <w:rsid w:val="00D05772"/>
    <w:rsid w:val="00D05E74"/>
    <w:rsid w:val="00D06F1E"/>
    <w:rsid w:val="00D1051C"/>
    <w:rsid w:val="00D1424D"/>
    <w:rsid w:val="00D15B53"/>
    <w:rsid w:val="00D15C3C"/>
    <w:rsid w:val="00D170E4"/>
    <w:rsid w:val="00D172FD"/>
    <w:rsid w:val="00D20995"/>
    <w:rsid w:val="00D218CF"/>
    <w:rsid w:val="00D222FD"/>
    <w:rsid w:val="00D2478C"/>
    <w:rsid w:val="00D256B4"/>
    <w:rsid w:val="00D267AE"/>
    <w:rsid w:val="00D26DAD"/>
    <w:rsid w:val="00D2758A"/>
    <w:rsid w:val="00D322A1"/>
    <w:rsid w:val="00D34279"/>
    <w:rsid w:val="00D3650C"/>
    <w:rsid w:val="00D4101A"/>
    <w:rsid w:val="00D41FCB"/>
    <w:rsid w:val="00D428D5"/>
    <w:rsid w:val="00D43733"/>
    <w:rsid w:val="00D5186C"/>
    <w:rsid w:val="00D52DCD"/>
    <w:rsid w:val="00D53A0A"/>
    <w:rsid w:val="00D53D08"/>
    <w:rsid w:val="00D54F0A"/>
    <w:rsid w:val="00D55D68"/>
    <w:rsid w:val="00D56868"/>
    <w:rsid w:val="00D61FFB"/>
    <w:rsid w:val="00D63D2A"/>
    <w:rsid w:val="00D64366"/>
    <w:rsid w:val="00D70128"/>
    <w:rsid w:val="00D76A93"/>
    <w:rsid w:val="00D821F0"/>
    <w:rsid w:val="00D84890"/>
    <w:rsid w:val="00D87371"/>
    <w:rsid w:val="00D91139"/>
    <w:rsid w:val="00D96119"/>
    <w:rsid w:val="00DA77AA"/>
    <w:rsid w:val="00DA7ABB"/>
    <w:rsid w:val="00DB0135"/>
    <w:rsid w:val="00DB061C"/>
    <w:rsid w:val="00DB5AD2"/>
    <w:rsid w:val="00DB7258"/>
    <w:rsid w:val="00DB7A6C"/>
    <w:rsid w:val="00DC230B"/>
    <w:rsid w:val="00DC31BA"/>
    <w:rsid w:val="00DC3875"/>
    <w:rsid w:val="00DC4F16"/>
    <w:rsid w:val="00DC51BD"/>
    <w:rsid w:val="00DC5380"/>
    <w:rsid w:val="00DD0217"/>
    <w:rsid w:val="00DD1420"/>
    <w:rsid w:val="00DD1B89"/>
    <w:rsid w:val="00DD2233"/>
    <w:rsid w:val="00DD6E92"/>
    <w:rsid w:val="00DD7632"/>
    <w:rsid w:val="00DD7B2F"/>
    <w:rsid w:val="00DE275D"/>
    <w:rsid w:val="00DE55A3"/>
    <w:rsid w:val="00DE5942"/>
    <w:rsid w:val="00DE6C7C"/>
    <w:rsid w:val="00DF14D1"/>
    <w:rsid w:val="00DF18F5"/>
    <w:rsid w:val="00DF1F00"/>
    <w:rsid w:val="00DF32B8"/>
    <w:rsid w:val="00DF4A4C"/>
    <w:rsid w:val="00DF5F39"/>
    <w:rsid w:val="00DF7FAA"/>
    <w:rsid w:val="00E02FF6"/>
    <w:rsid w:val="00E046FC"/>
    <w:rsid w:val="00E05162"/>
    <w:rsid w:val="00E0618B"/>
    <w:rsid w:val="00E06B9A"/>
    <w:rsid w:val="00E14011"/>
    <w:rsid w:val="00E1545D"/>
    <w:rsid w:val="00E156AC"/>
    <w:rsid w:val="00E17FAC"/>
    <w:rsid w:val="00E214EB"/>
    <w:rsid w:val="00E21572"/>
    <w:rsid w:val="00E231F8"/>
    <w:rsid w:val="00E253C3"/>
    <w:rsid w:val="00E30722"/>
    <w:rsid w:val="00E31900"/>
    <w:rsid w:val="00E37292"/>
    <w:rsid w:val="00E4045B"/>
    <w:rsid w:val="00E41988"/>
    <w:rsid w:val="00E4447E"/>
    <w:rsid w:val="00E44DC6"/>
    <w:rsid w:val="00E4740C"/>
    <w:rsid w:val="00E50CE1"/>
    <w:rsid w:val="00E52C83"/>
    <w:rsid w:val="00E54EF0"/>
    <w:rsid w:val="00E5570C"/>
    <w:rsid w:val="00E64503"/>
    <w:rsid w:val="00E65F7A"/>
    <w:rsid w:val="00E6731D"/>
    <w:rsid w:val="00E70B91"/>
    <w:rsid w:val="00E726FC"/>
    <w:rsid w:val="00E75CA8"/>
    <w:rsid w:val="00E82DA8"/>
    <w:rsid w:val="00E85AE9"/>
    <w:rsid w:val="00E85B16"/>
    <w:rsid w:val="00E85EC4"/>
    <w:rsid w:val="00E87A47"/>
    <w:rsid w:val="00E90EB7"/>
    <w:rsid w:val="00E91654"/>
    <w:rsid w:val="00E939DE"/>
    <w:rsid w:val="00EA61AF"/>
    <w:rsid w:val="00EB120D"/>
    <w:rsid w:val="00EB1467"/>
    <w:rsid w:val="00EB1FA1"/>
    <w:rsid w:val="00EC19C1"/>
    <w:rsid w:val="00EC1C52"/>
    <w:rsid w:val="00EC404B"/>
    <w:rsid w:val="00EC6E9B"/>
    <w:rsid w:val="00EC7604"/>
    <w:rsid w:val="00ED0555"/>
    <w:rsid w:val="00ED12B1"/>
    <w:rsid w:val="00ED3131"/>
    <w:rsid w:val="00ED583A"/>
    <w:rsid w:val="00ED5E31"/>
    <w:rsid w:val="00ED6544"/>
    <w:rsid w:val="00EE022F"/>
    <w:rsid w:val="00EE1A23"/>
    <w:rsid w:val="00EE2720"/>
    <w:rsid w:val="00EE327F"/>
    <w:rsid w:val="00EE353C"/>
    <w:rsid w:val="00EE5EDA"/>
    <w:rsid w:val="00EE6FE1"/>
    <w:rsid w:val="00EF0B54"/>
    <w:rsid w:val="00EF1C92"/>
    <w:rsid w:val="00EF5DE2"/>
    <w:rsid w:val="00EF7E88"/>
    <w:rsid w:val="00F0002A"/>
    <w:rsid w:val="00F01538"/>
    <w:rsid w:val="00F017EB"/>
    <w:rsid w:val="00F01A2B"/>
    <w:rsid w:val="00F03DAF"/>
    <w:rsid w:val="00F05B44"/>
    <w:rsid w:val="00F14513"/>
    <w:rsid w:val="00F15CDF"/>
    <w:rsid w:val="00F16A4F"/>
    <w:rsid w:val="00F206B3"/>
    <w:rsid w:val="00F2342F"/>
    <w:rsid w:val="00F242D3"/>
    <w:rsid w:val="00F24CCA"/>
    <w:rsid w:val="00F254EE"/>
    <w:rsid w:val="00F25FD8"/>
    <w:rsid w:val="00F32AB2"/>
    <w:rsid w:val="00F32F99"/>
    <w:rsid w:val="00F33ED2"/>
    <w:rsid w:val="00F34B4D"/>
    <w:rsid w:val="00F34D3B"/>
    <w:rsid w:val="00F35D06"/>
    <w:rsid w:val="00F363D6"/>
    <w:rsid w:val="00F36B1A"/>
    <w:rsid w:val="00F43692"/>
    <w:rsid w:val="00F446B8"/>
    <w:rsid w:val="00F45FA2"/>
    <w:rsid w:val="00F47955"/>
    <w:rsid w:val="00F53AAA"/>
    <w:rsid w:val="00F55BA3"/>
    <w:rsid w:val="00F55C63"/>
    <w:rsid w:val="00F56445"/>
    <w:rsid w:val="00F60205"/>
    <w:rsid w:val="00F63073"/>
    <w:rsid w:val="00F653A7"/>
    <w:rsid w:val="00F666EE"/>
    <w:rsid w:val="00F67A4C"/>
    <w:rsid w:val="00F67B9A"/>
    <w:rsid w:val="00F709AC"/>
    <w:rsid w:val="00F7734D"/>
    <w:rsid w:val="00F773E1"/>
    <w:rsid w:val="00F777B3"/>
    <w:rsid w:val="00F83761"/>
    <w:rsid w:val="00F84981"/>
    <w:rsid w:val="00F85748"/>
    <w:rsid w:val="00F85789"/>
    <w:rsid w:val="00F875F9"/>
    <w:rsid w:val="00F87CB4"/>
    <w:rsid w:val="00F90A0A"/>
    <w:rsid w:val="00F91CE2"/>
    <w:rsid w:val="00F92B1A"/>
    <w:rsid w:val="00F96269"/>
    <w:rsid w:val="00FA08FF"/>
    <w:rsid w:val="00FA0AAC"/>
    <w:rsid w:val="00FA3A77"/>
    <w:rsid w:val="00FA4B8E"/>
    <w:rsid w:val="00FA4E8E"/>
    <w:rsid w:val="00FA5984"/>
    <w:rsid w:val="00FA660E"/>
    <w:rsid w:val="00FA7906"/>
    <w:rsid w:val="00FA7C03"/>
    <w:rsid w:val="00FB0774"/>
    <w:rsid w:val="00FB0A7C"/>
    <w:rsid w:val="00FB22B5"/>
    <w:rsid w:val="00FB36CA"/>
    <w:rsid w:val="00FB37A8"/>
    <w:rsid w:val="00FB4346"/>
    <w:rsid w:val="00FB67F5"/>
    <w:rsid w:val="00FB7B83"/>
    <w:rsid w:val="00FC1AD1"/>
    <w:rsid w:val="00FC204F"/>
    <w:rsid w:val="00FC2D5A"/>
    <w:rsid w:val="00FC5DC1"/>
    <w:rsid w:val="00FC6592"/>
    <w:rsid w:val="00FD0D8D"/>
    <w:rsid w:val="00FD267C"/>
    <w:rsid w:val="00FD3172"/>
    <w:rsid w:val="00FD4500"/>
    <w:rsid w:val="00FE6F76"/>
    <w:rsid w:val="00FF0D48"/>
    <w:rsid w:val="00FF1879"/>
    <w:rsid w:val="00FF24BB"/>
    <w:rsid w:val="00FF4DFD"/>
    <w:rsid w:val="00FF6BED"/>
    <w:rsid w:val="011B0B3E"/>
    <w:rsid w:val="02274A75"/>
    <w:rsid w:val="033E13F6"/>
    <w:rsid w:val="03506DE9"/>
    <w:rsid w:val="03A73E37"/>
    <w:rsid w:val="045C30BE"/>
    <w:rsid w:val="04B9111C"/>
    <w:rsid w:val="04BE0636"/>
    <w:rsid w:val="0A587F35"/>
    <w:rsid w:val="0A6615DD"/>
    <w:rsid w:val="0AA200D9"/>
    <w:rsid w:val="0B2A5DBA"/>
    <w:rsid w:val="0BC118C7"/>
    <w:rsid w:val="0BF32F26"/>
    <w:rsid w:val="0F646CD4"/>
    <w:rsid w:val="0FB70159"/>
    <w:rsid w:val="10566AA0"/>
    <w:rsid w:val="10A626E3"/>
    <w:rsid w:val="11326C5D"/>
    <w:rsid w:val="12CE7EAD"/>
    <w:rsid w:val="13413CC1"/>
    <w:rsid w:val="13B760CB"/>
    <w:rsid w:val="158D2F47"/>
    <w:rsid w:val="159A3E84"/>
    <w:rsid w:val="161329A3"/>
    <w:rsid w:val="164E2B47"/>
    <w:rsid w:val="169F1276"/>
    <w:rsid w:val="16CE2E57"/>
    <w:rsid w:val="19706179"/>
    <w:rsid w:val="1A59379F"/>
    <w:rsid w:val="1CA9271C"/>
    <w:rsid w:val="1CCC65C3"/>
    <w:rsid w:val="1D16109E"/>
    <w:rsid w:val="1E5E3285"/>
    <w:rsid w:val="1EFA7AD4"/>
    <w:rsid w:val="1F164383"/>
    <w:rsid w:val="1F8C008B"/>
    <w:rsid w:val="21DC3EB5"/>
    <w:rsid w:val="21F551BE"/>
    <w:rsid w:val="22A30C5C"/>
    <w:rsid w:val="22B10E4A"/>
    <w:rsid w:val="22EF7B02"/>
    <w:rsid w:val="232E322B"/>
    <w:rsid w:val="257A11EB"/>
    <w:rsid w:val="262B76B2"/>
    <w:rsid w:val="274A1985"/>
    <w:rsid w:val="277877D8"/>
    <w:rsid w:val="28AA523C"/>
    <w:rsid w:val="2D55735D"/>
    <w:rsid w:val="2F1A4BA5"/>
    <w:rsid w:val="300726A6"/>
    <w:rsid w:val="30486A45"/>
    <w:rsid w:val="30F750F1"/>
    <w:rsid w:val="33647368"/>
    <w:rsid w:val="33813B45"/>
    <w:rsid w:val="34F50400"/>
    <w:rsid w:val="34F97994"/>
    <w:rsid w:val="35805BB8"/>
    <w:rsid w:val="36E47B9D"/>
    <w:rsid w:val="38D52BF7"/>
    <w:rsid w:val="39EC5C57"/>
    <w:rsid w:val="3A375E14"/>
    <w:rsid w:val="3A476BB9"/>
    <w:rsid w:val="3A7B11C2"/>
    <w:rsid w:val="3ADE63E1"/>
    <w:rsid w:val="3B991C34"/>
    <w:rsid w:val="3B9B464F"/>
    <w:rsid w:val="3C000D95"/>
    <w:rsid w:val="3D4B6B3D"/>
    <w:rsid w:val="3E8A42E6"/>
    <w:rsid w:val="41630B97"/>
    <w:rsid w:val="41835478"/>
    <w:rsid w:val="41BA41E1"/>
    <w:rsid w:val="421E68E9"/>
    <w:rsid w:val="42F61601"/>
    <w:rsid w:val="43523B6F"/>
    <w:rsid w:val="43F11C1C"/>
    <w:rsid w:val="4448317C"/>
    <w:rsid w:val="45D325B3"/>
    <w:rsid w:val="46400D88"/>
    <w:rsid w:val="471E610A"/>
    <w:rsid w:val="485D4FC6"/>
    <w:rsid w:val="48FB6052"/>
    <w:rsid w:val="4951213E"/>
    <w:rsid w:val="49B025B8"/>
    <w:rsid w:val="49CC3268"/>
    <w:rsid w:val="4B191B98"/>
    <w:rsid w:val="4C736FB2"/>
    <w:rsid w:val="4D214550"/>
    <w:rsid w:val="4FB1612B"/>
    <w:rsid w:val="50571B23"/>
    <w:rsid w:val="512632FB"/>
    <w:rsid w:val="539329D3"/>
    <w:rsid w:val="55267F02"/>
    <w:rsid w:val="56653F98"/>
    <w:rsid w:val="5820615E"/>
    <w:rsid w:val="58C841D3"/>
    <w:rsid w:val="58D4368E"/>
    <w:rsid w:val="58DE00A4"/>
    <w:rsid w:val="59AE3315"/>
    <w:rsid w:val="5B37744F"/>
    <w:rsid w:val="5B584ECB"/>
    <w:rsid w:val="5B9F4E6F"/>
    <w:rsid w:val="5BBA74EE"/>
    <w:rsid w:val="5C80234E"/>
    <w:rsid w:val="5DCA7B89"/>
    <w:rsid w:val="5DE40E91"/>
    <w:rsid w:val="5E596938"/>
    <w:rsid w:val="5E9C1EDC"/>
    <w:rsid w:val="5E9E2CBA"/>
    <w:rsid w:val="5EF71B3A"/>
    <w:rsid w:val="5F232B02"/>
    <w:rsid w:val="61C964C6"/>
    <w:rsid w:val="62A34659"/>
    <w:rsid w:val="62A44B43"/>
    <w:rsid w:val="62AA6B74"/>
    <w:rsid w:val="636D6A22"/>
    <w:rsid w:val="63E27E37"/>
    <w:rsid w:val="63FA69BA"/>
    <w:rsid w:val="640E0BC6"/>
    <w:rsid w:val="64330D78"/>
    <w:rsid w:val="65121123"/>
    <w:rsid w:val="67706CC4"/>
    <w:rsid w:val="6844132E"/>
    <w:rsid w:val="69F64FC5"/>
    <w:rsid w:val="6B7C1202"/>
    <w:rsid w:val="6D373641"/>
    <w:rsid w:val="6DC14180"/>
    <w:rsid w:val="6E38742B"/>
    <w:rsid w:val="6FCF1762"/>
    <w:rsid w:val="70607829"/>
    <w:rsid w:val="71A31F1B"/>
    <w:rsid w:val="725D2D38"/>
    <w:rsid w:val="745F1A7B"/>
    <w:rsid w:val="75192F2C"/>
    <w:rsid w:val="75964330"/>
    <w:rsid w:val="76414D0B"/>
    <w:rsid w:val="773C23F5"/>
    <w:rsid w:val="77C178E6"/>
    <w:rsid w:val="77E4505D"/>
    <w:rsid w:val="781B7540"/>
    <w:rsid w:val="787044AC"/>
    <w:rsid w:val="789809BD"/>
    <w:rsid w:val="78BF39AC"/>
    <w:rsid w:val="799C7E9C"/>
    <w:rsid w:val="7A183A19"/>
    <w:rsid w:val="7A18483C"/>
    <w:rsid w:val="7A434839"/>
    <w:rsid w:val="7ADE07C9"/>
    <w:rsid w:val="7BBF169D"/>
    <w:rsid w:val="7C324148"/>
    <w:rsid w:val="7DE5277F"/>
    <w:rsid w:val="7D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FB42DD"/>
  <w15:docId w15:val="{3B4E7E59-6A7A-4A2C-AC12-6FF82C0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</w:rPr>
  </w:style>
  <w:style w:type="character" w:customStyle="1" w:styleId="New">
    <w:name w:val="页码 New"/>
    <w:basedOn w:val="a0"/>
  </w:style>
  <w:style w:type="character" w:customStyle="1" w:styleId="NewNew">
    <w:name w:val="页码 New New"/>
    <w:basedOn w:val="a0"/>
  </w:style>
  <w:style w:type="character" w:customStyle="1" w:styleId="NewNewNew">
    <w:name w:val="页码 New New New"/>
    <w:basedOn w:val="a0"/>
  </w:style>
  <w:style w:type="character" w:styleId="a5">
    <w:name w:val="annotation reference"/>
    <w:rPr>
      <w:sz w:val="21"/>
      <w:szCs w:val="21"/>
    </w:rPr>
  </w:style>
  <w:style w:type="character" w:customStyle="1" w:styleId="a6">
    <w:name w:val="批注框文本 字符"/>
    <w:link w:val="a7"/>
    <w:rPr>
      <w:kern w:val="2"/>
      <w:sz w:val="18"/>
      <w:szCs w:val="18"/>
    </w:rPr>
  </w:style>
  <w:style w:type="character" w:customStyle="1" w:styleId="a8">
    <w:name w:val="批注主题 字符"/>
    <w:link w:val="a9"/>
    <w:rPr>
      <w:b/>
      <w:bCs/>
      <w:kern w:val="2"/>
      <w:sz w:val="21"/>
    </w:rPr>
  </w:style>
  <w:style w:type="character" w:customStyle="1" w:styleId="aa">
    <w:name w:val="批注文字 字符"/>
    <w:link w:val="ab"/>
    <w:rPr>
      <w:kern w:val="2"/>
      <w:sz w:val="21"/>
    </w:rPr>
  </w:style>
  <w:style w:type="character" w:customStyle="1" w:styleId="NewNewNewNew">
    <w:name w:val="页码 New New New New"/>
    <w:basedOn w:val="a0"/>
  </w:style>
  <w:style w:type="paragraph" w:styleId="ac">
    <w:name w:val="Body Text Indent"/>
    <w:uiPriority w:val="99"/>
    <w:unhideWhenUsed/>
    <w:pPr>
      <w:spacing w:after="120"/>
      <w:ind w:leftChars="200" w:left="420"/>
    </w:pPr>
  </w:style>
  <w:style w:type="paragraph" w:styleId="ab">
    <w:name w:val="annotation text"/>
    <w:basedOn w:val="a"/>
    <w:link w:val="aa"/>
    <w:pPr>
      <w:jc w:val="left"/>
    </w:pPr>
  </w:style>
  <w:style w:type="paragraph" w:customStyle="1" w:styleId="NewNew0">
    <w:name w:val="正文 New New"/>
    <w:pPr>
      <w:widowControl w:val="0"/>
      <w:jc w:val="both"/>
    </w:pPr>
    <w:rPr>
      <w:kern w:val="2"/>
      <w:sz w:val="21"/>
    </w:rPr>
  </w:style>
  <w:style w:type="paragraph" w:customStyle="1" w:styleId="New0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9">
    <w:name w:val="annotation subject"/>
    <w:basedOn w:val="ab"/>
    <w:next w:val="ab"/>
    <w:link w:val="a8"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styleId="ad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New1">
    <w:name w:val="页眉 New"/>
    <w:basedOn w:val="NewNew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1">
    <w:name w:val="页眉 New New"/>
    <w:basedOn w:val="NewNewNew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</w:rPr>
  </w:style>
  <w:style w:type="paragraph" w:styleId="a7">
    <w:name w:val="Balloon Text"/>
    <w:basedOn w:val="a"/>
    <w:link w:val="a6"/>
    <w:rPr>
      <w:sz w:val="18"/>
      <w:szCs w:val="18"/>
    </w:rPr>
  </w:style>
  <w:style w:type="paragraph" w:customStyle="1" w:styleId="New2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styleId="af">
    <w:name w:val="Revision"/>
    <w:uiPriority w:val="99"/>
    <w:unhideWhenUsed/>
    <w:rPr>
      <w:kern w:val="2"/>
      <w:sz w:val="21"/>
    </w:rPr>
  </w:style>
  <w:style w:type="paragraph" w:customStyle="1" w:styleId="NewNewNewNew1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1">
    <w:name w:val="正文 New New New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">
    <w:name w:val="正文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62EA-5F86-42B8-9362-C4D12C5B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6</Pages>
  <Words>553</Words>
  <Characters>3155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subject/>
  <dc:creator>Administrator</dc:creator>
  <cp:keywords/>
  <dc:description/>
  <cp:lastModifiedBy>王婷</cp:lastModifiedBy>
  <cp:revision>294</cp:revision>
  <cp:lastPrinted>2022-11-09T09:12:00Z</cp:lastPrinted>
  <dcterms:created xsi:type="dcterms:W3CDTF">2021-04-28T07:22:00Z</dcterms:created>
  <dcterms:modified xsi:type="dcterms:W3CDTF">2023-10-30T09:18:00Z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