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F1CB" w14:textId="77777777" w:rsidR="00656431" w:rsidRDefault="00B03F31">
      <w:pPr>
        <w:ind w:firstLineChars="200" w:firstLine="562"/>
        <w:jc w:val="center"/>
        <w:rPr>
          <w:rFonts w:asciiTheme="minorEastAsia" w:hAnsiTheme="minorEastAsia"/>
          <w:b/>
          <w:sz w:val="28"/>
          <w:szCs w:val="28"/>
        </w:rPr>
      </w:pPr>
      <w:r>
        <w:rPr>
          <w:rFonts w:asciiTheme="minorEastAsia" w:hAnsiTheme="minorEastAsia" w:hint="eastAsia"/>
          <w:b/>
          <w:sz w:val="28"/>
          <w:szCs w:val="28"/>
        </w:rPr>
        <w:t>福建顶点软件股份有限公司</w:t>
      </w:r>
    </w:p>
    <w:p w14:paraId="5E2EC7B8" w14:textId="77777777" w:rsidR="00656431" w:rsidRDefault="00B03F31">
      <w:pPr>
        <w:ind w:firstLineChars="200" w:firstLine="562"/>
        <w:jc w:val="center"/>
        <w:rPr>
          <w:rFonts w:asciiTheme="minorEastAsia" w:hAnsiTheme="minorEastAsia"/>
          <w:b/>
          <w:sz w:val="28"/>
          <w:szCs w:val="28"/>
        </w:rPr>
      </w:pPr>
      <w:r>
        <w:rPr>
          <w:rFonts w:asciiTheme="minorEastAsia" w:hAnsiTheme="minorEastAsia" w:hint="eastAsia"/>
          <w:b/>
          <w:sz w:val="28"/>
          <w:szCs w:val="28"/>
        </w:rPr>
        <w:t>投资者关系活动记录表</w:t>
      </w:r>
    </w:p>
    <w:p w14:paraId="7018A880" w14:textId="106B1569" w:rsidR="00656431" w:rsidRDefault="00B03F31" w:rsidP="00ED63F1">
      <w:pPr>
        <w:rPr>
          <w:rFonts w:asciiTheme="minorEastAsia" w:hAnsiTheme="minorEastAsia"/>
          <w:sz w:val="28"/>
          <w:szCs w:val="28"/>
        </w:rPr>
      </w:pPr>
      <w:r>
        <w:rPr>
          <w:rFonts w:asciiTheme="minorEastAsia" w:hAnsiTheme="minorEastAsia" w:hint="eastAsia"/>
          <w:sz w:val="28"/>
          <w:szCs w:val="28"/>
        </w:rPr>
        <w:t>证券简称：顶点软件       证券代码：603383     编号：20</w:t>
      </w:r>
      <w:r>
        <w:rPr>
          <w:rFonts w:asciiTheme="minorEastAsia" w:hAnsiTheme="minorEastAsia"/>
          <w:sz w:val="28"/>
          <w:szCs w:val="28"/>
        </w:rPr>
        <w:t>2</w:t>
      </w:r>
      <w:r w:rsidR="00151DF6">
        <w:rPr>
          <w:rFonts w:asciiTheme="minorEastAsia" w:hAnsiTheme="minorEastAsia"/>
          <w:sz w:val="28"/>
          <w:szCs w:val="28"/>
        </w:rPr>
        <w:t>3</w:t>
      </w:r>
      <w:r>
        <w:rPr>
          <w:rFonts w:asciiTheme="minorEastAsia" w:hAnsiTheme="minorEastAsia" w:hint="eastAsia"/>
          <w:sz w:val="28"/>
          <w:szCs w:val="28"/>
        </w:rPr>
        <w:t>-</w:t>
      </w:r>
      <w:r>
        <w:rPr>
          <w:rFonts w:asciiTheme="minorEastAsia" w:hAnsiTheme="minorEastAsia"/>
          <w:sz w:val="28"/>
          <w:szCs w:val="28"/>
        </w:rPr>
        <w:t>0</w:t>
      </w:r>
      <w:r w:rsidR="00D633F0">
        <w:rPr>
          <w:rFonts w:asciiTheme="minorEastAsia" w:hAnsiTheme="minorEastAsia"/>
          <w:sz w:val="28"/>
          <w:szCs w:val="28"/>
        </w:rPr>
        <w:t>1</w:t>
      </w:r>
      <w:r w:rsidR="0074008C">
        <w:rPr>
          <w:rFonts w:asciiTheme="minorEastAsia" w:hAnsiTheme="minorEastAsia"/>
          <w:sz w:val="28"/>
          <w:szCs w:val="28"/>
        </w:rPr>
        <w:t>1</w:t>
      </w:r>
    </w:p>
    <w:tbl>
      <w:tblPr>
        <w:tblStyle w:val="a7"/>
        <w:tblW w:w="8642" w:type="dxa"/>
        <w:tblLook w:val="04A0" w:firstRow="1" w:lastRow="0" w:firstColumn="1" w:lastColumn="0" w:noHBand="0" w:noVBand="1"/>
      </w:tblPr>
      <w:tblGrid>
        <w:gridCol w:w="1696"/>
        <w:gridCol w:w="6946"/>
      </w:tblGrid>
      <w:tr w:rsidR="00656431" w14:paraId="27660C63" w14:textId="77777777" w:rsidTr="007664DC">
        <w:trPr>
          <w:trHeight w:val="624"/>
        </w:trPr>
        <w:tc>
          <w:tcPr>
            <w:tcW w:w="1696" w:type="dxa"/>
            <w:vMerge w:val="restart"/>
            <w:noWrap/>
            <w:vAlign w:val="center"/>
          </w:tcPr>
          <w:p w14:paraId="7D051B20"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投资者关系活动类别</w:t>
            </w:r>
          </w:p>
        </w:tc>
        <w:tc>
          <w:tcPr>
            <w:tcW w:w="6946" w:type="dxa"/>
            <w:vMerge w:val="restart"/>
          </w:tcPr>
          <w:p w14:paraId="47EE98BB" w14:textId="26A8A741" w:rsidR="00656431" w:rsidRDefault="00B03F31">
            <w:pPr>
              <w:rPr>
                <w:rFonts w:asciiTheme="minorEastAsia" w:hAnsiTheme="minorEastAsia"/>
                <w:sz w:val="28"/>
                <w:szCs w:val="28"/>
              </w:rPr>
            </w:pPr>
            <w:r>
              <w:rPr>
                <w:rFonts w:asciiTheme="minorEastAsia" w:hAnsiTheme="minorEastAsia" w:hint="eastAsia"/>
                <w:sz w:val="28"/>
                <w:szCs w:val="28"/>
              </w:rPr>
              <w:sym w:font="Wingdings 2" w:char="F052"/>
            </w:r>
            <w:r>
              <w:rPr>
                <w:rFonts w:asciiTheme="minorEastAsia" w:hAnsiTheme="minorEastAsia" w:hint="eastAsia"/>
                <w:sz w:val="28"/>
                <w:szCs w:val="28"/>
              </w:rPr>
              <w:t xml:space="preserve">特定对象调研 </w:t>
            </w:r>
            <w:r w:rsidR="00ED7938">
              <w:rPr>
                <w:rFonts w:asciiTheme="minorEastAsia" w:hAnsiTheme="minorEastAsia" w:hint="eastAsia"/>
                <w:sz w:val="28"/>
                <w:szCs w:val="28"/>
              </w:rPr>
              <w:t>□</w:t>
            </w:r>
            <w:r>
              <w:rPr>
                <w:rFonts w:asciiTheme="minorEastAsia" w:hAnsiTheme="minorEastAsia" w:hint="eastAsia"/>
                <w:sz w:val="28"/>
                <w:szCs w:val="28"/>
              </w:rPr>
              <w:t>分析</w:t>
            </w:r>
            <w:proofErr w:type="gramStart"/>
            <w:r>
              <w:rPr>
                <w:rFonts w:asciiTheme="minorEastAsia" w:hAnsiTheme="minorEastAsia" w:hint="eastAsia"/>
                <w:sz w:val="28"/>
                <w:szCs w:val="28"/>
              </w:rPr>
              <w:t>师会议</w:t>
            </w:r>
            <w:proofErr w:type="gramEnd"/>
            <w:r>
              <w:rPr>
                <w:rFonts w:asciiTheme="minorEastAsia" w:hAnsiTheme="minorEastAsia" w:hint="eastAsia"/>
                <w:sz w:val="28"/>
                <w:szCs w:val="28"/>
              </w:rPr>
              <w:t xml:space="preserve"> □媒体采访</w:t>
            </w:r>
            <w:r>
              <w:rPr>
                <w:rFonts w:asciiTheme="minorEastAsia" w:hAnsiTheme="minorEastAsia" w:hint="eastAsia"/>
                <w:sz w:val="28"/>
                <w:szCs w:val="28"/>
              </w:rPr>
              <w:br/>
            </w:r>
            <w:r w:rsidR="00ED7938">
              <w:rPr>
                <w:rFonts w:asciiTheme="minorEastAsia" w:hAnsiTheme="minorEastAsia" w:hint="eastAsia"/>
                <w:sz w:val="28"/>
                <w:szCs w:val="28"/>
              </w:rPr>
              <w:t>□</w:t>
            </w:r>
            <w:r>
              <w:rPr>
                <w:rFonts w:asciiTheme="minorEastAsia" w:hAnsiTheme="minorEastAsia" w:hint="eastAsia"/>
                <w:sz w:val="28"/>
                <w:szCs w:val="28"/>
              </w:rPr>
              <w:t>业绩说明会 □新闻发布会 □路演活动</w:t>
            </w:r>
            <w:r>
              <w:rPr>
                <w:rFonts w:asciiTheme="minorEastAsia" w:hAnsiTheme="minorEastAsia" w:hint="eastAsia"/>
                <w:sz w:val="28"/>
                <w:szCs w:val="28"/>
              </w:rPr>
              <w:br/>
            </w:r>
            <w:r w:rsidR="0074008C" w:rsidRPr="0074008C">
              <w:rPr>
                <w:rFonts w:asciiTheme="minorEastAsia" w:hAnsiTheme="minorEastAsia" w:hint="eastAsia"/>
                <w:sz w:val="28"/>
                <w:szCs w:val="28"/>
              </w:rPr>
              <w:t>□</w:t>
            </w:r>
            <w:r>
              <w:rPr>
                <w:rFonts w:asciiTheme="minorEastAsia" w:hAnsiTheme="minorEastAsia" w:hint="eastAsia"/>
                <w:sz w:val="28"/>
                <w:szCs w:val="28"/>
              </w:rPr>
              <w:t xml:space="preserve">现场参观 </w:t>
            </w:r>
            <w:r w:rsidR="0074008C">
              <w:rPr>
                <w:rFonts w:asciiTheme="minorEastAsia" w:hAnsiTheme="minorEastAsia" w:hint="eastAsia"/>
                <w:sz w:val="28"/>
                <w:szCs w:val="28"/>
              </w:rPr>
              <w:sym w:font="Wingdings 2" w:char="F052"/>
            </w:r>
            <w:r>
              <w:rPr>
                <w:rFonts w:asciiTheme="minorEastAsia" w:hAnsiTheme="minorEastAsia" w:hint="eastAsia"/>
                <w:sz w:val="28"/>
                <w:szCs w:val="28"/>
              </w:rPr>
              <w:t>其他</w:t>
            </w:r>
            <w:r w:rsidR="003537C8">
              <w:rPr>
                <w:rFonts w:asciiTheme="minorEastAsia" w:hAnsiTheme="minorEastAsia" w:hint="eastAsia"/>
                <w:sz w:val="28"/>
                <w:szCs w:val="28"/>
              </w:rPr>
              <w:t xml:space="preserve"> </w:t>
            </w:r>
          </w:p>
        </w:tc>
      </w:tr>
      <w:tr w:rsidR="00656431" w14:paraId="48A0C3A6" w14:textId="77777777" w:rsidTr="007664DC">
        <w:trPr>
          <w:trHeight w:val="624"/>
        </w:trPr>
        <w:tc>
          <w:tcPr>
            <w:tcW w:w="1696" w:type="dxa"/>
            <w:vMerge/>
            <w:vAlign w:val="center"/>
          </w:tcPr>
          <w:p w14:paraId="10F5EC43" w14:textId="77777777" w:rsidR="00656431" w:rsidRDefault="00656431">
            <w:pPr>
              <w:ind w:firstLineChars="200" w:firstLine="560"/>
              <w:jc w:val="center"/>
              <w:rPr>
                <w:rFonts w:asciiTheme="minorEastAsia" w:hAnsiTheme="minorEastAsia"/>
                <w:bCs/>
                <w:sz w:val="28"/>
                <w:szCs w:val="28"/>
              </w:rPr>
            </w:pPr>
          </w:p>
        </w:tc>
        <w:tc>
          <w:tcPr>
            <w:tcW w:w="6946" w:type="dxa"/>
            <w:vMerge/>
          </w:tcPr>
          <w:p w14:paraId="457585F4" w14:textId="77777777" w:rsidR="00656431" w:rsidRDefault="00656431">
            <w:pPr>
              <w:ind w:firstLineChars="200" w:firstLine="560"/>
              <w:rPr>
                <w:rFonts w:asciiTheme="minorEastAsia" w:hAnsiTheme="minorEastAsia"/>
                <w:sz w:val="28"/>
                <w:szCs w:val="28"/>
              </w:rPr>
            </w:pPr>
          </w:p>
        </w:tc>
      </w:tr>
      <w:tr w:rsidR="00656431" w14:paraId="05A8231C" w14:textId="77777777" w:rsidTr="007664DC">
        <w:trPr>
          <w:trHeight w:val="624"/>
        </w:trPr>
        <w:tc>
          <w:tcPr>
            <w:tcW w:w="1696" w:type="dxa"/>
            <w:vMerge/>
            <w:vAlign w:val="center"/>
          </w:tcPr>
          <w:p w14:paraId="5A7E8142" w14:textId="77777777" w:rsidR="00656431" w:rsidRDefault="00656431">
            <w:pPr>
              <w:ind w:firstLineChars="200" w:firstLine="560"/>
              <w:jc w:val="center"/>
              <w:rPr>
                <w:rFonts w:asciiTheme="minorEastAsia" w:hAnsiTheme="minorEastAsia"/>
                <w:bCs/>
                <w:sz w:val="28"/>
                <w:szCs w:val="28"/>
              </w:rPr>
            </w:pPr>
          </w:p>
        </w:tc>
        <w:tc>
          <w:tcPr>
            <w:tcW w:w="6946" w:type="dxa"/>
            <w:vMerge/>
          </w:tcPr>
          <w:p w14:paraId="4231A588" w14:textId="77777777" w:rsidR="00656431" w:rsidRDefault="00656431">
            <w:pPr>
              <w:ind w:firstLineChars="200" w:firstLine="560"/>
              <w:rPr>
                <w:rFonts w:asciiTheme="minorEastAsia" w:hAnsiTheme="minorEastAsia"/>
                <w:sz w:val="28"/>
                <w:szCs w:val="28"/>
              </w:rPr>
            </w:pPr>
          </w:p>
        </w:tc>
      </w:tr>
      <w:tr w:rsidR="00656431" w14:paraId="276AD6F5" w14:textId="77777777" w:rsidTr="007664DC">
        <w:trPr>
          <w:trHeight w:val="557"/>
        </w:trPr>
        <w:tc>
          <w:tcPr>
            <w:tcW w:w="1696" w:type="dxa"/>
            <w:noWrap/>
            <w:vAlign w:val="center"/>
          </w:tcPr>
          <w:p w14:paraId="1E578E57" w14:textId="77777777" w:rsidR="00656431" w:rsidRDefault="00656431">
            <w:pPr>
              <w:jc w:val="center"/>
              <w:rPr>
                <w:rFonts w:asciiTheme="minorEastAsia" w:hAnsiTheme="minorEastAsia"/>
                <w:bCs/>
                <w:sz w:val="28"/>
                <w:szCs w:val="28"/>
              </w:rPr>
            </w:pPr>
          </w:p>
          <w:p w14:paraId="1FFC56AE" w14:textId="7C6E6B5D" w:rsidR="00656431" w:rsidRDefault="00B03F31">
            <w:pPr>
              <w:jc w:val="center"/>
              <w:rPr>
                <w:rFonts w:asciiTheme="minorEastAsia" w:hAnsiTheme="minorEastAsia"/>
                <w:bCs/>
                <w:sz w:val="28"/>
                <w:szCs w:val="28"/>
              </w:rPr>
            </w:pPr>
            <w:r>
              <w:rPr>
                <w:rFonts w:asciiTheme="minorEastAsia" w:hAnsiTheme="minorEastAsia" w:hint="eastAsia"/>
                <w:bCs/>
                <w:sz w:val="28"/>
                <w:szCs w:val="28"/>
              </w:rPr>
              <w:t>参与</w:t>
            </w:r>
            <w:r w:rsidR="00862D67">
              <w:rPr>
                <w:rFonts w:asciiTheme="minorEastAsia" w:hAnsiTheme="minorEastAsia" w:hint="eastAsia"/>
                <w:bCs/>
                <w:sz w:val="28"/>
                <w:szCs w:val="28"/>
              </w:rPr>
              <w:t>时间</w:t>
            </w:r>
            <w:r w:rsidR="004372B7">
              <w:rPr>
                <w:rFonts w:asciiTheme="minorEastAsia" w:hAnsiTheme="minorEastAsia" w:hint="eastAsia"/>
                <w:bCs/>
                <w:sz w:val="28"/>
                <w:szCs w:val="28"/>
              </w:rPr>
              <w:t>和</w:t>
            </w:r>
            <w:r w:rsidR="00862D67">
              <w:rPr>
                <w:rFonts w:asciiTheme="minorEastAsia" w:hAnsiTheme="minorEastAsia" w:hint="eastAsia"/>
                <w:bCs/>
                <w:sz w:val="28"/>
                <w:szCs w:val="28"/>
              </w:rPr>
              <w:t>单位名称</w:t>
            </w:r>
          </w:p>
          <w:p w14:paraId="2E961818" w14:textId="77777777" w:rsidR="00656431" w:rsidRDefault="00656431">
            <w:pPr>
              <w:jc w:val="center"/>
              <w:rPr>
                <w:rFonts w:asciiTheme="minorEastAsia" w:hAnsiTheme="minorEastAsia"/>
                <w:bCs/>
                <w:sz w:val="28"/>
                <w:szCs w:val="28"/>
              </w:rPr>
            </w:pPr>
          </w:p>
        </w:tc>
        <w:tc>
          <w:tcPr>
            <w:tcW w:w="6946" w:type="dxa"/>
            <w:noWrap/>
          </w:tcPr>
          <w:p w14:paraId="7215FDF2" w14:textId="00CDC0AF" w:rsidR="00691239" w:rsidRDefault="00EB7589" w:rsidP="00691239">
            <w:pPr>
              <w:rPr>
                <w:rFonts w:asciiTheme="minorEastAsia" w:hAnsiTheme="minorEastAsia"/>
                <w:b/>
                <w:bCs/>
                <w:sz w:val="28"/>
                <w:szCs w:val="28"/>
              </w:rPr>
            </w:pPr>
            <w:bookmarkStart w:id="0" w:name="_Hlk91083538"/>
            <w:r w:rsidRPr="00EB7589">
              <w:rPr>
                <w:rFonts w:asciiTheme="minorEastAsia" w:hAnsiTheme="minorEastAsia" w:hint="eastAsia"/>
                <w:b/>
                <w:bCs/>
                <w:sz w:val="28"/>
                <w:szCs w:val="28"/>
              </w:rPr>
              <w:t>2023年10月27日</w:t>
            </w:r>
            <w:r>
              <w:rPr>
                <w:rFonts w:asciiTheme="minorEastAsia" w:hAnsiTheme="minorEastAsia" w:hint="eastAsia"/>
                <w:b/>
                <w:bCs/>
                <w:sz w:val="28"/>
                <w:szCs w:val="28"/>
              </w:rPr>
              <w:t xml:space="preserve"> </w:t>
            </w:r>
            <w:r>
              <w:rPr>
                <w:rFonts w:asciiTheme="minorEastAsia" w:hAnsiTheme="minorEastAsia"/>
                <w:b/>
                <w:bCs/>
                <w:sz w:val="28"/>
                <w:szCs w:val="28"/>
              </w:rPr>
              <w:t xml:space="preserve">   </w:t>
            </w:r>
            <w:r>
              <w:rPr>
                <w:rFonts w:asciiTheme="minorEastAsia" w:hAnsiTheme="minorEastAsia" w:hint="eastAsia"/>
                <w:b/>
                <w:bCs/>
                <w:sz w:val="28"/>
                <w:szCs w:val="28"/>
              </w:rPr>
              <w:t>线上会议</w:t>
            </w:r>
          </w:p>
          <w:p w14:paraId="2707FC85" w14:textId="2C9E5BBD" w:rsidR="00796BF8" w:rsidRPr="00105CDC" w:rsidRDefault="00F10EBF" w:rsidP="00796BF8">
            <w:pPr>
              <w:rPr>
                <w:szCs w:val="21"/>
              </w:rPr>
            </w:pPr>
            <w:r w:rsidRPr="00105CDC">
              <w:rPr>
                <w:rFonts w:hint="eastAsia"/>
                <w:szCs w:val="21"/>
              </w:rPr>
              <w:t>大和证券、</w:t>
            </w:r>
            <w:r w:rsidR="00796BF8" w:rsidRPr="00105CDC">
              <w:rPr>
                <w:szCs w:val="21"/>
              </w:rPr>
              <w:t>Jefferies</w:t>
            </w:r>
            <w:r w:rsidR="00796BF8" w:rsidRPr="00105CDC">
              <w:rPr>
                <w:rFonts w:hint="eastAsia"/>
                <w:szCs w:val="21"/>
              </w:rPr>
              <w:t>、高信百诺投资、</w:t>
            </w:r>
            <w:proofErr w:type="gramStart"/>
            <w:r w:rsidR="00796BF8" w:rsidRPr="00105CDC">
              <w:rPr>
                <w:rFonts w:hint="eastAsia"/>
                <w:szCs w:val="21"/>
              </w:rPr>
              <w:t>泽铭投资</w:t>
            </w:r>
            <w:proofErr w:type="gramEnd"/>
            <w:r w:rsidR="00796BF8" w:rsidRPr="00105CDC">
              <w:rPr>
                <w:rFonts w:hint="eastAsia"/>
                <w:szCs w:val="21"/>
              </w:rPr>
              <w:t>、博道基金、财通证券、常春藤资产、淡马锡、东方财富、东方证券、东吴证券、东兴基金、富瑞金融、高盛资管、</w:t>
            </w:r>
            <w:proofErr w:type="gramStart"/>
            <w:r w:rsidR="00796BF8" w:rsidRPr="00105CDC">
              <w:rPr>
                <w:rFonts w:hint="eastAsia"/>
                <w:szCs w:val="21"/>
              </w:rPr>
              <w:t>亘</w:t>
            </w:r>
            <w:proofErr w:type="gramEnd"/>
            <w:r w:rsidR="00796BF8" w:rsidRPr="00105CDC">
              <w:rPr>
                <w:rFonts w:hint="eastAsia"/>
                <w:szCs w:val="21"/>
              </w:rPr>
              <w:t>曦资产、工银理财、广发证券、国海证券、国华兴</w:t>
            </w:r>
            <w:proofErr w:type="gramStart"/>
            <w:r w:rsidR="00796BF8" w:rsidRPr="00105CDC">
              <w:rPr>
                <w:rFonts w:hint="eastAsia"/>
                <w:szCs w:val="21"/>
              </w:rPr>
              <w:t>益保险资</w:t>
            </w:r>
            <w:proofErr w:type="gramEnd"/>
            <w:r w:rsidR="00796BF8" w:rsidRPr="00105CDC">
              <w:rPr>
                <w:rFonts w:hint="eastAsia"/>
                <w:szCs w:val="21"/>
              </w:rPr>
              <w:t>管、国金证券、国泰君安</w:t>
            </w:r>
            <w:r w:rsidR="00DB4DE9" w:rsidRPr="00105CDC">
              <w:rPr>
                <w:rFonts w:hint="eastAsia"/>
                <w:szCs w:val="21"/>
              </w:rPr>
              <w:t>、海通证券、合众资产、</w:t>
            </w:r>
            <w:proofErr w:type="gramStart"/>
            <w:r w:rsidR="00DB4DE9" w:rsidRPr="00105CDC">
              <w:rPr>
                <w:rFonts w:hint="eastAsia"/>
                <w:szCs w:val="21"/>
              </w:rPr>
              <w:t>和谐汇</w:t>
            </w:r>
            <w:proofErr w:type="gramEnd"/>
            <w:r w:rsidR="00DB4DE9" w:rsidRPr="00105CDC">
              <w:rPr>
                <w:rFonts w:hint="eastAsia"/>
                <w:szCs w:val="21"/>
              </w:rPr>
              <w:t>一、弘毅基金、华创证券、华泰证券、华西证券、华夏基金、北信瑞丰、嘉实基金、建信保险、建信理财、民生加银、摩根基金、</w:t>
            </w:r>
            <w:proofErr w:type="gramStart"/>
            <w:r w:rsidR="00DB4DE9" w:rsidRPr="00105CDC">
              <w:rPr>
                <w:rFonts w:hint="eastAsia"/>
                <w:szCs w:val="21"/>
              </w:rPr>
              <w:t>磐</w:t>
            </w:r>
            <w:proofErr w:type="gramEnd"/>
            <w:r w:rsidR="00DB4DE9" w:rsidRPr="00105CDC">
              <w:rPr>
                <w:rFonts w:hint="eastAsia"/>
                <w:szCs w:val="21"/>
              </w:rPr>
              <w:t>厚动量、</w:t>
            </w:r>
            <w:proofErr w:type="gramStart"/>
            <w:r w:rsidR="00DB4DE9" w:rsidRPr="00105CDC">
              <w:rPr>
                <w:rFonts w:hint="eastAsia"/>
                <w:szCs w:val="21"/>
              </w:rPr>
              <w:t>鹏扬基金</w:t>
            </w:r>
            <w:proofErr w:type="gramEnd"/>
            <w:r w:rsidR="00DB4DE9" w:rsidRPr="00105CDC">
              <w:rPr>
                <w:rFonts w:hint="eastAsia"/>
                <w:szCs w:val="21"/>
              </w:rPr>
              <w:t>、平安养老、平安证券、前海开源、乾</w:t>
            </w:r>
            <w:proofErr w:type="gramStart"/>
            <w:r w:rsidR="00DB4DE9" w:rsidRPr="00105CDC">
              <w:rPr>
                <w:rFonts w:hint="eastAsia"/>
                <w:szCs w:val="21"/>
              </w:rPr>
              <w:t>惕</w:t>
            </w:r>
            <w:proofErr w:type="gramEnd"/>
            <w:r w:rsidR="00DB4DE9" w:rsidRPr="00105CDC">
              <w:rPr>
                <w:rFonts w:hint="eastAsia"/>
                <w:szCs w:val="21"/>
              </w:rPr>
              <w:t>投资、清水源投资、瑞银证券、</w:t>
            </w:r>
            <w:proofErr w:type="gramStart"/>
            <w:r w:rsidR="00DB4DE9" w:rsidRPr="00105CDC">
              <w:rPr>
                <w:rFonts w:hint="eastAsia"/>
                <w:szCs w:val="21"/>
              </w:rPr>
              <w:t>睿</w:t>
            </w:r>
            <w:proofErr w:type="gramEnd"/>
            <w:r w:rsidR="00DB4DE9" w:rsidRPr="00105CDC">
              <w:rPr>
                <w:rFonts w:hint="eastAsia"/>
                <w:szCs w:val="21"/>
              </w:rPr>
              <w:t>亿、三井住友、申万宏源、沉毅投资、量度资本、</w:t>
            </w:r>
            <w:r w:rsidR="00AB4436" w:rsidRPr="00105CDC">
              <w:rPr>
                <w:rFonts w:hint="eastAsia"/>
                <w:szCs w:val="21"/>
              </w:rPr>
              <w:t>笙</w:t>
            </w:r>
            <w:proofErr w:type="gramStart"/>
            <w:r w:rsidR="00AB4436" w:rsidRPr="00105CDC">
              <w:rPr>
                <w:rFonts w:hint="eastAsia"/>
                <w:szCs w:val="21"/>
              </w:rPr>
              <w:t>笠</w:t>
            </w:r>
            <w:proofErr w:type="gramEnd"/>
            <w:r w:rsidR="00AB4436" w:rsidRPr="00105CDC">
              <w:rPr>
                <w:rFonts w:hint="eastAsia"/>
                <w:szCs w:val="21"/>
              </w:rPr>
              <w:t>资产、</w:t>
            </w:r>
            <w:proofErr w:type="gramStart"/>
            <w:r w:rsidR="00AB4436" w:rsidRPr="00105CDC">
              <w:rPr>
                <w:rFonts w:hint="eastAsia"/>
                <w:szCs w:val="21"/>
              </w:rPr>
              <w:t>腾讯投资</w:t>
            </w:r>
            <w:proofErr w:type="gramEnd"/>
            <w:r w:rsidR="00AB4436" w:rsidRPr="00105CDC">
              <w:rPr>
                <w:rFonts w:hint="eastAsia"/>
                <w:szCs w:val="21"/>
              </w:rPr>
              <w:t>、天风证券、信达证券、兴全基金、兴业证券、</w:t>
            </w:r>
            <w:proofErr w:type="gramStart"/>
            <w:r w:rsidR="00AB4436" w:rsidRPr="00105CDC">
              <w:rPr>
                <w:rFonts w:hint="eastAsia"/>
                <w:szCs w:val="21"/>
              </w:rPr>
              <w:t>兴证资管</w:t>
            </w:r>
            <w:proofErr w:type="gramEnd"/>
            <w:r w:rsidR="00AB4436" w:rsidRPr="00105CDC">
              <w:rPr>
                <w:rFonts w:hint="eastAsia"/>
                <w:szCs w:val="21"/>
              </w:rPr>
              <w:t>、野村东方资管、银河基金、银河证券、远信投资、长盛基金、招商基金、招商证券、浙江观合资产、</w:t>
            </w:r>
            <w:proofErr w:type="gramStart"/>
            <w:r w:rsidR="00AB4436" w:rsidRPr="00105CDC">
              <w:rPr>
                <w:rFonts w:hint="eastAsia"/>
                <w:szCs w:val="21"/>
              </w:rPr>
              <w:t>浙商证券</w:t>
            </w:r>
            <w:proofErr w:type="gramEnd"/>
            <w:r w:rsidR="00AB4436" w:rsidRPr="00105CDC">
              <w:rPr>
                <w:rFonts w:hint="eastAsia"/>
                <w:szCs w:val="21"/>
              </w:rPr>
              <w:t>、中荷人寿、中欧基金、</w:t>
            </w:r>
            <w:r w:rsidR="001E0F46" w:rsidRPr="00105CDC">
              <w:rPr>
                <w:rFonts w:hint="eastAsia"/>
                <w:szCs w:val="21"/>
              </w:rPr>
              <w:t>中泰证券、中信建投、中信证券、中邮保险、中邮人寿、重阳投资等</w:t>
            </w:r>
            <w:r w:rsidR="001E0F46" w:rsidRPr="00105CDC">
              <w:rPr>
                <w:rFonts w:hint="eastAsia"/>
                <w:szCs w:val="21"/>
              </w:rPr>
              <w:t>1</w:t>
            </w:r>
            <w:r w:rsidR="001E0F46" w:rsidRPr="00105CDC">
              <w:rPr>
                <w:szCs w:val="21"/>
              </w:rPr>
              <w:t>10</w:t>
            </w:r>
            <w:r w:rsidR="005D4B2C" w:rsidRPr="00105CDC">
              <w:rPr>
                <w:rFonts w:hint="eastAsia"/>
                <w:szCs w:val="21"/>
              </w:rPr>
              <w:t>余</w:t>
            </w:r>
            <w:r w:rsidR="001E0F46" w:rsidRPr="00105CDC">
              <w:rPr>
                <w:rFonts w:hint="eastAsia"/>
                <w:szCs w:val="21"/>
              </w:rPr>
              <w:t>家机构和个人。</w:t>
            </w:r>
          </w:p>
          <w:p w14:paraId="6609F78D" w14:textId="020A7438" w:rsidR="00EF6A04" w:rsidRPr="003B099F" w:rsidRDefault="00A64DBE" w:rsidP="00D4474F">
            <w:r>
              <w:t xml:space="preserve">      </w:t>
            </w:r>
            <w:bookmarkEnd w:id="0"/>
            <w:r w:rsidR="00D4474F">
              <w:t xml:space="preserve">                               </w:t>
            </w:r>
            <w:r w:rsidR="00D4474F" w:rsidRPr="00D4474F">
              <w:rPr>
                <w:rFonts w:hint="eastAsia"/>
              </w:rPr>
              <w:t xml:space="preserve">  </w:t>
            </w:r>
          </w:p>
        </w:tc>
      </w:tr>
      <w:tr w:rsidR="00656431" w14:paraId="2017135C" w14:textId="77777777" w:rsidTr="007664DC">
        <w:trPr>
          <w:trHeight w:val="285"/>
        </w:trPr>
        <w:tc>
          <w:tcPr>
            <w:tcW w:w="1696" w:type="dxa"/>
            <w:noWrap/>
            <w:vAlign w:val="center"/>
          </w:tcPr>
          <w:p w14:paraId="6584B4BF"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地点</w:t>
            </w:r>
          </w:p>
        </w:tc>
        <w:tc>
          <w:tcPr>
            <w:tcW w:w="6946" w:type="dxa"/>
            <w:noWrap/>
          </w:tcPr>
          <w:p w14:paraId="2F16FDE5" w14:textId="1B542E21" w:rsidR="00656431" w:rsidRDefault="00B03F31">
            <w:pPr>
              <w:ind w:firstLineChars="200" w:firstLine="560"/>
              <w:rPr>
                <w:rFonts w:asciiTheme="minorEastAsia" w:hAnsiTheme="minorEastAsia"/>
                <w:sz w:val="28"/>
                <w:szCs w:val="28"/>
              </w:rPr>
            </w:pPr>
            <w:r>
              <w:rPr>
                <w:rFonts w:asciiTheme="minorEastAsia" w:hAnsiTheme="minorEastAsia" w:hint="eastAsia"/>
                <w:sz w:val="28"/>
                <w:szCs w:val="28"/>
              </w:rPr>
              <w:t xml:space="preserve">　公司会议室</w:t>
            </w:r>
          </w:p>
        </w:tc>
      </w:tr>
      <w:tr w:rsidR="00656431" w14:paraId="43300DEE" w14:textId="77777777" w:rsidTr="007664DC">
        <w:trPr>
          <w:trHeight w:val="285"/>
        </w:trPr>
        <w:tc>
          <w:tcPr>
            <w:tcW w:w="1696" w:type="dxa"/>
            <w:noWrap/>
            <w:vAlign w:val="center"/>
          </w:tcPr>
          <w:p w14:paraId="304E69BE"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公司接待人员姓名</w:t>
            </w:r>
          </w:p>
        </w:tc>
        <w:tc>
          <w:tcPr>
            <w:tcW w:w="6946" w:type="dxa"/>
            <w:noWrap/>
            <w:vAlign w:val="center"/>
          </w:tcPr>
          <w:p w14:paraId="4B3B7624" w14:textId="4974384C" w:rsidR="00656431" w:rsidRDefault="00B03F31" w:rsidP="00F10EBF">
            <w:pPr>
              <w:rPr>
                <w:rFonts w:asciiTheme="minorEastAsia" w:hAnsiTheme="minorEastAsia"/>
                <w:sz w:val="28"/>
                <w:szCs w:val="28"/>
              </w:rPr>
            </w:pPr>
            <w:r>
              <w:rPr>
                <w:rFonts w:asciiTheme="minorEastAsia" w:hAnsiTheme="minorEastAsia" w:hint="eastAsia"/>
                <w:sz w:val="28"/>
                <w:szCs w:val="28"/>
              </w:rPr>
              <w:t>赵伟（董秘）</w:t>
            </w:r>
            <w:r w:rsidR="00F10EBF">
              <w:rPr>
                <w:rFonts w:asciiTheme="minorEastAsia" w:hAnsiTheme="minorEastAsia" w:hint="eastAsia"/>
                <w:sz w:val="28"/>
                <w:szCs w:val="28"/>
              </w:rPr>
              <w:t>、董凤良（财务总监）、吴晶晶（证代）</w:t>
            </w:r>
          </w:p>
        </w:tc>
      </w:tr>
      <w:tr w:rsidR="00656431" w:rsidRPr="00C80A66" w14:paraId="68D1BEBE" w14:textId="77777777" w:rsidTr="007664DC">
        <w:trPr>
          <w:trHeight w:val="1642"/>
        </w:trPr>
        <w:tc>
          <w:tcPr>
            <w:tcW w:w="1696" w:type="dxa"/>
            <w:noWrap/>
            <w:vAlign w:val="center"/>
          </w:tcPr>
          <w:p w14:paraId="25934EE9"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投资者关系活动主要内容介绍</w:t>
            </w:r>
          </w:p>
        </w:tc>
        <w:tc>
          <w:tcPr>
            <w:tcW w:w="6946" w:type="dxa"/>
            <w:noWrap/>
          </w:tcPr>
          <w:p w14:paraId="65BC6F5B" w14:textId="0A502E8D" w:rsidR="00EB7589" w:rsidRPr="00177F72" w:rsidRDefault="00EB7589" w:rsidP="00936292">
            <w:pPr>
              <w:rPr>
                <w:rFonts w:asciiTheme="minorEastAsia" w:hAnsiTheme="minorEastAsia"/>
                <w:b/>
                <w:bCs/>
                <w:sz w:val="28"/>
                <w:szCs w:val="28"/>
              </w:rPr>
            </w:pPr>
            <w:r w:rsidRPr="00177F72">
              <w:rPr>
                <w:rFonts w:asciiTheme="minorEastAsia" w:hAnsiTheme="minorEastAsia" w:hint="eastAsia"/>
                <w:b/>
                <w:bCs/>
                <w:sz w:val="28"/>
                <w:szCs w:val="28"/>
              </w:rPr>
              <w:t>2023年三季报业绩交流会</w:t>
            </w:r>
          </w:p>
          <w:p w14:paraId="226F6C0B" w14:textId="1B9B6B21" w:rsidR="00EB7589" w:rsidRPr="00177F72" w:rsidRDefault="00534D21" w:rsidP="00D83230">
            <w:pPr>
              <w:pStyle w:val="a8"/>
              <w:numPr>
                <w:ilvl w:val="0"/>
                <w:numId w:val="3"/>
              </w:numPr>
              <w:ind w:firstLineChars="0"/>
              <w:rPr>
                <w:rFonts w:asciiTheme="minorEastAsia" w:hAnsiTheme="minorEastAsia"/>
                <w:sz w:val="28"/>
                <w:szCs w:val="28"/>
              </w:rPr>
            </w:pPr>
            <w:r>
              <w:rPr>
                <w:rFonts w:asciiTheme="minorEastAsia" w:hAnsiTheme="minorEastAsia" w:hint="eastAsia"/>
                <w:sz w:val="28"/>
                <w:szCs w:val="28"/>
              </w:rPr>
              <w:t>公司前</w:t>
            </w:r>
            <w:r w:rsidR="00EB7589" w:rsidRPr="00177F72">
              <w:rPr>
                <w:rFonts w:asciiTheme="minorEastAsia" w:hAnsiTheme="minorEastAsia" w:hint="eastAsia"/>
                <w:sz w:val="28"/>
                <w:szCs w:val="28"/>
              </w:rPr>
              <w:t>三季度整体经营</w:t>
            </w:r>
            <w:r>
              <w:rPr>
                <w:rFonts w:asciiTheme="minorEastAsia" w:hAnsiTheme="minorEastAsia" w:hint="eastAsia"/>
                <w:sz w:val="28"/>
                <w:szCs w:val="28"/>
              </w:rPr>
              <w:t>及</w:t>
            </w:r>
            <w:r w:rsidR="00EB7589" w:rsidRPr="00177F72">
              <w:rPr>
                <w:rFonts w:asciiTheme="minorEastAsia" w:hAnsiTheme="minorEastAsia" w:hint="eastAsia"/>
                <w:sz w:val="28"/>
                <w:szCs w:val="28"/>
              </w:rPr>
              <w:t>财务状况</w:t>
            </w:r>
          </w:p>
          <w:p w14:paraId="43348F95" w14:textId="6457582D" w:rsidR="007E7200" w:rsidRPr="00177F72" w:rsidRDefault="00D83230" w:rsidP="007E7200">
            <w:pPr>
              <w:ind w:firstLineChars="200" w:firstLine="560"/>
              <w:rPr>
                <w:rFonts w:asciiTheme="minorEastAsia" w:hAnsiTheme="minorEastAsia"/>
                <w:sz w:val="28"/>
                <w:szCs w:val="28"/>
              </w:rPr>
            </w:pPr>
            <w:r w:rsidRPr="00177F72">
              <w:rPr>
                <w:rFonts w:asciiTheme="minorEastAsia" w:hAnsiTheme="minorEastAsia" w:hint="eastAsia"/>
                <w:sz w:val="28"/>
                <w:szCs w:val="28"/>
              </w:rPr>
              <w:t>2023年前三季度公司整体经营情况保持稳定并</w:t>
            </w:r>
            <w:r w:rsidR="007E7200" w:rsidRPr="00177F72">
              <w:rPr>
                <w:rFonts w:asciiTheme="minorEastAsia" w:hAnsiTheme="minorEastAsia" w:hint="eastAsia"/>
                <w:sz w:val="28"/>
                <w:szCs w:val="28"/>
              </w:rPr>
              <w:t>持续增长。得益于公司的产品与技术竞争优势增强，</w:t>
            </w:r>
            <w:r w:rsidR="008649FB" w:rsidRPr="00177F72">
              <w:rPr>
                <w:rFonts w:asciiTheme="minorEastAsia" w:hAnsiTheme="minorEastAsia" w:hint="eastAsia"/>
                <w:sz w:val="28"/>
                <w:szCs w:val="28"/>
              </w:rPr>
              <w:t>内部管理效率提升</w:t>
            </w:r>
            <w:r w:rsidR="00310ADD" w:rsidRPr="00310ADD">
              <w:rPr>
                <w:rFonts w:asciiTheme="minorEastAsia" w:hAnsiTheme="minorEastAsia" w:hint="eastAsia"/>
                <w:sz w:val="28"/>
                <w:szCs w:val="28"/>
              </w:rPr>
              <w:t>及股权激励摊销费用减少</w:t>
            </w:r>
            <w:r w:rsidR="008649FB" w:rsidRPr="00177F72">
              <w:rPr>
                <w:rFonts w:asciiTheme="minorEastAsia" w:hAnsiTheme="minorEastAsia" w:hint="eastAsia"/>
                <w:sz w:val="28"/>
                <w:szCs w:val="28"/>
              </w:rPr>
              <w:t>，公司</w:t>
            </w:r>
            <w:r w:rsidR="007E7200" w:rsidRPr="00177F72">
              <w:rPr>
                <w:rFonts w:asciiTheme="minorEastAsia" w:hAnsiTheme="minorEastAsia" w:hint="eastAsia"/>
                <w:sz w:val="28"/>
                <w:szCs w:val="28"/>
              </w:rPr>
              <w:t>2</w:t>
            </w:r>
            <w:r w:rsidR="007E7200" w:rsidRPr="00177F72">
              <w:rPr>
                <w:rFonts w:asciiTheme="minorEastAsia" w:hAnsiTheme="minorEastAsia"/>
                <w:sz w:val="28"/>
                <w:szCs w:val="28"/>
              </w:rPr>
              <w:t>023</w:t>
            </w:r>
            <w:r w:rsidR="007E7200" w:rsidRPr="00177F72">
              <w:rPr>
                <w:rFonts w:asciiTheme="minorEastAsia" w:hAnsiTheme="minorEastAsia" w:hint="eastAsia"/>
                <w:sz w:val="28"/>
                <w:szCs w:val="28"/>
              </w:rPr>
              <w:t>年前</w:t>
            </w:r>
            <w:r w:rsidR="007E7200" w:rsidRPr="00177F72">
              <w:rPr>
                <w:rFonts w:asciiTheme="minorEastAsia" w:hAnsiTheme="minorEastAsia" w:hint="eastAsia"/>
                <w:sz w:val="28"/>
                <w:szCs w:val="28"/>
              </w:rPr>
              <w:lastRenderedPageBreak/>
              <w:t>三季度实现营业收入</w:t>
            </w:r>
            <w:r w:rsidR="007E7200" w:rsidRPr="00177F72">
              <w:rPr>
                <w:rFonts w:asciiTheme="minorEastAsia" w:hAnsiTheme="minorEastAsia"/>
                <w:sz w:val="28"/>
                <w:szCs w:val="28"/>
              </w:rPr>
              <w:t>4.57</w:t>
            </w:r>
            <w:r w:rsidR="007E7200" w:rsidRPr="00177F72">
              <w:rPr>
                <w:rFonts w:asciiTheme="minorEastAsia" w:hAnsiTheme="minorEastAsia" w:hint="eastAsia"/>
                <w:sz w:val="28"/>
                <w:szCs w:val="28"/>
              </w:rPr>
              <w:t>亿元，较去年同期增长1</w:t>
            </w:r>
            <w:r w:rsidR="007E7200" w:rsidRPr="00177F72">
              <w:rPr>
                <w:rFonts w:asciiTheme="minorEastAsia" w:hAnsiTheme="minorEastAsia"/>
                <w:sz w:val="28"/>
                <w:szCs w:val="28"/>
              </w:rPr>
              <w:t>7.76</w:t>
            </w:r>
            <w:r w:rsidR="007E7200" w:rsidRPr="00177F72">
              <w:rPr>
                <w:rFonts w:asciiTheme="minorEastAsia" w:hAnsiTheme="minorEastAsia" w:hint="eastAsia"/>
                <w:sz w:val="28"/>
                <w:szCs w:val="28"/>
              </w:rPr>
              <w:t>%；实现归属于上市公司股东的净利润1</w:t>
            </w:r>
            <w:r w:rsidR="007E7200" w:rsidRPr="00177F72">
              <w:rPr>
                <w:rFonts w:asciiTheme="minorEastAsia" w:hAnsiTheme="minorEastAsia"/>
                <w:sz w:val="28"/>
                <w:szCs w:val="28"/>
              </w:rPr>
              <w:t>.2</w:t>
            </w:r>
            <w:r w:rsidR="007E7200" w:rsidRPr="00177F72">
              <w:rPr>
                <w:rFonts w:asciiTheme="minorEastAsia" w:hAnsiTheme="minorEastAsia" w:hint="eastAsia"/>
                <w:sz w:val="28"/>
                <w:szCs w:val="28"/>
              </w:rPr>
              <w:t>亿元，较去年同期增长</w:t>
            </w:r>
            <w:r w:rsidR="007E7200" w:rsidRPr="00177F72">
              <w:rPr>
                <w:rFonts w:asciiTheme="minorEastAsia" w:hAnsiTheme="minorEastAsia"/>
                <w:sz w:val="28"/>
                <w:szCs w:val="28"/>
              </w:rPr>
              <w:t>63.31</w:t>
            </w:r>
            <w:r w:rsidR="007E7200" w:rsidRPr="00177F72">
              <w:rPr>
                <w:rFonts w:asciiTheme="minorEastAsia" w:hAnsiTheme="minorEastAsia" w:hint="eastAsia"/>
                <w:sz w:val="28"/>
                <w:szCs w:val="28"/>
              </w:rPr>
              <w:t>%</w:t>
            </w:r>
            <w:r w:rsidR="008649FB" w:rsidRPr="00177F72">
              <w:rPr>
                <w:rFonts w:asciiTheme="minorEastAsia" w:hAnsiTheme="minorEastAsia" w:hint="eastAsia"/>
                <w:sz w:val="28"/>
                <w:szCs w:val="28"/>
              </w:rPr>
              <w:t>；实现归属于上市公司股东的扣除非经常性损益的净利润1</w:t>
            </w:r>
            <w:r w:rsidR="008649FB" w:rsidRPr="00177F72">
              <w:rPr>
                <w:rFonts w:asciiTheme="minorEastAsia" w:hAnsiTheme="minorEastAsia"/>
                <w:sz w:val="28"/>
                <w:szCs w:val="28"/>
              </w:rPr>
              <w:t>.07</w:t>
            </w:r>
            <w:r w:rsidR="008649FB" w:rsidRPr="00177F72">
              <w:rPr>
                <w:rFonts w:asciiTheme="minorEastAsia" w:hAnsiTheme="minorEastAsia" w:hint="eastAsia"/>
                <w:sz w:val="28"/>
                <w:szCs w:val="28"/>
              </w:rPr>
              <w:t>亿元，较去年同期增长</w:t>
            </w:r>
            <w:r w:rsidR="008649FB" w:rsidRPr="00177F72">
              <w:rPr>
                <w:rFonts w:asciiTheme="minorEastAsia" w:hAnsiTheme="minorEastAsia"/>
                <w:sz w:val="28"/>
                <w:szCs w:val="28"/>
              </w:rPr>
              <w:t>61.29</w:t>
            </w:r>
            <w:r w:rsidR="008649FB" w:rsidRPr="00177F72">
              <w:rPr>
                <w:rFonts w:asciiTheme="minorEastAsia" w:hAnsiTheme="minorEastAsia" w:hint="eastAsia"/>
                <w:sz w:val="28"/>
                <w:szCs w:val="28"/>
              </w:rPr>
              <w:t>%。</w:t>
            </w:r>
          </w:p>
          <w:p w14:paraId="47625D57" w14:textId="2AD3323A" w:rsidR="00936292" w:rsidRPr="00177F72" w:rsidRDefault="008649FB" w:rsidP="008649FB">
            <w:pPr>
              <w:rPr>
                <w:rFonts w:asciiTheme="minorEastAsia" w:hAnsiTheme="minorEastAsia"/>
                <w:sz w:val="28"/>
                <w:szCs w:val="28"/>
              </w:rPr>
            </w:pPr>
            <w:r w:rsidRPr="00177F72">
              <w:rPr>
                <w:rFonts w:asciiTheme="minorEastAsia" w:hAnsiTheme="minorEastAsia" w:hint="eastAsia"/>
                <w:sz w:val="28"/>
                <w:szCs w:val="28"/>
              </w:rPr>
              <w:t>二、</w:t>
            </w:r>
            <w:r w:rsidR="00D83230" w:rsidRPr="00177F72">
              <w:rPr>
                <w:rFonts w:asciiTheme="minorEastAsia" w:hAnsiTheme="minorEastAsia" w:hint="eastAsia"/>
                <w:sz w:val="28"/>
                <w:szCs w:val="28"/>
              </w:rPr>
              <w:t>互动交流</w:t>
            </w:r>
          </w:p>
          <w:p w14:paraId="23A39B23" w14:textId="3B19EDF3" w:rsidR="00936292" w:rsidRPr="00177F72" w:rsidRDefault="00177F72" w:rsidP="00936292">
            <w:pPr>
              <w:rPr>
                <w:rFonts w:asciiTheme="minorEastAsia" w:hAnsiTheme="minorEastAsia"/>
                <w:sz w:val="28"/>
                <w:szCs w:val="28"/>
              </w:rPr>
            </w:pPr>
            <w:r w:rsidRPr="00177F72">
              <w:rPr>
                <w:rFonts w:asciiTheme="minorEastAsia" w:hAnsiTheme="minorEastAsia"/>
                <w:sz w:val="28"/>
                <w:szCs w:val="28"/>
              </w:rPr>
              <w:t>1</w:t>
            </w:r>
            <w:r w:rsidRPr="00177F72">
              <w:rPr>
                <w:rFonts w:asciiTheme="minorEastAsia" w:hAnsiTheme="minorEastAsia" w:hint="eastAsia"/>
                <w:sz w:val="28"/>
                <w:szCs w:val="28"/>
              </w:rPr>
              <w:t>、</w:t>
            </w:r>
            <w:r w:rsidR="00936292" w:rsidRPr="00177F72">
              <w:rPr>
                <w:rFonts w:asciiTheme="minorEastAsia" w:hAnsiTheme="minorEastAsia" w:hint="eastAsia"/>
                <w:sz w:val="28"/>
                <w:szCs w:val="28"/>
              </w:rPr>
              <w:t>公司新交易体系的A</w:t>
            </w:r>
            <w:r w:rsidR="00936292" w:rsidRPr="00177F72">
              <w:rPr>
                <w:rFonts w:asciiTheme="minorEastAsia" w:hAnsiTheme="minorEastAsia"/>
                <w:sz w:val="28"/>
                <w:szCs w:val="28"/>
              </w:rPr>
              <w:t>5</w:t>
            </w:r>
            <w:proofErr w:type="gramStart"/>
            <w:r w:rsidR="00936292" w:rsidRPr="00177F72">
              <w:rPr>
                <w:rFonts w:asciiTheme="minorEastAsia" w:hAnsiTheme="minorEastAsia" w:hint="eastAsia"/>
                <w:sz w:val="28"/>
                <w:szCs w:val="28"/>
              </w:rPr>
              <w:t>信创版</w:t>
            </w:r>
            <w:proofErr w:type="gramEnd"/>
            <w:r w:rsidR="00936292" w:rsidRPr="00177F72">
              <w:rPr>
                <w:rFonts w:asciiTheme="minorEastAsia" w:hAnsiTheme="minorEastAsia" w:hint="eastAsia"/>
                <w:sz w:val="28"/>
                <w:szCs w:val="28"/>
              </w:rPr>
              <w:t>情况如何</w:t>
            </w:r>
            <w:r w:rsidR="00936292" w:rsidRPr="00177F72">
              <w:rPr>
                <w:rFonts w:asciiTheme="minorEastAsia" w:hAnsiTheme="minorEastAsia"/>
                <w:sz w:val="28"/>
                <w:szCs w:val="28"/>
              </w:rPr>
              <w:t xml:space="preserve">？ </w:t>
            </w:r>
          </w:p>
          <w:p w14:paraId="568360F6" w14:textId="1C9D1CDC" w:rsidR="00936292" w:rsidRPr="00177F72" w:rsidRDefault="00936292" w:rsidP="00A96C37">
            <w:pPr>
              <w:widowControl/>
              <w:ind w:firstLineChars="200" w:firstLine="560"/>
              <w:rPr>
                <w:rFonts w:asciiTheme="minorEastAsia" w:hAnsiTheme="minorEastAsia"/>
                <w:sz w:val="28"/>
                <w:szCs w:val="28"/>
              </w:rPr>
            </w:pPr>
            <w:r w:rsidRPr="00177F72">
              <w:rPr>
                <w:rFonts w:asciiTheme="minorEastAsia" w:hAnsiTheme="minorEastAsia"/>
                <w:sz w:val="28"/>
                <w:szCs w:val="28"/>
              </w:rPr>
              <w:t>回复：目前，顶点软件新交易体系A5</w:t>
            </w:r>
            <w:proofErr w:type="gramStart"/>
            <w:r w:rsidRPr="00177F72">
              <w:rPr>
                <w:rFonts w:asciiTheme="minorEastAsia" w:hAnsiTheme="minorEastAsia"/>
                <w:sz w:val="28"/>
                <w:szCs w:val="28"/>
              </w:rPr>
              <w:t>几</w:t>
            </w:r>
            <w:proofErr w:type="gramEnd"/>
            <w:r w:rsidRPr="00177F72">
              <w:rPr>
                <w:rFonts w:asciiTheme="minorEastAsia" w:hAnsiTheme="minorEastAsia"/>
                <w:sz w:val="28"/>
                <w:szCs w:val="28"/>
              </w:rPr>
              <w:t>大项目正在全面实施中。除了东吴证券、东海证券已经完成A5</w:t>
            </w:r>
            <w:proofErr w:type="gramStart"/>
            <w:r w:rsidRPr="00177F72">
              <w:rPr>
                <w:rFonts w:asciiTheme="minorEastAsia" w:hAnsiTheme="minorEastAsia"/>
                <w:sz w:val="28"/>
                <w:szCs w:val="28"/>
              </w:rPr>
              <w:t>信创版</w:t>
            </w:r>
            <w:proofErr w:type="gramEnd"/>
            <w:r w:rsidRPr="00177F72">
              <w:rPr>
                <w:rFonts w:asciiTheme="minorEastAsia" w:hAnsiTheme="minorEastAsia"/>
                <w:sz w:val="28"/>
                <w:szCs w:val="28"/>
              </w:rPr>
              <w:t>的全面上线，华宝证券、华鑫证券</w:t>
            </w:r>
            <w:r w:rsidRPr="00177F72">
              <w:rPr>
                <w:rFonts w:asciiTheme="minorEastAsia" w:hAnsiTheme="minorEastAsia" w:hint="eastAsia"/>
                <w:sz w:val="28"/>
                <w:szCs w:val="28"/>
              </w:rPr>
              <w:t>等3家券商</w:t>
            </w:r>
            <w:r w:rsidRPr="00177F72">
              <w:rPr>
                <w:rFonts w:asciiTheme="minorEastAsia" w:hAnsiTheme="minorEastAsia"/>
                <w:sz w:val="28"/>
                <w:szCs w:val="28"/>
              </w:rPr>
              <w:t>也在切换过程中。</w:t>
            </w:r>
            <w:r w:rsidR="004D29DE" w:rsidRPr="00177F72">
              <w:rPr>
                <w:rFonts w:asciiTheme="minorEastAsia" w:hAnsiTheme="minorEastAsia" w:hint="eastAsia"/>
                <w:sz w:val="28"/>
                <w:szCs w:val="28"/>
              </w:rPr>
              <w:t>下半年</w:t>
            </w:r>
            <w:r w:rsidRPr="00177F72">
              <w:rPr>
                <w:rFonts w:asciiTheme="minorEastAsia" w:hAnsiTheme="minorEastAsia"/>
                <w:sz w:val="28"/>
                <w:szCs w:val="28"/>
              </w:rPr>
              <w:t>还会有数家券商上线。</w:t>
            </w:r>
          </w:p>
          <w:p w14:paraId="092B8FA4" w14:textId="73D0BE85" w:rsidR="00936292" w:rsidRPr="00177F72" w:rsidRDefault="00936292" w:rsidP="00936292">
            <w:pPr>
              <w:adjustRightInd w:val="0"/>
              <w:snapToGrid w:val="0"/>
              <w:spacing w:beforeLines="50" w:before="156" w:afterLines="50" w:after="156" w:line="360" w:lineRule="auto"/>
              <w:ind w:firstLineChars="200" w:firstLine="560"/>
              <w:rPr>
                <w:rFonts w:asciiTheme="minorEastAsia" w:hAnsiTheme="minorEastAsia"/>
                <w:sz w:val="28"/>
                <w:szCs w:val="28"/>
              </w:rPr>
            </w:pPr>
            <w:r w:rsidRPr="00177F72">
              <w:rPr>
                <w:rFonts w:asciiTheme="minorEastAsia" w:hAnsiTheme="minorEastAsia"/>
                <w:sz w:val="28"/>
                <w:szCs w:val="28"/>
              </w:rPr>
              <w:t>A5</w:t>
            </w:r>
            <w:proofErr w:type="gramStart"/>
            <w:r w:rsidRPr="00177F72">
              <w:rPr>
                <w:rFonts w:asciiTheme="minorEastAsia" w:hAnsiTheme="minorEastAsia"/>
                <w:sz w:val="28"/>
                <w:szCs w:val="28"/>
              </w:rPr>
              <w:t>信创版</w:t>
            </w:r>
            <w:proofErr w:type="gramEnd"/>
            <w:r w:rsidRPr="00177F72">
              <w:rPr>
                <w:rFonts w:asciiTheme="minorEastAsia" w:hAnsiTheme="minorEastAsia"/>
                <w:sz w:val="28"/>
                <w:szCs w:val="28"/>
              </w:rPr>
              <w:t>确立了公司在新一代</w:t>
            </w:r>
            <w:r w:rsidRPr="00177F72">
              <w:rPr>
                <w:rFonts w:asciiTheme="minorEastAsia" w:hAnsiTheme="minorEastAsia" w:hint="eastAsia"/>
                <w:sz w:val="28"/>
                <w:szCs w:val="28"/>
              </w:rPr>
              <w:t>的分布式</w:t>
            </w:r>
            <w:r w:rsidRPr="00177F72">
              <w:rPr>
                <w:rFonts w:asciiTheme="minorEastAsia" w:hAnsiTheme="minorEastAsia"/>
                <w:sz w:val="28"/>
                <w:szCs w:val="28"/>
              </w:rPr>
              <w:t>核心交易系统中的先锋领导地位</w:t>
            </w:r>
            <w:r w:rsidRPr="00177F72">
              <w:rPr>
                <w:rFonts w:asciiTheme="minorEastAsia" w:hAnsiTheme="minorEastAsia" w:hint="eastAsia"/>
                <w:sz w:val="28"/>
                <w:szCs w:val="28"/>
              </w:rPr>
              <w:t>。</w:t>
            </w:r>
            <w:r w:rsidRPr="00177F72">
              <w:rPr>
                <w:rFonts w:asciiTheme="minorEastAsia" w:hAnsiTheme="minorEastAsia"/>
                <w:sz w:val="28"/>
                <w:szCs w:val="28"/>
              </w:rPr>
              <w:t>除了交易领域之外，在机构服务、财富管理、资管、投行等领域，</w:t>
            </w:r>
            <w:proofErr w:type="gramStart"/>
            <w:r w:rsidRPr="00177F72">
              <w:rPr>
                <w:rFonts w:asciiTheme="minorEastAsia" w:hAnsiTheme="minorEastAsia"/>
                <w:sz w:val="28"/>
                <w:szCs w:val="28"/>
              </w:rPr>
              <w:t>信创化</w:t>
            </w:r>
            <w:proofErr w:type="gramEnd"/>
            <w:r w:rsidRPr="00177F72">
              <w:rPr>
                <w:rFonts w:asciiTheme="minorEastAsia" w:hAnsiTheme="minorEastAsia"/>
                <w:sz w:val="28"/>
                <w:szCs w:val="28"/>
              </w:rPr>
              <w:t>的方案</w:t>
            </w:r>
            <w:r w:rsidR="00C3530F" w:rsidRPr="00177F72">
              <w:rPr>
                <w:rFonts w:asciiTheme="minorEastAsia" w:hAnsiTheme="minorEastAsia" w:hint="eastAsia"/>
                <w:sz w:val="28"/>
                <w:szCs w:val="28"/>
              </w:rPr>
              <w:t>也都有落地</w:t>
            </w:r>
            <w:r w:rsidRPr="00177F72">
              <w:rPr>
                <w:rFonts w:asciiTheme="minorEastAsia" w:hAnsiTheme="minorEastAsia" w:hint="eastAsia"/>
                <w:sz w:val="28"/>
                <w:szCs w:val="28"/>
              </w:rPr>
              <w:t>。</w:t>
            </w:r>
          </w:p>
          <w:p w14:paraId="67324AFC" w14:textId="77777777" w:rsidR="00936292" w:rsidRPr="00177F72" w:rsidRDefault="00936292" w:rsidP="003876E4">
            <w:pPr>
              <w:adjustRightInd w:val="0"/>
              <w:snapToGrid w:val="0"/>
              <w:spacing w:beforeLines="50" w:before="156" w:afterLines="50" w:after="156" w:line="360" w:lineRule="auto"/>
              <w:rPr>
                <w:rFonts w:asciiTheme="minorEastAsia" w:hAnsiTheme="minorEastAsia"/>
                <w:sz w:val="28"/>
                <w:szCs w:val="28"/>
              </w:rPr>
            </w:pPr>
          </w:p>
          <w:p w14:paraId="4BD1415E" w14:textId="2C03E6D2" w:rsidR="00590391" w:rsidRPr="00177F72" w:rsidRDefault="00177F72" w:rsidP="00BC7FF5">
            <w:pPr>
              <w:adjustRightInd w:val="0"/>
              <w:snapToGrid w:val="0"/>
              <w:spacing w:beforeLines="50" w:before="156" w:afterLines="50" w:after="156" w:line="360" w:lineRule="auto"/>
              <w:rPr>
                <w:rFonts w:asciiTheme="minorEastAsia" w:hAnsiTheme="minorEastAsia"/>
                <w:color w:val="000000" w:themeColor="text1"/>
                <w:sz w:val="28"/>
                <w:szCs w:val="28"/>
              </w:rPr>
            </w:pPr>
            <w:r w:rsidRPr="00177F72">
              <w:rPr>
                <w:rFonts w:asciiTheme="minorEastAsia" w:hAnsiTheme="minorEastAsia"/>
                <w:sz w:val="28"/>
                <w:szCs w:val="28"/>
              </w:rPr>
              <w:t>2</w:t>
            </w:r>
            <w:r w:rsidR="00936292" w:rsidRPr="00177F72">
              <w:rPr>
                <w:rFonts w:asciiTheme="minorEastAsia" w:hAnsiTheme="minorEastAsia" w:hint="eastAsia"/>
                <w:sz w:val="28"/>
                <w:szCs w:val="28"/>
              </w:rPr>
              <w:t>、</w:t>
            </w:r>
            <w:r w:rsidR="00BC7FF5" w:rsidRPr="00177F72">
              <w:rPr>
                <w:rFonts w:asciiTheme="minorEastAsia" w:hAnsiTheme="minorEastAsia" w:hint="eastAsia"/>
                <w:color w:val="000000" w:themeColor="text1"/>
                <w:sz w:val="28"/>
                <w:szCs w:val="28"/>
              </w:rPr>
              <w:t>2</w:t>
            </w:r>
            <w:r w:rsidR="00BC7FF5" w:rsidRPr="00177F72">
              <w:rPr>
                <w:rFonts w:asciiTheme="minorEastAsia" w:hAnsiTheme="minorEastAsia"/>
                <w:color w:val="000000" w:themeColor="text1"/>
                <w:sz w:val="28"/>
                <w:szCs w:val="28"/>
              </w:rPr>
              <w:t>023</w:t>
            </w:r>
            <w:r w:rsidR="00BC7FF5" w:rsidRPr="00177F72">
              <w:rPr>
                <w:rFonts w:asciiTheme="minorEastAsia" w:hAnsiTheme="minorEastAsia" w:hint="eastAsia"/>
                <w:color w:val="000000" w:themeColor="text1"/>
                <w:sz w:val="28"/>
                <w:szCs w:val="28"/>
              </w:rPr>
              <w:t>年</w:t>
            </w:r>
            <w:r w:rsidR="00590391" w:rsidRPr="00177F72">
              <w:rPr>
                <w:rFonts w:asciiTheme="minorEastAsia" w:hAnsiTheme="minorEastAsia" w:hint="eastAsia"/>
                <w:color w:val="000000" w:themeColor="text1"/>
                <w:sz w:val="28"/>
                <w:szCs w:val="28"/>
              </w:rPr>
              <w:t>6月9日，</w:t>
            </w:r>
            <w:r w:rsidR="004D29DE" w:rsidRPr="00177F72">
              <w:rPr>
                <w:rFonts w:asciiTheme="minorEastAsia" w:hAnsiTheme="minorEastAsia"/>
                <w:color w:val="000000" w:themeColor="text1"/>
                <w:sz w:val="28"/>
                <w:szCs w:val="28"/>
              </w:rPr>
              <w:t>中国证券业协会</w:t>
            </w:r>
            <w:r w:rsidR="00590391" w:rsidRPr="00177F72">
              <w:rPr>
                <w:rFonts w:asciiTheme="minorEastAsia" w:hAnsiTheme="minorEastAsia" w:hint="eastAsia"/>
                <w:color w:val="000000" w:themeColor="text1"/>
                <w:sz w:val="28"/>
                <w:szCs w:val="28"/>
              </w:rPr>
              <w:t>发布了</w:t>
            </w:r>
            <w:r w:rsidR="00936292" w:rsidRPr="00177F72">
              <w:rPr>
                <w:rFonts w:asciiTheme="minorEastAsia" w:hAnsiTheme="minorEastAsia" w:hint="eastAsia"/>
                <w:color w:val="000000" w:themeColor="text1"/>
                <w:sz w:val="28"/>
                <w:szCs w:val="28"/>
              </w:rPr>
              <w:t>《</w:t>
            </w:r>
            <w:r w:rsidR="00590391" w:rsidRPr="00177F72">
              <w:rPr>
                <w:rFonts w:asciiTheme="minorEastAsia" w:hAnsiTheme="minorEastAsia" w:hint="eastAsia"/>
                <w:color w:val="000000" w:themeColor="text1"/>
                <w:sz w:val="28"/>
                <w:szCs w:val="28"/>
              </w:rPr>
              <w:t>证券公司</w:t>
            </w:r>
            <w:r w:rsidR="00936292" w:rsidRPr="00177F72">
              <w:rPr>
                <w:rFonts w:asciiTheme="minorEastAsia" w:hAnsiTheme="minorEastAsia" w:hint="eastAsia"/>
                <w:color w:val="000000" w:themeColor="text1"/>
                <w:sz w:val="28"/>
                <w:szCs w:val="28"/>
              </w:rPr>
              <w:t>网络和信息安全三年提升计划(2023-2025)》</w:t>
            </w:r>
            <w:r w:rsidR="00590391" w:rsidRPr="00177F72">
              <w:rPr>
                <w:rFonts w:asciiTheme="minorEastAsia" w:hAnsiTheme="minorEastAsia" w:hint="eastAsia"/>
                <w:color w:val="000000" w:themeColor="text1"/>
                <w:sz w:val="28"/>
                <w:szCs w:val="28"/>
              </w:rPr>
              <w:t>，</w:t>
            </w:r>
            <w:r w:rsidR="00BC7FF5" w:rsidRPr="00177F72">
              <w:rPr>
                <w:rFonts w:asciiTheme="minorEastAsia" w:hAnsiTheme="minorEastAsia" w:hint="eastAsia"/>
                <w:color w:val="000000" w:themeColor="text1"/>
                <w:sz w:val="28"/>
                <w:szCs w:val="28"/>
              </w:rPr>
              <w:t>对券商</w:t>
            </w:r>
            <w:r w:rsidR="00936292" w:rsidRPr="00177F72">
              <w:rPr>
                <w:rFonts w:asciiTheme="minorEastAsia" w:hAnsiTheme="minorEastAsia" w:hint="eastAsia"/>
                <w:color w:val="000000" w:themeColor="text1"/>
                <w:sz w:val="28"/>
                <w:szCs w:val="28"/>
              </w:rPr>
              <w:t>IT</w:t>
            </w:r>
            <w:r w:rsidR="00BC7FF5" w:rsidRPr="00177F72">
              <w:rPr>
                <w:rFonts w:asciiTheme="minorEastAsia" w:hAnsiTheme="minorEastAsia" w:hint="eastAsia"/>
                <w:color w:val="000000" w:themeColor="text1"/>
                <w:sz w:val="28"/>
                <w:szCs w:val="28"/>
              </w:rPr>
              <w:t>支出</w:t>
            </w:r>
            <w:r w:rsidR="00936292" w:rsidRPr="00177F72">
              <w:rPr>
                <w:rFonts w:asciiTheme="minorEastAsia" w:hAnsiTheme="minorEastAsia" w:hint="eastAsia"/>
                <w:color w:val="000000" w:themeColor="text1"/>
                <w:sz w:val="28"/>
                <w:szCs w:val="28"/>
              </w:rPr>
              <w:t>和券商核心系统有何影响和要求？</w:t>
            </w:r>
            <w:r w:rsidR="003C7BEB" w:rsidRPr="00177F72">
              <w:rPr>
                <w:rFonts w:asciiTheme="minorEastAsia" w:hAnsiTheme="minorEastAsia"/>
                <w:color w:val="000000" w:themeColor="text1"/>
                <w:sz w:val="28"/>
                <w:szCs w:val="28"/>
              </w:rPr>
              <w:t>2023年7月28日，证监会发布</w:t>
            </w:r>
            <w:r w:rsidR="003C7BEB" w:rsidRPr="00177F72">
              <w:rPr>
                <w:rFonts w:asciiTheme="minorEastAsia" w:hAnsiTheme="minorEastAsia" w:hint="eastAsia"/>
                <w:color w:val="000000" w:themeColor="text1"/>
                <w:sz w:val="28"/>
                <w:szCs w:val="28"/>
              </w:rPr>
              <w:t>的</w:t>
            </w:r>
            <w:r w:rsidR="003C7BEB" w:rsidRPr="00177F72">
              <w:rPr>
                <w:rFonts w:asciiTheme="minorEastAsia" w:hAnsiTheme="minorEastAsia"/>
                <w:color w:val="000000" w:themeColor="text1"/>
                <w:sz w:val="28"/>
                <w:szCs w:val="28"/>
              </w:rPr>
              <w:t>《证券公司核心交易系统技术指标》</w:t>
            </w:r>
            <w:r w:rsidR="003C7BEB" w:rsidRPr="00177F72">
              <w:rPr>
                <w:rFonts w:asciiTheme="minorEastAsia" w:hAnsiTheme="minorEastAsia" w:hint="eastAsia"/>
                <w:color w:val="000000" w:themeColor="text1"/>
                <w:sz w:val="28"/>
                <w:szCs w:val="28"/>
              </w:rPr>
              <w:t>对行业有什么影响？</w:t>
            </w:r>
          </w:p>
          <w:p w14:paraId="1D3F083B" w14:textId="77777777" w:rsidR="003C7BEB" w:rsidRPr="00177F72" w:rsidRDefault="00A96C37" w:rsidP="003C7BEB">
            <w:pPr>
              <w:adjustRightInd w:val="0"/>
              <w:snapToGrid w:val="0"/>
              <w:spacing w:beforeLines="50" w:before="156" w:afterLines="50" w:after="156" w:line="360" w:lineRule="auto"/>
              <w:ind w:firstLineChars="200" w:firstLine="560"/>
              <w:rPr>
                <w:rFonts w:asciiTheme="minorEastAsia" w:hAnsiTheme="minorEastAsia"/>
                <w:sz w:val="28"/>
                <w:szCs w:val="28"/>
              </w:rPr>
            </w:pPr>
            <w:r w:rsidRPr="00177F72">
              <w:rPr>
                <w:rFonts w:asciiTheme="minorEastAsia" w:hAnsiTheme="minorEastAsia" w:hint="eastAsia"/>
                <w:color w:val="000000" w:themeColor="text1"/>
                <w:sz w:val="28"/>
                <w:szCs w:val="28"/>
              </w:rPr>
              <w:t>回复</w:t>
            </w:r>
            <w:r w:rsidR="00936292" w:rsidRPr="00177F72">
              <w:rPr>
                <w:rFonts w:asciiTheme="minorEastAsia" w:hAnsiTheme="minorEastAsia" w:hint="eastAsia"/>
                <w:color w:val="000000" w:themeColor="text1"/>
                <w:sz w:val="28"/>
                <w:szCs w:val="28"/>
              </w:rPr>
              <w:t>：2</w:t>
            </w:r>
            <w:r w:rsidR="00936292" w:rsidRPr="00177F72">
              <w:rPr>
                <w:rFonts w:asciiTheme="minorEastAsia" w:hAnsiTheme="minorEastAsia"/>
                <w:color w:val="000000" w:themeColor="text1"/>
                <w:sz w:val="28"/>
                <w:szCs w:val="28"/>
              </w:rPr>
              <w:t>023</w:t>
            </w:r>
            <w:r w:rsidR="00936292" w:rsidRPr="00177F72">
              <w:rPr>
                <w:rFonts w:asciiTheme="minorEastAsia" w:hAnsiTheme="minorEastAsia" w:hint="eastAsia"/>
                <w:color w:val="000000" w:themeColor="text1"/>
                <w:sz w:val="28"/>
                <w:szCs w:val="28"/>
              </w:rPr>
              <w:t>年</w:t>
            </w:r>
            <w:r w:rsidR="00590391" w:rsidRPr="00177F72">
              <w:rPr>
                <w:rFonts w:asciiTheme="minorEastAsia" w:hAnsiTheme="minorEastAsia" w:hint="eastAsia"/>
                <w:color w:val="000000" w:themeColor="text1"/>
                <w:sz w:val="28"/>
                <w:szCs w:val="28"/>
              </w:rPr>
              <w:t>6</w:t>
            </w:r>
            <w:r w:rsidR="00936292" w:rsidRPr="00177F72">
              <w:rPr>
                <w:rFonts w:asciiTheme="minorEastAsia" w:hAnsiTheme="minorEastAsia" w:hint="eastAsia"/>
                <w:color w:val="000000" w:themeColor="text1"/>
                <w:sz w:val="28"/>
                <w:szCs w:val="28"/>
              </w:rPr>
              <w:t>月</w:t>
            </w:r>
            <w:r w:rsidR="00590391" w:rsidRPr="00177F72">
              <w:rPr>
                <w:rFonts w:asciiTheme="minorEastAsia" w:hAnsiTheme="minorEastAsia" w:hint="eastAsia"/>
                <w:color w:val="000000" w:themeColor="text1"/>
                <w:sz w:val="28"/>
                <w:szCs w:val="28"/>
              </w:rPr>
              <w:t>9</w:t>
            </w:r>
            <w:r w:rsidR="00936292" w:rsidRPr="00177F72">
              <w:rPr>
                <w:rFonts w:asciiTheme="minorEastAsia" w:hAnsiTheme="minorEastAsia" w:hint="eastAsia"/>
                <w:color w:val="000000" w:themeColor="text1"/>
                <w:sz w:val="28"/>
                <w:szCs w:val="28"/>
              </w:rPr>
              <w:t>日，</w:t>
            </w:r>
            <w:r w:rsidR="004D29DE" w:rsidRPr="00177F72">
              <w:rPr>
                <w:rFonts w:ascii="Arial" w:hAnsi="Arial" w:cs="Arial"/>
                <w:color w:val="000000" w:themeColor="text1"/>
                <w:sz w:val="27"/>
                <w:szCs w:val="27"/>
                <w:shd w:val="clear" w:color="auto" w:fill="FFFFFF"/>
              </w:rPr>
              <w:t>中国证券业协会</w:t>
            </w:r>
            <w:r w:rsidR="004D29DE" w:rsidRPr="00177F72">
              <w:rPr>
                <w:rFonts w:ascii="Arial" w:hAnsi="Arial" w:cs="Arial" w:hint="eastAsia"/>
                <w:color w:val="000000" w:themeColor="text1"/>
                <w:sz w:val="27"/>
                <w:szCs w:val="27"/>
                <w:shd w:val="clear" w:color="auto" w:fill="FFFFFF"/>
              </w:rPr>
              <w:t>发布了</w:t>
            </w:r>
            <w:r w:rsidR="00936292" w:rsidRPr="00177F72">
              <w:rPr>
                <w:rFonts w:asciiTheme="minorEastAsia" w:hAnsiTheme="minorEastAsia" w:hint="eastAsia"/>
                <w:color w:val="000000" w:themeColor="text1"/>
                <w:sz w:val="28"/>
                <w:szCs w:val="28"/>
              </w:rPr>
              <w:t>《</w:t>
            </w:r>
            <w:r w:rsidR="00590391" w:rsidRPr="00177F72">
              <w:rPr>
                <w:rFonts w:asciiTheme="minorEastAsia" w:hAnsiTheme="minorEastAsia" w:hint="eastAsia"/>
                <w:color w:val="000000" w:themeColor="text1"/>
                <w:sz w:val="28"/>
                <w:szCs w:val="28"/>
              </w:rPr>
              <w:t>证</w:t>
            </w:r>
            <w:r w:rsidR="00590391" w:rsidRPr="00177F72">
              <w:rPr>
                <w:rFonts w:asciiTheme="minorEastAsia" w:hAnsiTheme="minorEastAsia" w:hint="eastAsia"/>
                <w:color w:val="000000" w:themeColor="text1"/>
                <w:sz w:val="28"/>
                <w:szCs w:val="28"/>
              </w:rPr>
              <w:lastRenderedPageBreak/>
              <w:t>券公司</w:t>
            </w:r>
            <w:r w:rsidR="00936292" w:rsidRPr="00177F72">
              <w:rPr>
                <w:rFonts w:asciiTheme="minorEastAsia" w:hAnsiTheme="minorEastAsia" w:hint="eastAsia"/>
                <w:color w:val="000000" w:themeColor="text1"/>
                <w:sz w:val="28"/>
                <w:szCs w:val="28"/>
              </w:rPr>
              <w:t>网络和信息安全三年提升计划(2023-</w:t>
            </w:r>
            <w:r w:rsidR="00936292" w:rsidRPr="00177F72">
              <w:rPr>
                <w:rFonts w:asciiTheme="minorEastAsia" w:hAnsiTheme="minorEastAsia" w:hint="eastAsia"/>
                <w:sz w:val="28"/>
                <w:szCs w:val="28"/>
              </w:rPr>
              <w:t>2025)》</w:t>
            </w:r>
            <w:r w:rsidR="00590391" w:rsidRPr="00177F72">
              <w:rPr>
                <w:rFonts w:asciiTheme="minorEastAsia" w:hAnsiTheme="minorEastAsia" w:hint="eastAsia"/>
                <w:sz w:val="28"/>
                <w:szCs w:val="28"/>
              </w:rPr>
              <w:t>（以下</w:t>
            </w:r>
            <w:r w:rsidR="00936292" w:rsidRPr="00177F72">
              <w:rPr>
                <w:rFonts w:asciiTheme="minorEastAsia" w:hAnsiTheme="minorEastAsia" w:hint="eastAsia"/>
                <w:sz w:val="28"/>
                <w:szCs w:val="28"/>
              </w:rPr>
              <w:t>称“计划”)。“计划”鼓励</w:t>
            </w:r>
            <w:r w:rsidR="00BC7FF5" w:rsidRPr="00177F72">
              <w:rPr>
                <w:rFonts w:asciiTheme="minorEastAsia" w:hAnsiTheme="minorEastAsia"/>
                <w:sz w:val="28"/>
                <w:szCs w:val="28"/>
              </w:rPr>
              <w:t>有条件的证券公司在2023-2025 三个年度信息科技平均投入金额不少于上述三个年度平均净利润的 10%或平均营业收入的 7%，并保持稳定的资金投入。</w:t>
            </w:r>
            <w:r w:rsidR="00BC7FF5" w:rsidRPr="00177F72">
              <w:rPr>
                <w:rFonts w:asciiTheme="minorEastAsia" w:hAnsiTheme="minorEastAsia" w:hint="eastAsia"/>
                <w:sz w:val="28"/>
                <w:szCs w:val="28"/>
              </w:rPr>
              <w:t>“计划”</w:t>
            </w:r>
            <w:r w:rsidR="00BC7FF5" w:rsidRPr="00177F72">
              <w:rPr>
                <w:rFonts w:asciiTheme="minorEastAsia" w:hAnsiTheme="minorEastAsia"/>
                <w:sz w:val="28"/>
                <w:szCs w:val="28"/>
              </w:rPr>
              <w:t>鼓励有条件的证券公司积极推进新一代核心系统的建设，根据不同客户群开展核心系统技术架构的转型升级工作。新一代核心系统实现交易、账户、清算与运营等功能分离，能够快速响应业务需求，满足未来业务发展需要。积极从集中式专有技术架构向分布式、低时延、开放技术架构转型，具备高可用、高性能、低时延、易扩展及松耦合等特性。</w:t>
            </w:r>
          </w:p>
          <w:p w14:paraId="1CE0720C" w14:textId="77777777" w:rsidR="003C7BEB" w:rsidRPr="00177F72" w:rsidRDefault="003C7BEB" w:rsidP="003C7BEB">
            <w:pPr>
              <w:adjustRightInd w:val="0"/>
              <w:snapToGrid w:val="0"/>
              <w:spacing w:beforeLines="50" w:before="156" w:afterLines="50" w:after="156" w:line="360" w:lineRule="auto"/>
              <w:ind w:firstLineChars="200" w:firstLine="560"/>
              <w:rPr>
                <w:rFonts w:asciiTheme="minorEastAsia" w:hAnsiTheme="minorEastAsia"/>
                <w:sz w:val="28"/>
                <w:szCs w:val="28"/>
              </w:rPr>
            </w:pPr>
            <w:r w:rsidRPr="00177F72">
              <w:rPr>
                <w:rFonts w:asciiTheme="minorEastAsia" w:hAnsiTheme="minorEastAsia"/>
                <w:sz w:val="28"/>
                <w:szCs w:val="28"/>
              </w:rPr>
              <w:t>2023 年7月28日，证监会发布《证券公司核心交易系统技术指标》（下称《技术指标》）, 通过建立证券公司核心交易系统技术指标的行业标准，对证券经营机构交易系统的技术指标进行规范和统一，基于系统的业务场景及技术特性，定义</w:t>
            </w:r>
            <w:proofErr w:type="gramStart"/>
            <w:r w:rsidRPr="00177F72">
              <w:rPr>
                <w:rFonts w:asciiTheme="minorEastAsia" w:hAnsiTheme="minorEastAsia"/>
                <w:sz w:val="28"/>
                <w:szCs w:val="28"/>
              </w:rPr>
              <w:t>细致可</w:t>
            </w:r>
            <w:proofErr w:type="gramEnd"/>
            <w:r w:rsidRPr="00177F72">
              <w:rPr>
                <w:rFonts w:asciiTheme="minorEastAsia" w:hAnsiTheme="minorEastAsia"/>
                <w:sz w:val="28"/>
                <w:szCs w:val="28"/>
              </w:rPr>
              <w:t>执行的度量方案，形成科学的证券交易系统技术指标评估标准。</w:t>
            </w:r>
          </w:p>
          <w:p w14:paraId="70584F78" w14:textId="77777777" w:rsidR="003C7BEB" w:rsidRPr="00177F72" w:rsidRDefault="003C7BEB" w:rsidP="003C7BEB">
            <w:pPr>
              <w:adjustRightInd w:val="0"/>
              <w:snapToGrid w:val="0"/>
              <w:spacing w:beforeLines="50" w:before="156" w:afterLines="50" w:after="156" w:line="360" w:lineRule="auto"/>
              <w:ind w:firstLineChars="200" w:firstLine="560"/>
              <w:rPr>
                <w:rFonts w:asciiTheme="minorEastAsia" w:hAnsiTheme="minorEastAsia"/>
                <w:sz w:val="28"/>
                <w:szCs w:val="28"/>
              </w:rPr>
            </w:pPr>
            <w:r w:rsidRPr="00177F72">
              <w:rPr>
                <w:rFonts w:asciiTheme="minorEastAsia" w:hAnsiTheme="minorEastAsia"/>
                <w:sz w:val="28"/>
                <w:szCs w:val="28"/>
              </w:rPr>
              <w:t>《技术指标》定义证券公司核心交易系统参考架构、明确证券公司核心交易系统技术指标框架。基于证券公司核心交易系统特性、监管要求及实际应用场景等因素</w:t>
            </w:r>
            <w:proofErr w:type="gramStart"/>
            <w:r w:rsidRPr="00177F72">
              <w:rPr>
                <w:rFonts w:asciiTheme="minorEastAsia" w:hAnsiTheme="minorEastAsia"/>
                <w:sz w:val="28"/>
                <w:szCs w:val="28"/>
              </w:rPr>
              <w:t>考量</w:t>
            </w:r>
            <w:proofErr w:type="gramEnd"/>
            <w:r w:rsidRPr="00177F72">
              <w:rPr>
                <w:rFonts w:asciiTheme="minorEastAsia" w:hAnsiTheme="minorEastAsia"/>
                <w:sz w:val="28"/>
                <w:szCs w:val="28"/>
              </w:rPr>
              <w:t>，进行技术指标分类及定义。通过吞吐率（业务并发处理能力）、时延（订单处理速度）和容量（系统能承载的最大业务数量，包括账户容量、证券代码容量、订单容量等）三大指标评价系统性能，此外对系统可靠性、兼容性、可移植性、可维护性、安全性和功能性指标给</w:t>
            </w:r>
            <w:r w:rsidRPr="00177F72">
              <w:rPr>
                <w:rFonts w:asciiTheme="minorEastAsia" w:hAnsiTheme="minorEastAsia"/>
                <w:sz w:val="28"/>
                <w:szCs w:val="28"/>
              </w:rPr>
              <w:lastRenderedPageBreak/>
              <w:t>出定义和评价方法。</w:t>
            </w:r>
          </w:p>
          <w:p w14:paraId="6437941E" w14:textId="4964018E" w:rsidR="003C7BEB" w:rsidRPr="00177F72" w:rsidRDefault="003C7BEB" w:rsidP="003876E4">
            <w:pPr>
              <w:adjustRightInd w:val="0"/>
              <w:snapToGrid w:val="0"/>
              <w:spacing w:beforeLines="50" w:before="156" w:afterLines="50" w:after="156" w:line="360" w:lineRule="auto"/>
              <w:ind w:firstLineChars="200" w:firstLine="560"/>
              <w:rPr>
                <w:rFonts w:asciiTheme="minorEastAsia" w:hAnsiTheme="minorEastAsia"/>
                <w:sz w:val="28"/>
                <w:szCs w:val="28"/>
              </w:rPr>
            </w:pPr>
            <w:r w:rsidRPr="00177F72">
              <w:rPr>
                <w:rFonts w:asciiTheme="minorEastAsia" w:hAnsiTheme="minorEastAsia"/>
                <w:sz w:val="28"/>
                <w:szCs w:val="28"/>
              </w:rPr>
              <w:t>《技术指标》的发布明确核心交易系统质量的评价方法，为行业推进技术架构向新一代核心系统的转型升级提供更加细化的方向指引和度量标准，促进行业交易系统的不断完善和发展。</w:t>
            </w:r>
          </w:p>
          <w:p w14:paraId="199D0F62" w14:textId="14D6CA76" w:rsidR="00A66E24" w:rsidRPr="00177F72" w:rsidRDefault="00177F72" w:rsidP="00A236A0">
            <w:pPr>
              <w:pStyle w:val="a9"/>
              <w:spacing w:before="120" w:beforeAutospacing="0" w:after="120" w:afterAutospacing="0"/>
              <w:rPr>
                <w:rFonts w:asciiTheme="minorEastAsia" w:hAnsiTheme="minorEastAsia"/>
                <w:sz w:val="28"/>
                <w:szCs w:val="28"/>
              </w:rPr>
            </w:pPr>
            <w:r w:rsidRPr="00177F72">
              <w:rPr>
                <w:rFonts w:asciiTheme="minorEastAsia" w:hAnsiTheme="minorEastAsia"/>
                <w:sz w:val="28"/>
                <w:szCs w:val="28"/>
              </w:rPr>
              <w:t>3</w:t>
            </w:r>
            <w:r w:rsidR="00A66E24" w:rsidRPr="00177F72">
              <w:rPr>
                <w:rFonts w:asciiTheme="minorEastAsia" w:hAnsiTheme="minorEastAsia" w:hint="eastAsia"/>
                <w:sz w:val="28"/>
                <w:szCs w:val="28"/>
              </w:rPr>
              <w:t>、公司</w:t>
            </w:r>
            <w:r w:rsidR="00D8550F" w:rsidRPr="00177F72">
              <w:rPr>
                <w:rFonts w:asciiTheme="minorEastAsia" w:hAnsiTheme="minorEastAsia" w:hint="eastAsia"/>
                <w:sz w:val="28"/>
                <w:szCs w:val="28"/>
              </w:rPr>
              <w:t>2</w:t>
            </w:r>
            <w:r w:rsidR="00D8550F" w:rsidRPr="00177F72">
              <w:rPr>
                <w:rFonts w:asciiTheme="minorEastAsia" w:hAnsiTheme="minorEastAsia"/>
                <w:sz w:val="28"/>
                <w:szCs w:val="28"/>
              </w:rPr>
              <w:t>023</w:t>
            </w:r>
            <w:r w:rsidR="00D8550F" w:rsidRPr="00177F72">
              <w:rPr>
                <w:rFonts w:asciiTheme="minorEastAsia" w:hAnsiTheme="minorEastAsia" w:hint="eastAsia"/>
                <w:sz w:val="28"/>
                <w:szCs w:val="28"/>
              </w:rPr>
              <w:t>年</w:t>
            </w:r>
            <w:r w:rsidR="0093625B" w:rsidRPr="00177F72">
              <w:rPr>
                <w:rFonts w:asciiTheme="minorEastAsia" w:hAnsiTheme="minorEastAsia" w:hint="eastAsia"/>
                <w:sz w:val="28"/>
                <w:szCs w:val="28"/>
              </w:rPr>
              <w:t>的</w:t>
            </w:r>
            <w:r w:rsidR="00A66E24" w:rsidRPr="00177F72">
              <w:rPr>
                <w:rFonts w:asciiTheme="minorEastAsia" w:hAnsiTheme="minorEastAsia" w:hint="eastAsia"/>
                <w:sz w:val="28"/>
                <w:szCs w:val="28"/>
              </w:rPr>
              <w:t>人员</w:t>
            </w:r>
            <w:r w:rsidR="00D8550F" w:rsidRPr="00177F72">
              <w:rPr>
                <w:rFonts w:asciiTheme="minorEastAsia" w:hAnsiTheme="minorEastAsia" w:hint="eastAsia"/>
                <w:sz w:val="28"/>
                <w:szCs w:val="28"/>
              </w:rPr>
              <w:t>招聘</w:t>
            </w:r>
            <w:r w:rsidR="00A66E24" w:rsidRPr="00177F72">
              <w:rPr>
                <w:rFonts w:asciiTheme="minorEastAsia" w:hAnsiTheme="minorEastAsia" w:hint="eastAsia"/>
                <w:sz w:val="28"/>
                <w:szCs w:val="28"/>
              </w:rPr>
              <w:t>规划？</w:t>
            </w:r>
          </w:p>
          <w:p w14:paraId="3B9BF34E" w14:textId="77BD4F39" w:rsidR="00BC7FF5" w:rsidRPr="00177F72" w:rsidRDefault="00A96C37" w:rsidP="00AB56E9">
            <w:pPr>
              <w:pStyle w:val="a9"/>
              <w:spacing w:before="120" w:beforeAutospacing="0" w:after="120" w:afterAutospacing="0"/>
              <w:ind w:firstLineChars="200" w:firstLine="560"/>
              <w:rPr>
                <w:rFonts w:asciiTheme="minorEastAsia" w:hAnsiTheme="minorEastAsia"/>
                <w:sz w:val="28"/>
                <w:szCs w:val="28"/>
              </w:rPr>
            </w:pPr>
            <w:r w:rsidRPr="00177F72">
              <w:rPr>
                <w:rFonts w:asciiTheme="minorEastAsia" w:hAnsiTheme="minorEastAsia" w:hint="eastAsia"/>
                <w:sz w:val="28"/>
                <w:szCs w:val="28"/>
              </w:rPr>
              <w:t>回复</w:t>
            </w:r>
            <w:r w:rsidR="00A66E24" w:rsidRPr="00177F72">
              <w:rPr>
                <w:rFonts w:asciiTheme="minorEastAsia" w:hAnsiTheme="minorEastAsia" w:hint="eastAsia"/>
                <w:sz w:val="28"/>
                <w:szCs w:val="28"/>
              </w:rPr>
              <w:t>：公司对人员的招聘采取弹性制，重点关注高水平人才的聘用，具体会根据各业务线的发展情况动态扩张。</w:t>
            </w:r>
          </w:p>
        </w:tc>
      </w:tr>
    </w:tbl>
    <w:p w14:paraId="5D3974F3" w14:textId="1554F730" w:rsidR="00656431" w:rsidRPr="00417C3D" w:rsidRDefault="00656431" w:rsidP="00FE0687">
      <w:pPr>
        <w:widowControl/>
        <w:jc w:val="left"/>
      </w:pPr>
    </w:p>
    <w:sectPr w:rsidR="00656431" w:rsidRPr="00417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DC6C" w14:textId="77777777" w:rsidR="00E040BF" w:rsidRDefault="00E040BF" w:rsidP="00FC65CC">
      <w:r>
        <w:separator/>
      </w:r>
    </w:p>
  </w:endnote>
  <w:endnote w:type="continuationSeparator" w:id="0">
    <w:p w14:paraId="44A626C7" w14:textId="77777777" w:rsidR="00E040BF" w:rsidRDefault="00E040BF" w:rsidP="00F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2009" w14:textId="77777777" w:rsidR="00E040BF" w:rsidRDefault="00E040BF" w:rsidP="00FC65CC">
      <w:r>
        <w:separator/>
      </w:r>
    </w:p>
  </w:footnote>
  <w:footnote w:type="continuationSeparator" w:id="0">
    <w:p w14:paraId="12B08466" w14:textId="77777777" w:rsidR="00E040BF" w:rsidRDefault="00E040BF" w:rsidP="00FC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AC0"/>
    <w:multiLevelType w:val="hybridMultilevel"/>
    <w:tmpl w:val="8C74DF70"/>
    <w:lvl w:ilvl="0" w:tplc="4296C2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9B4CFD"/>
    <w:multiLevelType w:val="multilevel"/>
    <w:tmpl w:val="179B4CF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FF607ED"/>
    <w:multiLevelType w:val="hybridMultilevel"/>
    <w:tmpl w:val="D32027E6"/>
    <w:lvl w:ilvl="0" w:tplc="E5E65692">
      <w:start w:val="1"/>
      <w:numFmt w:val="japaneseCounting"/>
      <w:lvlText w:val="%1、"/>
      <w:lvlJc w:val="left"/>
      <w:pPr>
        <w:ind w:left="720" w:hanging="720"/>
      </w:pPr>
      <w:rPr>
        <w:rFonts w:asciiTheme="minorEastAsia" w:eastAsiaTheme="minorEastAsia" w:hAnsiTheme="minorEastAsia" w:cstheme="minorBidi"/>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111775130">
    <w:abstractNumId w:val="1"/>
  </w:num>
  <w:num w:numId="2" w16cid:durableId="567809443">
    <w:abstractNumId w:val="0"/>
  </w:num>
  <w:num w:numId="3" w16cid:durableId="1296594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8"/>
    <w:rsid w:val="000011E3"/>
    <w:rsid w:val="00014642"/>
    <w:rsid w:val="000158E6"/>
    <w:rsid w:val="00015B6C"/>
    <w:rsid w:val="00021E7F"/>
    <w:rsid w:val="00034E1D"/>
    <w:rsid w:val="00036D50"/>
    <w:rsid w:val="00041866"/>
    <w:rsid w:val="00041BC6"/>
    <w:rsid w:val="00050198"/>
    <w:rsid w:val="00066614"/>
    <w:rsid w:val="00070BF1"/>
    <w:rsid w:val="0009493E"/>
    <w:rsid w:val="00096A5E"/>
    <w:rsid w:val="000976B2"/>
    <w:rsid w:val="000C2E67"/>
    <w:rsid w:val="000C3354"/>
    <w:rsid w:val="000C6DA5"/>
    <w:rsid w:val="000E4C0C"/>
    <w:rsid w:val="000E7E0D"/>
    <w:rsid w:val="00105CDC"/>
    <w:rsid w:val="00107CD9"/>
    <w:rsid w:val="00114DEE"/>
    <w:rsid w:val="00117E54"/>
    <w:rsid w:val="001201C9"/>
    <w:rsid w:val="00134DCD"/>
    <w:rsid w:val="00142497"/>
    <w:rsid w:val="00151DF6"/>
    <w:rsid w:val="00166A35"/>
    <w:rsid w:val="00167B0F"/>
    <w:rsid w:val="001709C6"/>
    <w:rsid w:val="001727BA"/>
    <w:rsid w:val="00173003"/>
    <w:rsid w:val="00177F72"/>
    <w:rsid w:val="00186E0D"/>
    <w:rsid w:val="001A3CF8"/>
    <w:rsid w:val="001A64C6"/>
    <w:rsid w:val="001A6FE0"/>
    <w:rsid w:val="001B257F"/>
    <w:rsid w:val="001C3422"/>
    <w:rsid w:val="001C68BE"/>
    <w:rsid w:val="001C7095"/>
    <w:rsid w:val="001D1127"/>
    <w:rsid w:val="001D2844"/>
    <w:rsid w:val="001D31E7"/>
    <w:rsid w:val="001D5E3A"/>
    <w:rsid w:val="001E0F46"/>
    <w:rsid w:val="001E25D3"/>
    <w:rsid w:val="001F0C6F"/>
    <w:rsid w:val="001F6A3E"/>
    <w:rsid w:val="001F7C46"/>
    <w:rsid w:val="001F7F9B"/>
    <w:rsid w:val="00203C43"/>
    <w:rsid w:val="002145C8"/>
    <w:rsid w:val="002171F9"/>
    <w:rsid w:val="00240184"/>
    <w:rsid w:val="00242FAE"/>
    <w:rsid w:val="00245D22"/>
    <w:rsid w:val="00250861"/>
    <w:rsid w:val="0025406B"/>
    <w:rsid w:val="00280B1F"/>
    <w:rsid w:val="00287952"/>
    <w:rsid w:val="002968BA"/>
    <w:rsid w:val="002A35D7"/>
    <w:rsid w:val="002A7D62"/>
    <w:rsid w:val="002C6764"/>
    <w:rsid w:val="002D0E27"/>
    <w:rsid w:val="002D4197"/>
    <w:rsid w:val="002D5760"/>
    <w:rsid w:val="002E186C"/>
    <w:rsid w:val="002F0726"/>
    <w:rsid w:val="002F13CB"/>
    <w:rsid w:val="002F4D81"/>
    <w:rsid w:val="0030426B"/>
    <w:rsid w:val="00310ADD"/>
    <w:rsid w:val="003143C7"/>
    <w:rsid w:val="003148DF"/>
    <w:rsid w:val="003151ED"/>
    <w:rsid w:val="00323352"/>
    <w:rsid w:val="00330F2F"/>
    <w:rsid w:val="00336DC5"/>
    <w:rsid w:val="003537C8"/>
    <w:rsid w:val="0035410E"/>
    <w:rsid w:val="00354E4F"/>
    <w:rsid w:val="003621BD"/>
    <w:rsid w:val="00376E35"/>
    <w:rsid w:val="003819E9"/>
    <w:rsid w:val="00384121"/>
    <w:rsid w:val="003868B7"/>
    <w:rsid w:val="00386B97"/>
    <w:rsid w:val="003870F1"/>
    <w:rsid w:val="003876E4"/>
    <w:rsid w:val="003914AA"/>
    <w:rsid w:val="00396743"/>
    <w:rsid w:val="003B099F"/>
    <w:rsid w:val="003B3F40"/>
    <w:rsid w:val="003B5B08"/>
    <w:rsid w:val="003B75B8"/>
    <w:rsid w:val="003C7BEB"/>
    <w:rsid w:val="003D0FEE"/>
    <w:rsid w:val="003D496E"/>
    <w:rsid w:val="003E7324"/>
    <w:rsid w:val="003F340E"/>
    <w:rsid w:val="003F376B"/>
    <w:rsid w:val="004016E7"/>
    <w:rsid w:val="00406CB0"/>
    <w:rsid w:val="0041005C"/>
    <w:rsid w:val="004102F2"/>
    <w:rsid w:val="00411A8A"/>
    <w:rsid w:val="00417C3D"/>
    <w:rsid w:val="004227D5"/>
    <w:rsid w:val="004250A3"/>
    <w:rsid w:val="004256CD"/>
    <w:rsid w:val="00427385"/>
    <w:rsid w:val="00432273"/>
    <w:rsid w:val="0043651B"/>
    <w:rsid w:val="004372B7"/>
    <w:rsid w:val="00440AF2"/>
    <w:rsid w:val="00440EE3"/>
    <w:rsid w:val="004446E0"/>
    <w:rsid w:val="0044496C"/>
    <w:rsid w:val="00444CE7"/>
    <w:rsid w:val="004479AA"/>
    <w:rsid w:val="00454A34"/>
    <w:rsid w:val="004579C9"/>
    <w:rsid w:val="00463226"/>
    <w:rsid w:val="00464794"/>
    <w:rsid w:val="00465320"/>
    <w:rsid w:val="00470CD7"/>
    <w:rsid w:val="00472DCA"/>
    <w:rsid w:val="00474327"/>
    <w:rsid w:val="00477AA6"/>
    <w:rsid w:val="0048138E"/>
    <w:rsid w:val="0048280A"/>
    <w:rsid w:val="00486296"/>
    <w:rsid w:val="00494F34"/>
    <w:rsid w:val="004A5061"/>
    <w:rsid w:val="004B0711"/>
    <w:rsid w:val="004B2361"/>
    <w:rsid w:val="004C0BDD"/>
    <w:rsid w:val="004C5728"/>
    <w:rsid w:val="004D0113"/>
    <w:rsid w:val="004D29DE"/>
    <w:rsid w:val="004D2CF7"/>
    <w:rsid w:val="004E04DF"/>
    <w:rsid w:val="004E08C7"/>
    <w:rsid w:val="004E0A7C"/>
    <w:rsid w:val="004F5FD0"/>
    <w:rsid w:val="00510124"/>
    <w:rsid w:val="00516A94"/>
    <w:rsid w:val="00525136"/>
    <w:rsid w:val="00530532"/>
    <w:rsid w:val="00531024"/>
    <w:rsid w:val="005322BD"/>
    <w:rsid w:val="00534D21"/>
    <w:rsid w:val="00541EBA"/>
    <w:rsid w:val="0054353C"/>
    <w:rsid w:val="005503D5"/>
    <w:rsid w:val="00550FD6"/>
    <w:rsid w:val="00555E6E"/>
    <w:rsid w:val="00563244"/>
    <w:rsid w:val="00564C88"/>
    <w:rsid w:val="00584C38"/>
    <w:rsid w:val="00590391"/>
    <w:rsid w:val="00591703"/>
    <w:rsid w:val="00596B49"/>
    <w:rsid w:val="005A0F86"/>
    <w:rsid w:val="005A5EC5"/>
    <w:rsid w:val="005A7B41"/>
    <w:rsid w:val="005B4FF9"/>
    <w:rsid w:val="005C7268"/>
    <w:rsid w:val="005D4B2C"/>
    <w:rsid w:val="005D5A54"/>
    <w:rsid w:val="005D5BFD"/>
    <w:rsid w:val="005E47DE"/>
    <w:rsid w:val="005E5324"/>
    <w:rsid w:val="005F327F"/>
    <w:rsid w:val="006025C1"/>
    <w:rsid w:val="00610FAD"/>
    <w:rsid w:val="00632969"/>
    <w:rsid w:val="006329A5"/>
    <w:rsid w:val="00632E81"/>
    <w:rsid w:val="00635067"/>
    <w:rsid w:val="00641428"/>
    <w:rsid w:val="006416E8"/>
    <w:rsid w:val="006520BA"/>
    <w:rsid w:val="00656431"/>
    <w:rsid w:val="0068250D"/>
    <w:rsid w:val="0068283F"/>
    <w:rsid w:val="00684E8C"/>
    <w:rsid w:val="006862E5"/>
    <w:rsid w:val="00691239"/>
    <w:rsid w:val="006966F3"/>
    <w:rsid w:val="006968D8"/>
    <w:rsid w:val="006A08E8"/>
    <w:rsid w:val="006A2631"/>
    <w:rsid w:val="006A3A47"/>
    <w:rsid w:val="006A6A8E"/>
    <w:rsid w:val="006E10B0"/>
    <w:rsid w:val="006F4155"/>
    <w:rsid w:val="0071569D"/>
    <w:rsid w:val="00734611"/>
    <w:rsid w:val="0074008C"/>
    <w:rsid w:val="007664DC"/>
    <w:rsid w:val="00766AE2"/>
    <w:rsid w:val="00781A2F"/>
    <w:rsid w:val="007824C9"/>
    <w:rsid w:val="00795F32"/>
    <w:rsid w:val="00796BF8"/>
    <w:rsid w:val="007A61EC"/>
    <w:rsid w:val="007B07C1"/>
    <w:rsid w:val="007B27B4"/>
    <w:rsid w:val="007B39BB"/>
    <w:rsid w:val="007B7354"/>
    <w:rsid w:val="007C0509"/>
    <w:rsid w:val="007C08AC"/>
    <w:rsid w:val="007D14F0"/>
    <w:rsid w:val="007E123F"/>
    <w:rsid w:val="007E7200"/>
    <w:rsid w:val="007F1057"/>
    <w:rsid w:val="007F1B98"/>
    <w:rsid w:val="007F5CD6"/>
    <w:rsid w:val="0081734C"/>
    <w:rsid w:val="00817C7C"/>
    <w:rsid w:val="00830A2F"/>
    <w:rsid w:val="00832FFC"/>
    <w:rsid w:val="00833769"/>
    <w:rsid w:val="00833DD0"/>
    <w:rsid w:val="00837763"/>
    <w:rsid w:val="008409C3"/>
    <w:rsid w:val="00847275"/>
    <w:rsid w:val="00856D50"/>
    <w:rsid w:val="00862D67"/>
    <w:rsid w:val="008649FB"/>
    <w:rsid w:val="00864DFD"/>
    <w:rsid w:val="00865178"/>
    <w:rsid w:val="00870681"/>
    <w:rsid w:val="008727B6"/>
    <w:rsid w:val="008729AA"/>
    <w:rsid w:val="00885538"/>
    <w:rsid w:val="008A0546"/>
    <w:rsid w:val="008B01F1"/>
    <w:rsid w:val="008B3FDF"/>
    <w:rsid w:val="008C180A"/>
    <w:rsid w:val="008C1A30"/>
    <w:rsid w:val="008C58F3"/>
    <w:rsid w:val="008D2512"/>
    <w:rsid w:val="008D3696"/>
    <w:rsid w:val="008D5010"/>
    <w:rsid w:val="008E6BBA"/>
    <w:rsid w:val="008F27E6"/>
    <w:rsid w:val="008F2B33"/>
    <w:rsid w:val="009026DD"/>
    <w:rsid w:val="00905F4F"/>
    <w:rsid w:val="00910224"/>
    <w:rsid w:val="009124EE"/>
    <w:rsid w:val="009164B5"/>
    <w:rsid w:val="0093625B"/>
    <w:rsid w:val="00936292"/>
    <w:rsid w:val="009416C8"/>
    <w:rsid w:val="00943E06"/>
    <w:rsid w:val="00944738"/>
    <w:rsid w:val="00945CDB"/>
    <w:rsid w:val="009474B9"/>
    <w:rsid w:val="00952F25"/>
    <w:rsid w:val="0095571D"/>
    <w:rsid w:val="00956430"/>
    <w:rsid w:val="009615F3"/>
    <w:rsid w:val="009646F8"/>
    <w:rsid w:val="009A678D"/>
    <w:rsid w:val="009B51DF"/>
    <w:rsid w:val="009B52C8"/>
    <w:rsid w:val="009C3E4A"/>
    <w:rsid w:val="009D1D82"/>
    <w:rsid w:val="009E0504"/>
    <w:rsid w:val="009E1DB1"/>
    <w:rsid w:val="00A02A86"/>
    <w:rsid w:val="00A1721D"/>
    <w:rsid w:val="00A22A1E"/>
    <w:rsid w:val="00A236A0"/>
    <w:rsid w:val="00A24E56"/>
    <w:rsid w:val="00A26D31"/>
    <w:rsid w:val="00A5020E"/>
    <w:rsid w:val="00A52C88"/>
    <w:rsid w:val="00A6178E"/>
    <w:rsid w:val="00A64D96"/>
    <w:rsid w:val="00A64DBE"/>
    <w:rsid w:val="00A65097"/>
    <w:rsid w:val="00A66E24"/>
    <w:rsid w:val="00A758A0"/>
    <w:rsid w:val="00A96C37"/>
    <w:rsid w:val="00AB1B79"/>
    <w:rsid w:val="00AB4436"/>
    <w:rsid w:val="00AB56E9"/>
    <w:rsid w:val="00AC3024"/>
    <w:rsid w:val="00AC5E0C"/>
    <w:rsid w:val="00AD0418"/>
    <w:rsid w:val="00AD6A62"/>
    <w:rsid w:val="00B02D7B"/>
    <w:rsid w:val="00B03F31"/>
    <w:rsid w:val="00B070D4"/>
    <w:rsid w:val="00B12046"/>
    <w:rsid w:val="00B126F8"/>
    <w:rsid w:val="00B13FDC"/>
    <w:rsid w:val="00B25E0F"/>
    <w:rsid w:val="00B2725A"/>
    <w:rsid w:val="00B37A77"/>
    <w:rsid w:val="00B4234A"/>
    <w:rsid w:val="00B43B62"/>
    <w:rsid w:val="00B460D3"/>
    <w:rsid w:val="00B52985"/>
    <w:rsid w:val="00B613BB"/>
    <w:rsid w:val="00B7719C"/>
    <w:rsid w:val="00B825D0"/>
    <w:rsid w:val="00B841AB"/>
    <w:rsid w:val="00BA38F3"/>
    <w:rsid w:val="00BA62CC"/>
    <w:rsid w:val="00BB46FC"/>
    <w:rsid w:val="00BC1EC3"/>
    <w:rsid w:val="00BC556E"/>
    <w:rsid w:val="00BC6729"/>
    <w:rsid w:val="00BC7FF5"/>
    <w:rsid w:val="00BE18F2"/>
    <w:rsid w:val="00C05FF8"/>
    <w:rsid w:val="00C11B91"/>
    <w:rsid w:val="00C12C7B"/>
    <w:rsid w:val="00C26C03"/>
    <w:rsid w:val="00C33B1C"/>
    <w:rsid w:val="00C3530F"/>
    <w:rsid w:val="00C35837"/>
    <w:rsid w:val="00C37584"/>
    <w:rsid w:val="00C51EF1"/>
    <w:rsid w:val="00C6453C"/>
    <w:rsid w:val="00C676BF"/>
    <w:rsid w:val="00C74CCB"/>
    <w:rsid w:val="00C75CC1"/>
    <w:rsid w:val="00C80A66"/>
    <w:rsid w:val="00C80EE8"/>
    <w:rsid w:val="00C82510"/>
    <w:rsid w:val="00C86D5A"/>
    <w:rsid w:val="00C874BA"/>
    <w:rsid w:val="00C951B5"/>
    <w:rsid w:val="00C959C9"/>
    <w:rsid w:val="00CA1FAB"/>
    <w:rsid w:val="00CA5F7D"/>
    <w:rsid w:val="00CB03E9"/>
    <w:rsid w:val="00CB4B3C"/>
    <w:rsid w:val="00CB68E2"/>
    <w:rsid w:val="00CB6E8B"/>
    <w:rsid w:val="00CC339B"/>
    <w:rsid w:val="00CD461B"/>
    <w:rsid w:val="00CE0B34"/>
    <w:rsid w:val="00CE7BA4"/>
    <w:rsid w:val="00D15C20"/>
    <w:rsid w:val="00D258D4"/>
    <w:rsid w:val="00D26D95"/>
    <w:rsid w:val="00D27F2F"/>
    <w:rsid w:val="00D320FA"/>
    <w:rsid w:val="00D4474F"/>
    <w:rsid w:val="00D627F7"/>
    <w:rsid w:val="00D633F0"/>
    <w:rsid w:val="00D70E14"/>
    <w:rsid w:val="00D74456"/>
    <w:rsid w:val="00D80D7F"/>
    <w:rsid w:val="00D83230"/>
    <w:rsid w:val="00D8550F"/>
    <w:rsid w:val="00D94F67"/>
    <w:rsid w:val="00DA1636"/>
    <w:rsid w:val="00DB4DE9"/>
    <w:rsid w:val="00DC3A4C"/>
    <w:rsid w:val="00DC56DA"/>
    <w:rsid w:val="00DE766D"/>
    <w:rsid w:val="00DE7953"/>
    <w:rsid w:val="00DF0174"/>
    <w:rsid w:val="00DF118A"/>
    <w:rsid w:val="00DF6121"/>
    <w:rsid w:val="00E0030A"/>
    <w:rsid w:val="00E003AA"/>
    <w:rsid w:val="00E040BF"/>
    <w:rsid w:val="00E05798"/>
    <w:rsid w:val="00E120EE"/>
    <w:rsid w:val="00E32516"/>
    <w:rsid w:val="00E4525A"/>
    <w:rsid w:val="00E461BC"/>
    <w:rsid w:val="00E50777"/>
    <w:rsid w:val="00E63B6D"/>
    <w:rsid w:val="00E729B8"/>
    <w:rsid w:val="00E72FE1"/>
    <w:rsid w:val="00E7375F"/>
    <w:rsid w:val="00E80294"/>
    <w:rsid w:val="00E806DF"/>
    <w:rsid w:val="00E8465B"/>
    <w:rsid w:val="00E85A40"/>
    <w:rsid w:val="00E967DC"/>
    <w:rsid w:val="00EA30B8"/>
    <w:rsid w:val="00EB5E19"/>
    <w:rsid w:val="00EB7589"/>
    <w:rsid w:val="00EC3DE2"/>
    <w:rsid w:val="00EC79A9"/>
    <w:rsid w:val="00ED63F1"/>
    <w:rsid w:val="00ED7938"/>
    <w:rsid w:val="00EE3EFF"/>
    <w:rsid w:val="00EE6F57"/>
    <w:rsid w:val="00EF21A4"/>
    <w:rsid w:val="00EF2B2F"/>
    <w:rsid w:val="00EF6A04"/>
    <w:rsid w:val="00F02076"/>
    <w:rsid w:val="00F04DEB"/>
    <w:rsid w:val="00F10B6A"/>
    <w:rsid w:val="00F10EBF"/>
    <w:rsid w:val="00F20286"/>
    <w:rsid w:val="00F238A2"/>
    <w:rsid w:val="00F253B6"/>
    <w:rsid w:val="00F556DA"/>
    <w:rsid w:val="00F56D11"/>
    <w:rsid w:val="00F622B7"/>
    <w:rsid w:val="00F67C56"/>
    <w:rsid w:val="00F82786"/>
    <w:rsid w:val="00F84EFB"/>
    <w:rsid w:val="00FA024E"/>
    <w:rsid w:val="00FA64B0"/>
    <w:rsid w:val="00FA7083"/>
    <w:rsid w:val="00FB1925"/>
    <w:rsid w:val="00FB59AE"/>
    <w:rsid w:val="00FC0C08"/>
    <w:rsid w:val="00FC587E"/>
    <w:rsid w:val="00FC65CC"/>
    <w:rsid w:val="00FC665C"/>
    <w:rsid w:val="00FD33FE"/>
    <w:rsid w:val="00FE0687"/>
    <w:rsid w:val="00FE0A71"/>
    <w:rsid w:val="00FE4130"/>
    <w:rsid w:val="00FE67D8"/>
    <w:rsid w:val="00FE798B"/>
    <w:rsid w:val="00FF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0AE9"/>
  <w15:docId w15:val="{590E80AE-E496-4F69-8292-3669F65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A2F"/>
    <w:pPr>
      <w:widowControl w:val="0"/>
      <w:jc w:val="both"/>
    </w:pPr>
    <w:rPr>
      <w:kern w:val="2"/>
      <w:sz w:val="21"/>
      <w:szCs w:val="22"/>
    </w:rPr>
  </w:style>
  <w:style w:type="paragraph" w:styleId="1">
    <w:name w:val="heading 1"/>
    <w:basedOn w:val="a"/>
    <w:link w:val="10"/>
    <w:uiPriority w:val="9"/>
    <w:qFormat/>
    <w:rsid w:val="00417C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basedOn w:val="a0"/>
    <w:rPr>
      <w:rFonts w:ascii="宋体" w:eastAsia="宋体" w:hAnsi="宋体" w:hint="eastAsia"/>
      <w:color w:val="000000"/>
      <w:sz w:val="22"/>
      <w:szCs w:val="22"/>
    </w:rPr>
  </w:style>
  <w:style w:type="paragraph" w:styleId="a8">
    <w:name w:val="List Paragraph"/>
    <w:basedOn w:val="a"/>
    <w:uiPriority w:val="34"/>
    <w:qFormat/>
    <w:pPr>
      <w:ind w:firstLineChars="200" w:firstLine="420"/>
    </w:pPr>
  </w:style>
  <w:style w:type="paragraph" w:styleId="a9">
    <w:name w:val="Normal (Web)"/>
    <w:basedOn w:val="a"/>
    <w:uiPriority w:val="99"/>
    <w:unhideWhenUsed/>
    <w:rsid w:val="00E7375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65178"/>
    <w:rPr>
      <w:b/>
      <w:bCs/>
    </w:rPr>
  </w:style>
  <w:style w:type="character" w:customStyle="1" w:styleId="10">
    <w:name w:val="标题 1 字符"/>
    <w:basedOn w:val="a0"/>
    <w:link w:val="1"/>
    <w:uiPriority w:val="9"/>
    <w:rsid w:val="00417C3D"/>
    <w:rPr>
      <w:rFonts w:ascii="宋体" w:eastAsia="宋体" w:hAnsi="宋体" w:cs="宋体"/>
      <w:b/>
      <w:bCs/>
      <w:kern w:val="36"/>
      <w:sz w:val="48"/>
      <w:szCs w:val="48"/>
    </w:rPr>
  </w:style>
  <w:style w:type="paragraph" w:styleId="ab">
    <w:name w:val="Revision"/>
    <w:hidden/>
    <w:uiPriority w:val="99"/>
    <w:semiHidden/>
    <w:rsid w:val="00C353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1571">
      <w:bodyDiv w:val="1"/>
      <w:marLeft w:val="0"/>
      <w:marRight w:val="0"/>
      <w:marTop w:val="0"/>
      <w:marBottom w:val="0"/>
      <w:divBdr>
        <w:top w:val="none" w:sz="0" w:space="0" w:color="auto"/>
        <w:left w:val="none" w:sz="0" w:space="0" w:color="auto"/>
        <w:bottom w:val="none" w:sz="0" w:space="0" w:color="auto"/>
        <w:right w:val="none" w:sz="0" w:space="0" w:color="auto"/>
      </w:divBdr>
    </w:div>
    <w:div w:id="655039797">
      <w:bodyDiv w:val="1"/>
      <w:marLeft w:val="0"/>
      <w:marRight w:val="0"/>
      <w:marTop w:val="0"/>
      <w:marBottom w:val="0"/>
      <w:divBdr>
        <w:top w:val="none" w:sz="0" w:space="0" w:color="auto"/>
        <w:left w:val="none" w:sz="0" w:space="0" w:color="auto"/>
        <w:bottom w:val="none" w:sz="0" w:space="0" w:color="auto"/>
        <w:right w:val="none" w:sz="0" w:space="0" w:color="auto"/>
      </w:divBdr>
    </w:div>
    <w:div w:id="719326161">
      <w:bodyDiv w:val="1"/>
      <w:marLeft w:val="0"/>
      <w:marRight w:val="0"/>
      <w:marTop w:val="0"/>
      <w:marBottom w:val="0"/>
      <w:divBdr>
        <w:top w:val="none" w:sz="0" w:space="0" w:color="auto"/>
        <w:left w:val="none" w:sz="0" w:space="0" w:color="auto"/>
        <w:bottom w:val="none" w:sz="0" w:space="0" w:color="auto"/>
        <w:right w:val="none" w:sz="0" w:space="0" w:color="auto"/>
      </w:divBdr>
    </w:div>
    <w:div w:id="795870997">
      <w:bodyDiv w:val="1"/>
      <w:marLeft w:val="0"/>
      <w:marRight w:val="0"/>
      <w:marTop w:val="0"/>
      <w:marBottom w:val="0"/>
      <w:divBdr>
        <w:top w:val="none" w:sz="0" w:space="0" w:color="auto"/>
        <w:left w:val="none" w:sz="0" w:space="0" w:color="auto"/>
        <w:bottom w:val="none" w:sz="0" w:space="0" w:color="auto"/>
        <w:right w:val="none" w:sz="0" w:space="0" w:color="auto"/>
      </w:divBdr>
    </w:div>
    <w:div w:id="907351294">
      <w:bodyDiv w:val="1"/>
      <w:marLeft w:val="0"/>
      <w:marRight w:val="0"/>
      <w:marTop w:val="0"/>
      <w:marBottom w:val="0"/>
      <w:divBdr>
        <w:top w:val="none" w:sz="0" w:space="0" w:color="auto"/>
        <w:left w:val="none" w:sz="0" w:space="0" w:color="auto"/>
        <w:bottom w:val="none" w:sz="0" w:space="0" w:color="auto"/>
        <w:right w:val="none" w:sz="0" w:space="0" w:color="auto"/>
      </w:divBdr>
    </w:div>
    <w:div w:id="1020080629">
      <w:bodyDiv w:val="1"/>
      <w:marLeft w:val="0"/>
      <w:marRight w:val="0"/>
      <w:marTop w:val="0"/>
      <w:marBottom w:val="0"/>
      <w:divBdr>
        <w:top w:val="none" w:sz="0" w:space="0" w:color="auto"/>
        <w:left w:val="none" w:sz="0" w:space="0" w:color="auto"/>
        <w:bottom w:val="none" w:sz="0" w:space="0" w:color="auto"/>
        <w:right w:val="none" w:sz="0" w:space="0" w:color="auto"/>
      </w:divBdr>
    </w:div>
    <w:div w:id="1081833752">
      <w:bodyDiv w:val="1"/>
      <w:marLeft w:val="0"/>
      <w:marRight w:val="0"/>
      <w:marTop w:val="0"/>
      <w:marBottom w:val="0"/>
      <w:divBdr>
        <w:top w:val="none" w:sz="0" w:space="0" w:color="auto"/>
        <w:left w:val="none" w:sz="0" w:space="0" w:color="auto"/>
        <w:bottom w:val="none" w:sz="0" w:space="0" w:color="auto"/>
        <w:right w:val="none" w:sz="0" w:space="0" w:color="auto"/>
      </w:divBdr>
    </w:div>
    <w:div w:id="1454712580">
      <w:bodyDiv w:val="1"/>
      <w:marLeft w:val="0"/>
      <w:marRight w:val="0"/>
      <w:marTop w:val="0"/>
      <w:marBottom w:val="0"/>
      <w:divBdr>
        <w:top w:val="none" w:sz="0" w:space="0" w:color="auto"/>
        <w:left w:val="none" w:sz="0" w:space="0" w:color="auto"/>
        <w:bottom w:val="none" w:sz="0" w:space="0" w:color="auto"/>
        <w:right w:val="none" w:sz="0" w:space="0" w:color="auto"/>
      </w:divBdr>
    </w:div>
    <w:div w:id="1489521177">
      <w:bodyDiv w:val="1"/>
      <w:marLeft w:val="0"/>
      <w:marRight w:val="0"/>
      <w:marTop w:val="0"/>
      <w:marBottom w:val="0"/>
      <w:divBdr>
        <w:top w:val="none" w:sz="0" w:space="0" w:color="auto"/>
        <w:left w:val="none" w:sz="0" w:space="0" w:color="auto"/>
        <w:bottom w:val="none" w:sz="0" w:space="0" w:color="auto"/>
        <w:right w:val="none" w:sz="0" w:space="0" w:color="auto"/>
      </w:divBdr>
    </w:div>
    <w:div w:id="161501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wujingjing</dc:creator>
  <cp:lastModifiedBy>wujingjing</cp:lastModifiedBy>
  <cp:revision>57</cp:revision>
  <cp:lastPrinted>2023-07-31T06:06:00Z</cp:lastPrinted>
  <dcterms:created xsi:type="dcterms:W3CDTF">2023-05-31T01:39:00Z</dcterms:created>
  <dcterms:modified xsi:type="dcterms:W3CDTF">2023-10-31T07:55:00Z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