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C7" w:rsidRDefault="0011541C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Cs w:val="21"/>
        </w:rPr>
      </w:pPr>
      <w:proofErr w:type="gramStart"/>
      <w:r>
        <w:rPr>
          <w:rFonts w:ascii="宋体" w:eastAsia="宋体" w:hAnsi="宋体" w:cs="宋体" w:hint="eastAsia"/>
          <w:b/>
          <w:bCs/>
          <w:color w:val="auto"/>
          <w:szCs w:val="21"/>
        </w:rPr>
        <w:t>晶科能源</w:t>
      </w:r>
      <w:proofErr w:type="gramEnd"/>
      <w:r>
        <w:rPr>
          <w:rFonts w:ascii="宋体" w:eastAsia="宋体" w:hAnsi="宋体" w:cs="宋体" w:hint="eastAsia"/>
          <w:b/>
          <w:bCs/>
          <w:color w:val="auto"/>
          <w:szCs w:val="21"/>
        </w:rPr>
        <w:t>股份有限公司</w:t>
      </w:r>
    </w:p>
    <w:p w:rsidR="000630C7" w:rsidRDefault="0011541C">
      <w:pPr>
        <w:pStyle w:val="Default"/>
        <w:spacing w:line="360" w:lineRule="exact"/>
        <w:jc w:val="center"/>
        <w:rPr>
          <w:rFonts w:ascii="宋体" w:eastAsia="宋体" w:hAnsi="宋体" w:cs="宋体"/>
          <w:b/>
          <w:bCs/>
          <w:color w:val="auto"/>
          <w:szCs w:val="21"/>
        </w:rPr>
      </w:pPr>
      <w:r>
        <w:rPr>
          <w:rFonts w:ascii="宋体" w:eastAsia="宋体" w:hAnsi="宋体" w:cs="宋体" w:hint="eastAsia"/>
          <w:b/>
          <w:bCs/>
          <w:color w:val="auto"/>
          <w:szCs w:val="21"/>
        </w:rPr>
        <w:t>投资者关系活动记录表</w:t>
      </w:r>
    </w:p>
    <w:p w:rsidR="000630C7" w:rsidRDefault="0011541C">
      <w:pPr>
        <w:wordWrap w:val="0"/>
        <w:spacing w:line="360" w:lineRule="auto"/>
        <w:jc w:val="righ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</w:t>
      </w:r>
      <w:r>
        <w:rPr>
          <w:rFonts w:ascii="宋体" w:eastAsia="宋体" w:hAnsi="宋体" w:cs="Times New Roman" w:hint="eastAsia"/>
          <w:szCs w:val="21"/>
        </w:rPr>
        <w:t>编号</w:t>
      </w:r>
      <w:r>
        <w:rPr>
          <w:rFonts w:ascii="宋体" w:eastAsia="宋体" w:hAnsi="宋体" w:cs="Times New Roman"/>
          <w:szCs w:val="21"/>
        </w:rPr>
        <w:t>：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/>
          <w:szCs w:val="21"/>
        </w:rPr>
        <w:t>023</w:t>
      </w:r>
      <w:r>
        <w:rPr>
          <w:rFonts w:ascii="宋体" w:eastAsia="宋体" w:hAnsi="宋体" w:cs="Times New Roman" w:hint="eastAsia"/>
          <w:szCs w:val="21"/>
        </w:rPr>
        <w:t>-0</w:t>
      </w:r>
      <w:r w:rsidR="00657CD3">
        <w:rPr>
          <w:rFonts w:ascii="宋体" w:eastAsia="宋体" w:hAnsi="宋体" w:cs="Times New Roman"/>
          <w:szCs w:val="21"/>
        </w:rPr>
        <w:t>10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0630C7">
        <w:trPr>
          <w:trHeight w:val="1926"/>
        </w:trPr>
        <w:tc>
          <w:tcPr>
            <w:tcW w:w="1838" w:type="dxa"/>
            <w:vAlign w:val="center"/>
          </w:tcPr>
          <w:p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6458" w:type="dxa"/>
          </w:tcPr>
          <w:p w:rsidR="000630C7" w:rsidRDefault="0011541C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szCs w:val="21"/>
              </w:rPr>
              <w:t>特定对象调研       □ 分析师会议</w:t>
            </w:r>
          </w:p>
          <w:p w:rsidR="000630C7" w:rsidRDefault="00657CD3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11541C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 xml:space="preserve">媒体采访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√</w:t>
            </w:r>
            <w:r w:rsidR="0011541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11541C">
              <w:rPr>
                <w:rFonts w:ascii="宋体" w:eastAsia="宋体" w:hAnsi="宋体" w:cs="宋体" w:hint="eastAsia"/>
                <w:kern w:val="0"/>
                <w:szCs w:val="21"/>
              </w:rPr>
              <w:t>业绩说明会</w:t>
            </w:r>
          </w:p>
          <w:p w:rsidR="000630C7" w:rsidRDefault="0011541C">
            <w:pPr>
              <w:autoSpaceDE w:val="0"/>
              <w:autoSpaceDN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 新闻发布会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√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路演活动</w:t>
            </w:r>
          </w:p>
          <w:p w:rsidR="000630C7" w:rsidRDefault="0011541C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szCs w:val="21"/>
              </w:rPr>
              <w:t>现场参观</w:t>
            </w:r>
          </w:p>
          <w:p w:rsidR="000630C7" w:rsidRDefault="0011541C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szCs w:val="21"/>
              </w:rPr>
              <w:t>其他（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请文字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说明）</w:t>
            </w:r>
          </w:p>
        </w:tc>
      </w:tr>
      <w:tr w:rsidR="000630C7" w:rsidRPr="00ED3D14">
        <w:trPr>
          <w:trHeight w:val="2670"/>
        </w:trPr>
        <w:tc>
          <w:tcPr>
            <w:tcW w:w="1838" w:type="dxa"/>
            <w:vAlign w:val="center"/>
          </w:tcPr>
          <w:p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参与单位</w:t>
            </w:r>
          </w:p>
        </w:tc>
        <w:tc>
          <w:tcPr>
            <w:tcW w:w="6458" w:type="dxa"/>
            <w:vAlign w:val="center"/>
          </w:tcPr>
          <w:p w:rsidR="00446AB4" w:rsidRDefault="00446AB4" w:rsidP="004A5B5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:rsidR="00446AB4" w:rsidRPr="00446AB4" w:rsidRDefault="00446AB4" w:rsidP="00446AB4">
            <w:pPr>
              <w:rPr>
                <w:rFonts w:ascii="宋体" w:eastAsia="宋体" w:hAnsi="宋体" w:cs="Times New Roman"/>
                <w:szCs w:val="21"/>
              </w:rPr>
            </w:pPr>
            <w:r w:rsidRPr="00446AB4">
              <w:rPr>
                <w:rFonts w:ascii="宋体" w:eastAsia="宋体" w:hAnsi="宋体" w:cs="Times New Roman"/>
                <w:szCs w:val="21"/>
              </w:rPr>
              <w:t>广发基金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7E6BF7" w:rsidRPr="00446AB4">
              <w:rPr>
                <w:rFonts w:ascii="宋体" w:eastAsia="宋体" w:hAnsi="宋体" w:cs="Times New Roman"/>
                <w:szCs w:val="21"/>
              </w:rPr>
              <w:t>华夏基金</w:t>
            </w:r>
            <w:r w:rsidR="007E6BF7"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易方达基金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华泰柏瑞基金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南方基金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0D0E97" w:rsidRPr="00446AB4">
              <w:rPr>
                <w:rFonts w:ascii="宋体" w:eastAsia="宋体" w:hAnsi="宋体" w:cs="Times New Roman"/>
                <w:szCs w:val="21"/>
              </w:rPr>
              <w:t>银华基金</w:t>
            </w:r>
            <w:r w:rsidR="000D0E97"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7E6BF7" w:rsidRPr="00446AB4">
              <w:rPr>
                <w:rFonts w:ascii="宋体" w:eastAsia="宋体" w:hAnsi="宋体" w:cs="Times New Roman"/>
                <w:szCs w:val="21"/>
              </w:rPr>
              <w:t>博时基金</w:t>
            </w:r>
            <w:r w:rsidR="007E6BF7"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景顺长城基金、</w:t>
            </w:r>
            <w:proofErr w:type="gramStart"/>
            <w:r w:rsidRPr="00446AB4">
              <w:rPr>
                <w:rFonts w:ascii="宋体" w:eastAsia="宋体" w:hAnsi="宋体" w:cs="Times New Roman"/>
                <w:szCs w:val="21"/>
              </w:rPr>
              <w:t>天弘基金</w:t>
            </w:r>
            <w:proofErr w:type="gramEnd"/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交银施罗德基金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上投摩根基金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摩根士丹利华</w:t>
            </w:r>
            <w:proofErr w:type="gramStart"/>
            <w:r w:rsidRPr="00446AB4">
              <w:rPr>
                <w:rFonts w:ascii="宋体" w:eastAsia="宋体" w:hAnsi="宋体" w:cs="Times New Roman"/>
                <w:szCs w:val="21"/>
              </w:rPr>
              <w:t>鑫</w:t>
            </w:r>
            <w:proofErr w:type="gramEnd"/>
            <w:r w:rsidRPr="00446AB4">
              <w:rPr>
                <w:rFonts w:ascii="宋体" w:eastAsia="宋体" w:hAnsi="宋体" w:cs="Times New Roman"/>
                <w:szCs w:val="21"/>
              </w:rPr>
              <w:t>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8237F1" w:rsidRPr="00446AB4">
              <w:rPr>
                <w:rFonts w:ascii="宋体" w:eastAsia="宋体" w:hAnsi="宋体" w:cs="Times New Roman"/>
                <w:szCs w:val="21"/>
              </w:rPr>
              <w:t>华宝基金</w:t>
            </w:r>
            <w:r w:rsidR="008237F1"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7E6BF7" w:rsidRPr="00446AB4">
              <w:rPr>
                <w:rFonts w:ascii="宋体" w:eastAsia="宋体" w:hAnsi="宋体" w:cs="Times New Roman"/>
                <w:szCs w:val="21"/>
              </w:rPr>
              <w:t>富安达基金</w:t>
            </w:r>
            <w:r w:rsidR="007E6BF7"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新华基金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中</w:t>
            </w:r>
            <w:proofErr w:type="gramStart"/>
            <w:r w:rsidRPr="00446AB4">
              <w:rPr>
                <w:rFonts w:ascii="宋体" w:eastAsia="宋体" w:hAnsi="宋体" w:cs="Times New Roman"/>
                <w:szCs w:val="21"/>
              </w:rPr>
              <w:t>信建投基金</w:t>
            </w:r>
            <w:proofErr w:type="gramEnd"/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兴业基金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农银汇理基金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申万菱信基金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平安基金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；</w:t>
            </w:r>
            <w:proofErr w:type="gramStart"/>
            <w:r w:rsidRPr="00446AB4">
              <w:rPr>
                <w:rFonts w:ascii="宋体" w:eastAsia="宋体" w:hAnsi="宋体" w:cs="Times New Roman"/>
                <w:szCs w:val="21"/>
              </w:rPr>
              <w:t>润晖投资</w:t>
            </w:r>
            <w:proofErr w:type="gramEnd"/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农银人寿保险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中国人寿养老保险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中邮人寿保险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国泰财产保险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未来资产环球投资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bookmarkStart w:id="0" w:name="_GoBack"/>
            <w:bookmarkEnd w:id="0"/>
            <w:r w:rsidR="00307409">
              <w:rPr>
                <w:rFonts w:ascii="宋体" w:eastAsia="宋体" w:hAnsi="宋体" w:cs="Times New Roman"/>
                <w:szCs w:val="21"/>
              </w:rPr>
              <w:t>贝莱德</w:t>
            </w:r>
            <w:r w:rsidR="00307409">
              <w:rPr>
                <w:rFonts w:ascii="宋体" w:eastAsia="宋体" w:hAnsi="宋体" w:cs="Times New Roman" w:hint="eastAsia"/>
                <w:szCs w:val="21"/>
              </w:rPr>
              <w:t>资管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华能贵诚信托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摩根亚太资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管、</w:t>
            </w:r>
            <w:r w:rsidRPr="00446AB4">
              <w:rPr>
                <w:rFonts w:ascii="宋体" w:eastAsia="宋体" w:hAnsi="宋体" w:cs="Times New Roman"/>
                <w:szCs w:val="21"/>
              </w:rPr>
              <w:t>中投国际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7E2331">
              <w:rPr>
                <w:rFonts w:ascii="宋体" w:eastAsia="宋体" w:hAnsi="宋体" w:cs="Times New Roman"/>
                <w:szCs w:val="21"/>
              </w:rPr>
              <w:t>Morningstar Inc</w:t>
            </w:r>
            <w:r w:rsidR="007E2331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Elevation Capital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Hel Ved Capital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CI Global Investments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；长江证券、东吴证券、</w:t>
            </w:r>
            <w:r w:rsidRPr="00446AB4">
              <w:rPr>
                <w:rFonts w:ascii="宋体" w:eastAsia="宋体" w:hAnsi="宋体" w:cs="Times New Roman"/>
                <w:szCs w:val="21"/>
              </w:rPr>
              <w:t>中</w:t>
            </w:r>
            <w:proofErr w:type="gramStart"/>
            <w:r w:rsidRPr="00446AB4">
              <w:rPr>
                <w:rFonts w:ascii="宋体" w:eastAsia="宋体" w:hAnsi="宋体" w:cs="Times New Roman"/>
                <w:szCs w:val="21"/>
              </w:rPr>
              <w:t>信建投证券</w:t>
            </w:r>
            <w:proofErr w:type="gramEnd"/>
            <w:r w:rsidRPr="00446AB4">
              <w:rPr>
                <w:rFonts w:ascii="宋体" w:eastAsia="宋体" w:hAnsi="宋体" w:cs="Times New Roman" w:hint="eastAsia"/>
                <w:szCs w:val="21"/>
              </w:rPr>
              <w:t>、中金公司、</w:t>
            </w:r>
            <w:r w:rsidRPr="00446AB4">
              <w:rPr>
                <w:rFonts w:ascii="宋体" w:eastAsia="宋体" w:hAnsi="宋体" w:cs="Times New Roman"/>
                <w:szCs w:val="21"/>
              </w:rPr>
              <w:t>广发证券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中信证券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天风证券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国金证券</w:t>
            </w:r>
            <w:r w:rsidRPr="00446AB4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446AB4">
              <w:rPr>
                <w:rFonts w:ascii="宋体" w:eastAsia="宋体" w:hAnsi="宋体" w:cs="Times New Roman"/>
                <w:szCs w:val="21"/>
              </w:rPr>
              <w:t>国盛证券</w:t>
            </w:r>
            <w:r w:rsidRPr="00CB32B9">
              <w:rPr>
                <w:rFonts w:ascii="宋体" w:eastAsia="宋体" w:hAnsi="宋体" w:cs="Times New Roman" w:hint="eastAsia"/>
                <w:szCs w:val="21"/>
              </w:rPr>
              <w:t>、</w:t>
            </w:r>
            <w:proofErr w:type="gramStart"/>
            <w:r w:rsidRPr="00CB32B9">
              <w:rPr>
                <w:rFonts w:ascii="宋体" w:eastAsia="宋体" w:hAnsi="宋体" w:cs="Times New Roman"/>
                <w:szCs w:val="21"/>
              </w:rPr>
              <w:t>浙商证券</w:t>
            </w:r>
            <w:proofErr w:type="gramEnd"/>
            <w:r w:rsidRPr="00CB32B9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CB32B9">
              <w:rPr>
                <w:rFonts w:ascii="宋体" w:eastAsia="宋体" w:hAnsi="宋体" w:cs="Times New Roman"/>
                <w:szCs w:val="21"/>
              </w:rPr>
              <w:t>华泰证券</w:t>
            </w:r>
            <w:r w:rsidRPr="00CB32B9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CB32B9">
              <w:rPr>
                <w:rFonts w:ascii="宋体" w:eastAsia="宋体" w:hAnsi="宋体" w:cs="Times New Roman"/>
                <w:szCs w:val="21"/>
              </w:rPr>
              <w:t>光大证券</w:t>
            </w:r>
            <w:r w:rsidRPr="00CB32B9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CB32B9">
              <w:rPr>
                <w:rFonts w:ascii="宋体" w:eastAsia="宋体" w:hAnsi="宋体" w:cs="Times New Roman"/>
                <w:szCs w:val="21"/>
              </w:rPr>
              <w:t>国海证券</w:t>
            </w:r>
            <w:r w:rsidRPr="00CB32B9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CB32B9">
              <w:rPr>
                <w:rFonts w:ascii="宋体" w:eastAsia="宋体" w:hAnsi="宋体" w:cs="Times New Roman"/>
                <w:szCs w:val="21"/>
              </w:rPr>
              <w:t>申银万国证券</w:t>
            </w:r>
            <w:r w:rsidRPr="00CB32B9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CB32B9">
              <w:rPr>
                <w:rFonts w:ascii="宋体" w:eastAsia="宋体" w:hAnsi="宋体" w:cs="Times New Roman"/>
                <w:szCs w:val="21"/>
              </w:rPr>
              <w:t>东方证券</w:t>
            </w:r>
            <w:r w:rsidRPr="00CB32B9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CB32B9">
              <w:rPr>
                <w:rFonts w:ascii="宋体" w:eastAsia="宋体" w:hAnsi="宋体" w:cs="Times New Roman"/>
                <w:szCs w:val="21"/>
              </w:rPr>
              <w:t>平安证券</w:t>
            </w:r>
            <w:r w:rsidRPr="00CB32B9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CB32B9">
              <w:rPr>
                <w:rFonts w:ascii="宋体" w:eastAsia="宋体" w:hAnsi="宋体" w:cs="Times New Roman"/>
                <w:szCs w:val="21"/>
              </w:rPr>
              <w:t>摩根大通</w:t>
            </w:r>
            <w:r w:rsidRPr="00CB32B9">
              <w:rPr>
                <w:rFonts w:ascii="宋体" w:eastAsia="宋体" w:hAnsi="宋体" w:cs="Times New Roman" w:hint="eastAsia"/>
                <w:szCs w:val="21"/>
              </w:rPr>
              <w:t>证券、花旗证券、美国银行证券、大和证券、</w:t>
            </w:r>
            <w:r w:rsidRPr="00CB32B9">
              <w:rPr>
                <w:rFonts w:ascii="宋体" w:eastAsia="宋体" w:hAnsi="宋体" w:cs="Times New Roman"/>
                <w:szCs w:val="21"/>
              </w:rPr>
              <w:t>麦格理</w:t>
            </w:r>
            <w:r w:rsidRPr="00CB32B9">
              <w:rPr>
                <w:rFonts w:ascii="宋体" w:eastAsia="宋体" w:hAnsi="宋体" w:cs="Times New Roman" w:hint="eastAsia"/>
                <w:szCs w:val="21"/>
              </w:rPr>
              <w:t>证券、</w:t>
            </w:r>
            <w:proofErr w:type="gramStart"/>
            <w:r w:rsidRPr="00CB32B9">
              <w:rPr>
                <w:rFonts w:ascii="宋体" w:eastAsia="宋体" w:hAnsi="宋体" w:cs="Times New Roman" w:hint="eastAsia"/>
                <w:szCs w:val="21"/>
              </w:rPr>
              <w:t>杰富瑞</w:t>
            </w:r>
            <w:proofErr w:type="gramEnd"/>
            <w:r w:rsidRPr="00CB32B9">
              <w:rPr>
                <w:rFonts w:ascii="宋体" w:eastAsia="宋体" w:hAnsi="宋体" w:cs="Times New Roman" w:hint="eastAsia"/>
                <w:szCs w:val="21"/>
              </w:rPr>
              <w:t>证券、</w:t>
            </w:r>
            <w:r w:rsidRPr="00CB32B9">
              <w:rPr>
                <w:rFonts w:ascii="宋体" w:eastAsia="宋体" w:hAnsi="宋体" w:cs="Times New Roman"/>
                <w:szCs w:val="21"/>
              </w:rPr>
              <w:t>中信里昂证券</w:t>
            </w:r>
            <w:r w:rsidRPr="00CB32B9">
              <w:rPr>
                <w:rFonts w:ascii="宋体" w:eastAsia="宋体" w:hAnsi="宋体" w:cs="Times New Roman" w:hint="eastAsia"/>
                <w:szCs w:val="21"/>
              </w:rPr>
              <w:t>等</w:t>
            </w:r>
            <w:r w:rsidR="00CB32B9" w:rsidRPr="00CB32B9"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CB32B9" w:rsidRPr="00CB32B9">
              <w:rPr>
                <w:rFonts w:ascii="宋体" w:eastAsia="宋体" w:hAnsi="宋体" w:cs="Times New Roman"/>
                <w:szCs w:val="21"/>
              </w:rPr>
              <w:t>00</w:t>
            </w:r>
            <w:r w:rsidR="00CB32B9" w:rsidRPr="00CB32B9">
              <w:rPr>
                <w:rFonts w:ascii="宋体" w:eastAsia="宋体" w:hAnsi="宋体" w:cs="Times New Roman" w:hint="eastAsia"/>
                <w:szCs w:val="21"/>
              </w:rPr>
              <w:t>余人在线参与。</w:t>
            </w:r>
          </w:p>
          <w:p w:rsidR="000630C7" w:rsidRPr="00ED3D14" w:rsidRDefault="000630C7">
            <w:pPr>
              <w:spacing w:line="276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630C7">
        <w:trPr>
          <w:trHeight w:val="1415"/>
        </w:trPr>
        <w:tc>
          <w:tcPr>
            <w:tcW w:w="1838" w:type="dxa"/>
            <w:vAlign w:val="center"/>
          </w:tcPr>
          <w:p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公司接待人员姓名及职务</w:t>
            </w:r>
          </w:p>
        </w:tc>
        <w:tc>
          <w:tcPr>
            <w:tcW w:w="6458" w:type="dxa"/>
            <w:vAlign w:val="center"/>
          </w:tcPr>
          <w:p w:rsidR="000630C7" w:rsidRDefault="000630C7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:rsidR="00ED7FA9" w:rsidRDefault="00ED7FA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D7FA9">
              <w:rPr>
                <w:rFonts w:ascii="宋体" w:eastAsia="宋体" w:hAnsi="宋体" w:cs="Times New Roman" w:hint="eastAsia"/>
                <w:szCs w:val="21"/>
              </w:rPr>
              <w:t xml:space="preserve">董事长：李仙德 </w:t>
            </w:r>
          </w:p>
          <w:p w:rsidR="00ED7FA9" w:rsidRDefault="00ED7FA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D7FA9">
              <w:rPr>
                <w:rFonts w:ascii="宋体" w:eastAsia="宋体" w:hAnsi="宋体" w:cs="Times New Roman" w:hint="eastAsia"/>
                <w:szCs w:val="21"/>
              </w:rPr>
              <w:t xml:space="preserve">首席财务官：曹海云 </w:t>
            </w:r>
          </w:p>
          <w:p w:rsidR="00ED7FA9" w:rsidRDefault="00ED7FA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D7FA9">
              <w:rPr>
                <w:rFonts w:ascii="宋体" w:eastAsia="宋体" w:hAnsi="宋体" w:cs="Times New Roman" w:hint="eastAsia"/>
                <w:szCs w:val="21"/>
              </w:rPr>
              <w:t xml:space="preserve">首席营销官：苗根 </w:t>
            </w:r>
          </w:p>
          <w:p w:rsidR="00ED7FA9" w:rsidRDefault="00ED7FA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D7FA9">
              <w:rPr>
                <w:rFonts w:ascii="宋体" w:eastAsia="宋体" w:hAnsi="宋体" w:cs="Times New Roman" w:hint="eastAsia"/>
                <w:szCs w:val="21"/>
              </w:rPr>
              <w:t>首席技术官：金</w:t>
            </w:r>
            <w:proofErr w:type="gramStart"/>
            <w:r w:rsidRPr="00ED7FA9">
              <w:rPr>
                <w:rFonts w:ascii="宋体" w:eastAsia="宋体" w:hAnsi="宋体" w:cs="Times New Roman" w:hint="eastAsia"/>
                <w:szCs w:val="21"/>
              </w:rPr>
              <w:t>浩</w:t>
            </w:r>
            <w:proofErr w:type="gramEnd"/>
            <w:r w:rsidRPr="00ED7FA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ED7FA9" w:rsidRPr="008844A9" w:rsidRDefault="00ED7FA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  <w:r w:rsidRPr="00ED7FA9">
              <w:rPr>
                <w:rFonts w:ascii="宋体" w:eastAsia="宋体" w:hAnsi="宋体" w:cs="Times New Roman" w:hint="eastAsia"/>
                <w:szCs w:val="21"/>
              </w:rPr>
              <w:t>董事会秘书：蒋瑞</w:t>
            </w:r>
          </w:p>
          <w:p w:rsidR="008844A9" w:rsidRPr="00893D3E" w:rsidRDefault="008844A9" w:rsidP="000F7A91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630C7">
        <w:trPr>
          <w:trHeight w:val="410"/>
        </w:trPr>
        <w:tc>
          <w:tcPr>
            <w:tcW w:w="1838" w:type="dxa"/>
            <w:vAlign w:val="center"/>
          </w:tcPr>
          <w:p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6458" w:type="dxa"/>
          </w:tcPr>
          <w:p w:rsidR="000630C7" w:rsidRDefault="0011541C" w:rsidP="00225DAB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023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 w:rsidR="000D7742">
              <w:rPr>
                <w:rFonts w:ascii="宋体" w:eastAsia="宋体" w:hAnsi="宋体" w:cs="宋体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</w:tr>
      <w:tr w:rsidR="000630C7">
        <w:trPr>
          <w:trHeight w:val="417"/>
        </w:trPr>
        <w:tc>
          <w:tcPr>
            <w:tcW w:w="1838" w:type="dxa"/>
            <w:vAlign w:val="center"/>
          </w:tcPr>
          <w:p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6458" w:type="dxa"/>
          </w:tcPr>
          <w:p w:rsidR="000630C7" w:rsidRDefault="0090460F" w:rsidP="00B94EE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0460F">
              <w:rPr>
                <w:rFonts w:ascii="宋体" w:eastAsia="宋体" w:hAnsi="宋体" w:cs="Times New Roman" w:hint="eastAsia"/>
                <w:szCs w:val="21"/>
              </w:rPr>
              <w:t>线上电话会议</w:t>
            </w:r>
          </w:p>
        </w:tc>
      </w:tr>
    </w:tbl>
    <w:p w:rsidR="000630C7" w:rsidRDefault="0011541C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58"/>
      </w:tblGrid>
      <w:tr w:rsidR="000630C7">
        <w:trPr>
          <w:trHeight w:val="1124"/>
        </w:trPr>
        <w:tc>
          <w:tcPr>
            <w:tcW w:w="1838" w:type="dxa"/>
            <w:vAlign w:val="center"/>
          </w:tcPr>
          <w:p w:rsidR="000630C7" w:rsidRDefault="0011541C">
            <w:pPr>
              <w:pStyle w:val="10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投资者关系活动主要内容介绍</w:t>
            </w:r>
          </w:p>
        </w:tc>
        <w:tc>
          <w:tcPr>
            <w:tcW w:w="6458" w:type="dxa"/>
          </w:tcPr>
          <w:p w:rsidR="007E2331" w:rsidRPr="00236138" w:rsidRDefault="009E6CE1" w:rsidP="007E2331">
            <w:pPr>
              <w:spacing w:line="276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236138">
              <w:rPr>
                <w:rFonts w:ascii="宋体" w:eastAsia="宋体" w:hAnsi="宋体" w:cs="Times New Roman" w:hint="eastAsia"/>
                <w:b/>
                <w:szCs w:val="21"/>
              </w:rPr>
              <w:t>【2023三季度业绩】</w:t>
            </w:r>
          </w:p>
          <w:p w:rsidR="007F5D3B" w:rsidRPr="006660C5" w:rsidRDefault="007E2331" w:rsidP="007F5D3B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6660C5">
              <w:rPr>
                <w:rFonts w:ascii="宋体" w:eastAsia="宋体" w:hAnsi="宋体" w:cs="Times New Roman"/>
                <w:szCs w:val="21"/>
              </w:rPr>
              <w:t>023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年第三季度，公司实现营业收入</w:t>
            </w:r>
            <w:r w:rsidRPr="006660C5">
              <w:rPr>
                <w:rFonts w:ascii="宋体" w:eastAsia="宋体" w:hAnsi="宋体" w:cs="Times New Roman"/>
                <w:szCs w:val="21"/>
              </w:rPr>
              <w:t>850.97亿元，同比增长61.25%</w:t>
            </w:r>
            <w:r w:rsidR="00AA0166">
              <w:rPr>
                <w:rFonts w:ascii="宋体" w:eastAsia="宋体" w:hAnsi="宋体" w:cs="Times New Roman" w:hint="eastAsia"/>
                <w:szCs w:val="21"/>
              </w:rPr>
              <w:t>；</w:t>
            </w:r>
            <w:proofErr w:type="gramStart"/>
            <w:r w:rsidRPr="006660C5">
              <w:rPr>
                <w:rFonts w:ascii="宋体" w:eastAsia="宋体" w:hAnsi="宋体" w:cs="Times New Roman"/>
                <w:szCs w:val="21"/>
              </w:rPr>
              <w:t>归母净利润</w:t>
            </w:r>
            <w:proofErr w:type="gramEnd"/>
            <w:r w:rsidRPr="006660C5">
              <w:rPr>
                <w:rFonts w:ascii="宋体" w:eastAsia="宋体" w:hAnsi="宋体" w:cs="Times New Roman"/>
                <w:szCs w:val="21"/>
              </w:rPr>
              <w:t>63.54亿元，同比增长279.14%</w:t>
            </w:r>
            <w:r w:rsidR="007F5D3B" w:rsidRPr="006660C5">
              <w:rPr>
                <w:rFonts w:ascii="宋体" w:eastAsia="宋体" w:hAnsi="宋体" w:cs="Times New Roman" w:hint="eastAsia"/>
                <w:szCs w:val="21"/>
              </w:rPr>
              <w:t>；</w:t>
            </w:r>
            <w:proofErr w:type="gramStart"/>
            <w:r w:rsidR="007F5D3B" w:rsidRPr="006660C5">
              <w:rPr>
                <w:rFonts w:ascii="宋体" w:eastAsia="宋体" w:hAnsi="宋体" w:cs="Times New Roman"/>
                <w:szCs w:val="21"/>
              </w:rPr>
              <w:t>扣非净</w:t>
            </w:r>
            <w:proofErr w:type="gramEnd"/>
            <w:r w:rsidR="007F5D3B" w:rsidRPr="006660C5">
              <w:rPr>
                <w:rFonts w:ascii="宋体" w:eastAsia="宋体" w:hAnsi="宋体" w:cs="Times New Roman"/>
                <w:szCs w:val="21"/>
              </w:rPr>
              <w:t>利润60.47亿元，同比增长298.94%。</w:t>
            </w:r>
            <w:r w:rsidR="002B3E64">
              <w:rPr>
                <w:rFonts w:ascii="宋体" w:eastAsia="宋体" w:hAnsi="宋体" w:cs="Times New Roman" w:hint="eastAsia"/>
                <w:szCs w:val="21"/>
              </w:rPr>
              <w:t>Q</w:t>
            </w:r>
            <w:r w:rsidR="002B3E64">
              <w:rPr>
                <w:rFonts w:ascii="宋体" w:eastAsia="宋体" w:hAnsi="宋体" w:cs="Times New Roman"/>
                <w:szCs w:val="21"/>
              </w:rPr>
              <w:t>3</w:t>
            </w:r>
            <w:r w:rsidR="007F5D3B" w:rsidRPr="006660C5">
              <w:rPr>
                <w:rFonts w:ascii="宋体" w:eastAsia="宋体" w:hAnsi="宋体" w:cs="Times New Roman" w:hint="eastAsia"/>
                <w:szCs w:val="21"/>
              </w:rPr>
              <w:t>单季度利润超过2</w:t>
            </w:r>
            <w:r w:rsidR="007F5D3B" w:rsidRPr="006660C5">
              <w:rPr>
                <w:rFonts w:ascii="宋体" w:eastAsia="宋体" w:hAnsi="宋体" w:cs="Times New Roman"/>
                <w:szCs w:val="21"/>
              </w:rPr>
              <w:t>5</w:t>
            </w:r>
            <w:r w:rsidR="007F5D3B" w:rsidRPr="006660C5">
              <w:rPr>
                <w:rFonts w:ascii="宋体" w:eastAsia="宋体" w:hAnsi="宋体" w:cs="Times New Roman" w:hint="eastAsia"/>
                <w:szCs w:val="21"/>
              </w:rPr>
              <w:t>亿元，环</w:t>
            </w:r>
            <w:proofErr w:type="gramStart"/>
            <w:r w:rsidR="007F5D3B" w:rsidRPr="006660C5">
              <w:rPr>
                <w:rFonts w:ascii="宋体" w:eastAsia="宋体" w:hAnsi="宋体" w:cs="Times New Roman" w:hint="eastAsia"/>
                <w:szCs w:val="21"/>
              </w:rPr>
              <w:t>比持续</w:t>
            </w:r>
            <w:proofErr w:type="gramEnd"/>
            <w:r w:rsidR="007F5D3B" w:rsidRPr="006660C5">
              <w:rPr>
                <w:rFonts w:ascii="宋体" w:eastAsia="宋体" w:hAnsi="宋体" w:cs="Times New Roman" w:hint="eastAsia"/>
                <w:szCs w:val="21"/>
              </w:rPr>
              <w:t>增长；</w:t>
            </w:r>
          </w:p>
          <w:p w:rsidR="007F5D3B" w:rsidRPr="006660C5" w:rsidRDefault="007F5D3B" w:rsidP="007F5D3B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szCs w:val="21"/>
              </w:rPr>
              <w:t>市场方面，</w:t>
            </w:r>
            <w:r w:rsidR="00B92695">
              <w:rPr>
                <w:rFonts w:ascii="宋体" w:eastAsia="宋体" w:hAnsi="宋体" w:cs="Times New Roman"/>
                <w:szCs w:val="21"/>
              </w:rPr>
              <w:t>2023</w:t>
            </w:r>
            <w:r w:rsidR="00B92695">
              <w:rPr>
                <w:rFonts w:ascii="宋体" w:eastAsia="宋体" w:hAnsi="宋体" w:cs="Times New Roman" w:hint="eastAsia"/>
                <w:szCs w:val="21"/>
              </w:rPr>
              <w:t>年前三季度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光伏产品出货量</w:t>
            </w:r>
            <w:r w:rsidRPr="006660C5">
              <w:rPr>
                <w:rFonts w:ascii="宋体" w:eastAsia="宋体" w:hAnsi="宋体" w:cs="Times New Roman"/>
                <w:szCs w:val="21"/>
              </w:rPr>
              <w:t>55.7GW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，组件出货</w:t>
            </w:r>
            <w:r w:rsidRPr="006660C5">
              <w:rPr>
                <w:rFonts w:ascii="宋体" w:eastAsia="宋体" w:hAnsi="宋体" w:cs="Times New Roman"/>
                <w:szCs w:val="21"/>
              </w:rPr>
              <w:t>52.2GW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，N型占比5</w:t>
            </w:r>
            <w:r w:rsidRPr="006660C5">
              <w:rPr>
                <w:rFonts w:ascii="宋体" w:eastAsia="宋体" w:hAnsi="宋体" w:cs="Times New Roman"/>
                <w:szCs w:val="21"/>
              </w:rPr>
              <w:t>7%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，电池效率达2</w:t>
            </w:r>
            <w:r w:rsidRPr="006660C5">
              <w:rPr>
                <w:rFonts w:ascii="宋体" w:eastAsia="宋体" w:hAnsi="宋体" w:cs="Times New Roman"/>
                <w:szCs w:val="21"/>
              </w:rPr>
              <w:t>5.6%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:rsidR="007F5D3B" w:rsidRPr="006660C5" w:rsidRDefault="007F5D3B" w:rsidP="007F5D3B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szCs w:val="21"/>
              </w:rPr>
              <w:t>研发方面，</w:t>
            </w:r>
            <w:r w:rsidR="00B92695">
              <w:rPr>
                <w:rFonts w:ascii="宋体" w:eastAsia="宋体" w:hAnsi="宋体" w:cs="Times New Roman" w:hint="eastAsia"/>
                <w:szCs w:val="21"/>
              </w:rPr>
              <w:t>N型T</w:t>
            </w:r>
            <w:r w:rsidR="00B92695">
              <w:rPr>
                <w:rFonts w:ascii="宋体" w:eastAsia="宋体" w:hAnsi="宋体" w:cs="Times New Roman"/>
                <w:szCs w:val="21"/>
              </w:rPr>
              <w:t>OPC</w:t>
            </w:r>
            <w:r w:rsidR="00B92695">
              <w:rPr>
                <w:rFonts w:ascii="宋体" w:eastAsia="宋体" w:hAnsi="宋体" w:cs="Times New Roman" w:hint="eastAsia"/>
                <w:szCs w:val="21"/>
              </w:rPr>
              <w:t>on电池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转换效率创造2</w:t>
            </w:r>
            <w:r w:rsidRPr="006660C5">
              <w:rPr>
                <w:rFonts w:ascii="宋体" w:eastAsia="宋体" w:hAnsi="宋体" w:cs="Times New Roman"/>
                <w:szCs w:val="21"/>
              </w:rPr>
              <w:t>6.89%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的新纪录；</w:t>
            </w:r>
          </w:p>
          <w:p w:rsidR="002643AA" w:rsidRPr="006660C5" w:rsidRDefault="007F5D3B" w:rsidP="007F5D3B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szCs w:val="21"/>
              </w:rPr>
              <w:t>四季度出货预期2</w:t>
            </w:r>
            <w:r w:rsidRPr="006660C5">
              <w:rPr>
                <w:rFonts w:ascii="宋体" w:eastAsia="宋体" w:hAnsi="宋体" w:cs="Times New Roman"/>
                <w:szCs w:val="21"/>
              </w:rPr>
              <w:t>3GW</w:t>
            </w:r>
            <w:r w:rsidR="00B92695">
              <w:rPr>
                <w:rFonts w:ascii="宋体" w:eastAsia="宋体" w:hAnsi="宋体" w:cs="Times New Roman" w:hint="eastAsia"/>
                <w:szCs w:val="21"/>
              </w:rPr>
              <w:t>左右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，N型产品出货进一步提升，</w:t>
            </w:r>
            <w:r w:rsidR="0097209F">
              <w:rPr>
                <w:rFonts w:ascii="宋体" w:eastAsia="宋体" w:hAnsi="宋体" w:cs="Times New Roman" w:hint="eastAsia"/>
                <w:szCs w:val="21"/>
              </w:rPr>
              <w:t>有信心超额完成7</w:t>
            </w:r>
            <w:r w:rsidR="0097209F">
              <w:rPr>
                <w:rFonts w:ascii="宋体" w:eastAsia="宋体" w:hAnsi="宋体" w:cs="Times New Roman"/>
                <w:szCs w:val="21"/>
              </w:rPr>
              <w:t>0-75GW</w:t>
            </w:r>
            <w:r w:rsidR="0097209F">
              <w:rPr>
                <w:rFonts w:ascii="宋体" w:eastAsia="宋体" w:hAnsi="宋体" w:cs="Times New Roman" w:hint="eastAsia"/>
                <w:szCs w:val="21"/>
              </w:rPr>
              <w:t>的全年出货目标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7F5D3B" w:rsidRPr="006660C5" w:rsidRDefault="007F5D3B" w:rsidP="007F5D3B">
            <w:pPr>
              <w:spacing w:line="276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:rsidR="00236138" w:rsidRPr="00236138" w:rsidRDefault="007F5D3B" w:rsidP="00B83FFE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236138">
              <w:rPr>
                <w:rFonts w:ascii="宋体" w:eastAsia="宋体" w:hAnsi="宋体" w:cs="Times New Roman" w:hint="eastAsia"/>
                <w:b/>
                <w:szCs w:val="21"/>
              </w:rPr>
              <w:t>【投资者问答环节】</w:t>
            </w:r>
          </w:p>
          <w:p w:rsidR="00194912" w:rsidRPr="006660C5" w:rsidRDefault="00044047" w:rsidP="00102BB9">
            <w:pPr>
              <w:pStyle w:val="af6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电池转换效率达到了2</w:t>
            </w:r>
            <w:r>
              <w:rPr>
                <w:rFonts w:ascii="宋体" w:eastAsia="宋体" w:hAnsi="宋体" w:cs="Times New Roman"/>
                <w:b/>
                <w:szCs w:val="21"/>
              </w:rPr>
              <w:t>6.89%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，未来该</w:t>
            </w:r>
            <w:r w:rsidR="00B83FFE" w:rsidRPr="006660C5">
              <w:rPr>
                <w:rFonts w:ascii="宋体" w:eastAsia="宋体" w:hAnsi="宋体" w:cs="Times New Roman" w:hint="eastAsia"/>
                <w:b/>
                <w:szCs w:val="21"/>
              </w:rPr>
              <w:t>技术导入时间节点？</w:t>
            </w:r>
            <w:r w:rsidR="00A14107" w:rsidRPr="006660C5">
              <w:rPr>
                <w:rFonts w:ascii="宋体" w:eastAsia="宋体" w:hAnsi="宋体" w:cs="Times New Roman" w:hint="eastAsia"/>
                <w:b/>
                <w:szCs w:val="21"/>
              </w:rPr>
              <w:t>双面</w:t>
            </w:r>
            <w:r w:rsidR="00A14107">
              <w:rPr>
                <w:rFonts w:ascii="宋体" w:eastAsia="宋体" w:hAnsi="宋体" w:cs="Times New Roman"/>
                <w:b/>
                <w:szCs w:val="21"/>
              </w:rPr>
              <w:t>P</w:t>
            </w:r>
            <w:r w:rsidR="00A14107" w:rsidRPr="006660C5">
              <w:rPr>
                <w:rFonts w:ascii="宋体" w:eastAsia="宋体" w:hAnsi="宋体" w:cs="Times New Roman" w:hint="eastAsia"/>
                <w:b/>
                <w:szCs w:val="21"/>
              </w:rPr>
              <w:t>oly进展？</w:t>
            </w:r>
          </w:p>
          <w:p w:rsidR="00194912" w:rsidRPr="00A14107" w:rsidRDefault="00194912" w:rsidP="00A14107">
            <w:pPr>
              <w:pStyle w:val="af6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/>
                <w:szCs w:val="21"/>
              </w:rPr>
              <w:t>TOPC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on量产效率能够达到2</w:t>
            </w:r>
            <w:r w:rsidRPr="006660C5">
              <w:rPr>
                <w:rFonts w:ascii="宋体" w:eastAsia="宋体" w:hAnsi="宋体" w:cs="Times New Roman"/>
                <w:szCs w:val="21"/>
              </w:rPr>
              <w:t>8%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以上，公司分时间制定后续的技术量产目标，</w:t>
            </w:r>
            <w:r w:rsidR="00044047" w:rsidRPr="006660C5">
              <w:rPr>
                <w:rFonts w:ascii="宋体" w:eastAsia="宋体" w:hAnsi="宋体" w:cs="Times New Roman" w:hint="eastAsia"/>
                <w:szCs w:val="21"/>
              </w:rPr>
              <w:t>目前2</w:t>
            </w:r>
            <w:r w:rsidR="00044047">
              <w:rPr>
                <w:rFonts w:ascii="宋体" w:eastAsia="宋体" w:hAnsi="宋体" w:cs="Times New Roman"/>
                <w:szCs w:val="21"/>
              </w:rPr>
              <w:t>5.6</w:t>
            </w:r>
            <w:r w:rsidR="00044047" w:rsidRPr="006660C5">
              <w:rPr>
                <w:rFonts w:ascii="宋体" w:eastAsia="宋体" w:hAnsi="宋体" w:cs="Times New Roman"/>
                <w:szCs w:val="21"/>
              </w:rPr>
              <w:t>%</w:t>
            </w:r>
            <w:r w:rsidR="00044047">
              <w:rPr>
                <w:rFonts w:ascii="宋体" w:eastAsia="宋体" w:hAnsi="宋体" w:cs="Times New Roman"/>
                <w:szCs w:val="21"/>
              </w:rPr>
              <w:t>-25.7%</w:t>
            </w:r>
            <w:r w:rsidR="00044047">
              <w:rPr>
                <w:rFonts w:ascii="宋体" w:eastAsia="宋体" w:hAnsi="宋体" w:cs="Times New Roman" w:hint="eastAsia"/>
                <w:szCs w:val="21"/>
              </w:rPr>
              <w:t>,明年年底希望达到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6660C5">
              <w:rPr>
                <w:rFonts w:ascii="宋体" w:eastAsia="宋体" w:hAnsi="宋体" w:cs="Times New Roman"/>
                <w:szCs w:val="21"/>
              </w:rPr>
              <w:t>6.5%</w:t>
            </w:r>
            <w:r w:rsidR="009A5393">
              <w:rPr>
                <w:rFonts w:ascii="宋体" w:eastAsia="宋体" w:hAnsi="宋体" w:cs="Times New Roman" w:hint="eastAsia"/>
                <w:szCs w:val="21"/>
              </w:rPr>
              <w:t>的转换效率</w:t>
            </w:r>
            <w:r w:rsidRPr="00B30411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081C86" w:rsidRPr="00B30411">
              <w:rPr>
                <w:rFonts w:ascii="宋体" w:eastAsia="宋体" w:hAnsi="宋体" w:cs="Times New Roman" w:hint="eastAsia"/>
                <w:szCs w:val="21"/>
              </w:rPr>
              <w:t>目前</w:t>
            </w:r>
            <w:r w:rsidR="00A14107" w:rsidRPr="00B30411">
              <w:rPr>
                <w:rFonts w:ascii="宋体" w:eastAsia="宋体" w:hAnsi="宋体" w:cs="Times New Roman" w:hint="eastAsia"/>
                <w:szCs w:val="21"/>
              </w:rPr>
              <w:t>双面Poly</w:t>
            </w:r>
            <w:r w:rsidR="00081C86" w:rsidRPr="00B30411">
              <w:rPr>
                <w:rFonts w:ascii="宋体" w:eastAsia="宋体" w:hAnsi="宋体" w:cs="Times New Roman" w:hint="eastAsia"/>
                <w:szCs w:val="21"/>
              </w:rPr>
              <w:t>有中试线进行</w:t>
            </w:r>
            <w:r w:rsidR="00EA4B26" w:rsidRPr="00B30411">
              <w:rPr>
                <w:rFonts w:ascii="宋体" w:eastAsia="宋体" w:hAnsi="宋体" w:cs="Times New Roman" w:hint="eastAsia"/>
                <w:szCs w:val="21"/>
              </w:rPr>
              <w:t>量产，</w:t>
            </w:r>
            <w:r w:rsidR="00081C86" w:rsidRPr="00B30411">
              <w:rPr>
                <w:rFonts w:ascii="宋体" w:eastAsia="宋体" w:hAnsi="宋体" w:cs="Times New Roman" w:hint="eastAsia"/>
                <w:szCs w:val="21"/>
              </w:rPr>
              <w:t>转换</w:t>
            </w:r>
            <w:r w:rsidR="00EA4B26" w:rsidRPr="00B30411">
              <w:rPr>
                <w:rFonts w:ascii="宋体" w:eastAsia="宋体" w:hAnsi="宋体" w:cs="Times New Roman" w:hint="eastAsia"/>
                <w:szCs w:val="21"/>
              </w:rPr>
              <w:t>效率在2</w:t>
            </w:r>
            <w:r w:rsidR="00EA4B26" w:rsidRPr="00B30411">
              <w:rPr>
                <w:rFonts w:ascii="宋体" w:eastAsia="宋体" w:hAnsi="宋体" w:cs="Times New Roman"/>
                <w:szCs w:val="21"/>
              </w:rPr>
              <w:t>6%</w:t>
            </w:r>
            <w:r w:rsidR="00B30411" w:rsidRPr="00B30411">
              <w:rPr>
                <w:rFonts w:ascii="宋体" w:eastAsia="宋体" w:hAnsi="宋体" w:cs="Times New Roman" w:hint="eastAsia"/>
                <w:szCs w:val="21"/>
              </w:rPr>
              <w:t>左右，</w:t>
            </w:r>
            <w:r w:rsidR="00BC2AD0">
              <w:rPr>
                <w:rFonts w:ascii="宋体" w:eastAsia="宋体" w:hAnsi="宋体" w:cs="Times New Roman" w:hint="eastAsia"/>
                <w:szCs w:val="21"/>
              </w:rPr>
              <w:t>计划</w:t>
            </w:r>
            <w:r w:rsidR="00B30411">
              <w:rPr>
                <w:rFonts w:ascii="宋体" w:eastAsia="宋体" w:hAnsi="宋体" w:cs="Times New Roman" w:hint="eastAsia"/>
                <w:szCs w:val="21"/>
              </w:rPr>
              <w:t>明年</w:t>
            </w:r>
            <w:r w:rsidR="00D4434C">
              <w:rPr>
                <w:rFonts w:ascii="宋体" w:eastAsia="宋体" w:hAnsi="宋体" w:cs="Times New Roman" w:hint="eastAsia"/>
                <w:szCs w:val="21"/>
              </w:rPr>
              <w:t>年底开始</w:t>
            </w:r>
            <w:r w:rsidR="00B30411">
              <w:rPr>
                <w:rFonts w:ascii="宋体" w:eastAsia="宋体" w:hAnsi="宋体" w:cs="Times New Roman" w:hint="eastAsia"/>
                <w:szCs w:val="21"/>
              </w:rPr>
              <w:t>逐步落到生产</w:t>
            </w:r>
            <w:r w:rsidR="00EA4B26" w:rsidRPr="00A14107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7F2B5E" w:rsidRPr="006660C5" w:rsidRDefault="007F2B5E" w:rsidP="00DC28C1">
            <w:pPr>
              <w:pStyle w:val="af6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:rsidR="00EA4B26" w:rsidRPr="006660C5" w:rsidRDefault="00EA4B26" w:rsidP="00102BB9">
            <w:pPr>
              <w:pStyle w:val="af6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b/>
                <w:szCs w:val="21"/>
              </w:rPr>
              <w:t>出货量预期及出货量目标？</w:t>
            </w:r>
          </w:p>
          <w:p w:rsidR="00763C89" w:rsidRDefault="00081C86" w:rsidP="009A5393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今年</w:t>
            </w:r>
            <w:r w:rsidR="00EA4B26" w:rsidRPr="006660C5">
              <w:rPr>
                <w:rFonts w:ascii="宋体" w:eastAsia="宋体" w:hAnsi="宋体" w:cs="Times New Roman" w:hint="eastAsia"/>
                <w:szCs w:val="21"/>
              </w:rPr>
              <w:t>全年出货确定性强，</w:t>
            </w:r>
            <w:r w:rsidR="00992A9B">
              <w:rPr>
                <w:rFonts w:ascii="宋体" w:eastAsia="宋体" w:hAnsi="宋体" w:cs="Times New Roman" w:hint="eastAsia"/>
                <w:szCs w:val="21"/>
              </w:rPr>
              <w:t>有信心完成</w:t>
            </w:r>
            <w:r w:rsidRPr="00081C86">
              <w:rPr>
                <w:rFonts w:ascii="宋体" w:eastAsia="宋体" w:hAnsi="宋体" w:cs="Times New Roman"/>
                <w:szCs w:val="21"/>
              </w:rPr>
              <w:t>70-75GW的出货目标</w:t>
            </w:r>
            <w:r>
              <w:rPr>
                <w:rFonts w:ascii="宋体" w:eastAsia="宋体" w:hAnsi="宋体" w:cs="Times New Roman" w:hint="eastAsia"/>
                <w:szCs w:val="21"/>
              </w:rPr>
              <w:t>；</w:t>
            </w:r>
            <w:r w:rsidR="00EA4B26" w:rsidRPr="006660C5">
              <w:rPr>
                <w:rFonts w:ascii="宋体" w:eastAsia="宋体" w:hAnsi="宋体" w:cs="Times New Roman" w:hint="eastAsia"/>
                <w:szCs w:val="21"/>
              </w:rPr>
              <w:t>预期明年保持</w:t>
            </w:r>
            <w:r>
              <w:rPr>
                <w:rFonts w:ascii="宋体" w:eastAsia="宋体" w:hAnsi="宋体" w:cs="Times New Roman" w:hint="eastAsia"/>
                <w:szCs w:val="21"/>
              </w:rPr>
              <w:t>健康增速，不低于3</w:t>
            </w:r>
            <w:r>
              <w:rPr>
                <w:rFonts w:ascii="宋体" w:eastAsia="宋体" w:hAnsi="宋体" w:cs="Times New Roman"/>
                <w:szCs w:val="21"/>
              </w:rPr>
              <w:t>0%</w:t>
            </w:r>
            <w:r>
              <w:rPr>
                <w:rFonts w:ascii="宋体" w:eastAsia="宋体" w:hAnsi="宋体" w:cs="Times New Roman" w:hint="eastAsia"/>
                <w:szCs w:val="21"/>
              </w:rPr>
              <w:t>的市场增长</w:t>
            </w:r>
            <w:r w:rsidR="00EA4B26" w:rsidRPr="006660C5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9A5393" w:rsidRPr="009A5393" w:rsidRDefault="009A5393" w:rsidP="009A5393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:rsidR="00334F59" w:rsidRPr="006660C5" w:rsidRDefault="00763C89" w:rsidP="00102BB9">
            <w:pPr>
              <w:pStyle w:val="af6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b/>
                <w:szCs w:val="21"/>
              </w:rPr>
              <w:t>欧美市场出货和盈利变化？</w:t>
            </w:r>
          </w:p>
          <w:p w:rsidR="00334F59" w:rsidRPr="006660C5" w:rsidRDefault="00334F59" w:rsidP="00334F59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szCs w:val="21"/>
              </w:rPr>
              <w:t>1）美国市场：</w:t>
            </w:r>
            <w:r w:rsidR="00992A9B">
              <w:rPr>
                <w:rFonts w:ascii="宋体" w:eastAsia="宋体" w:hAnsi="宋体" w:cs="Times New Roman" w:hint="eastAsia"/>
                <w:szCs w:val="21"/>
              </w:rPr>
              <w:t>正在逐步恢复供货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B77D40">
              <w:rPr>
                <w:rFonts w:ascii="宋体" w:eastAsia="宋体" w:hAnsi="宋体" w:cs="Times New Roman" w:hint="eastAsia"/>
                <w:szCs w:val="21"/>
              </w:rPr>
              <w:t>公司长期目标是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在美国市场</w:t>
            </w:r>
            <w:proofErr w:type="gramStart"/>
            <w:r w:rsidRPr="006660C5">
              <w:rPr>
                <w:rFonts w:ascii="宋体" w:eastAsia="宋体" w:hAnsi="宋体" w:cs="Times New Roman" w:hint="eastAsia"/>
                <w:szCs w:val="21"/>
              </w:rPr>
              <w:t>市占率</w:t>
            </w:r>
            <w:r w:rsidR="00B77D40">
              <w:rPr>
                <w:rFonts w:ascii="宋体" w:eastAsia="宋体" w:hAnsi="宋体" w:cs="Times New Roman" w:hint="eastAsia"/>
                <w:szCs w:val="21"/>
              </w:rPr>
              <w:t>达到</w:t>
            </w:r>
            <w:proofErr w:type="gramEnd"/>
            <w:r w:rsidR="00B77D40"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B77D40">
              <w:rPr>
                <w:rFonts w:ascii="宋体" w:eastAsia="宋体" w:hAnsi="宋体" w:cs="Times New Roman"/>
                <w:szCs w:val="21"/>
              </w:rPr>
              <w:t>0%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Pr="006660C5">
              <w:rPr>
                <w:rFonts w:ascii="宋体" w:eastAsia="宋体" w:hAnsi="宋体" w:cs="Times New Roman"/>
                <w:szCs w:val="21"/>
              </w:rPr>
              <w:t>2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）欧洲市场：</w:t>
            </w:r>
            <w:r w:rsidR="00B77D40">
              <w:rPr>
                <w:rFonts w:ascii="宋体" w:eastAsia="宋体" w:hAnsi="宋体" w:cs="Times New Roman" w:hint="eastAsia"/>
                <w:szCs w:val="21"/>
              </w:rPr>
              <w:t>组件价格下跌，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短期</w:t>
            </w:r>
            <w:r w:rsidR="00B77D40">
              <w:rPr>
                <w:rFonts w:ascii="宋体" w:eastAsia="宋体" w:hAnsi="宋体" w:cs="Times New Roman" w:hint="eastAsia"/>
                <w:szCs w:val="21"/>
              </w:rPr>
              <w:t>存在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库存压力，长期从能源成本、客户基础等角度来看，欧洲市场会持续保持2</w:t>
            </w:r>
            <w:r w:rsidRPr="006660C5">
              <w:rPr>
                <w:rFonts w:ascii="宋体" w:eastAsia="宋体" w:hAnsi="宋体" w:cs="Times New Roman"/>
                <w:szCs w:val="21"/>
              </w:rPr>
              <w:t>0</w:t>
            </w:r>
            <w:r w:rsidR="00587124">
              <w:rPr>
                <w:rFonts w:ascii="宋体" w:eastAsia="宋体" w:hAnsi="宋体" w:cs="Times New Roman"/>
                <w:szCs w:val="21"/>
              </w:rPr>
              <w:t>%</w:t>
            </w:r>
            <w:r w:rsidRPr="006660C5">
              <w:rPr>
                <w:rFonts w:ascii="宋体" w:eastAsia="宋体" w:hAnsi="宋体" w:cs="Times New Roman"/>
                <w:szCs w:val="21"/>
              </w:rPr>
              <w:t>-30%</w:t>
            </w:r>
            <w:r w:rsidR="00273433">
              <w:rPr>
                <w:rFonts w:ascii="宋体" w:eastAsia="宋体" w:hAnsi="宋体" w:cs="Times New Roman" w:hint="eastAsia"/>
                <w:szCs w:val="21"/>
              </w:rPr>
              <w:t>的增长，公司预计</w:t>
            </w:r>
            <w:r w:rsidR="001C2D05">
              <w:rPr>
                <w:rFonts w:ascii="宋体" w:eastAsia="宋体" w:hAnsi="宋体" w:cs="Times New Roman" w:hint="eastAsia"/>
                <w:szCs w:val="21"/>
              </w:rPr>
              <w:t>欧洲市场</w:t>
            </w:r>
            <w:proofErr w:type="gramStart"/>
            <w:r w:rsidR="001C2D05">
              <w:rPr>
                <w:rFonts w:ascii="宋体" w:eastAsia="宋体" w:hAnsi="宋体" w:cs="Times New Roman" w:hint="eastAsia"/>
                <w:szCs w:val="21"/>
              </w:rPr>
              <w:t>出货占</w:t>
            </w:r>
            <w:proofErr w:type="gramEnd"/>
            <w:r w:rsidR="001C2D05">
              <w:rPr>
                <w:rFonts w:ascii="宋体" w:eastAsia="宋体" w:hAnsi="宋体" w:cs="Times New Roman" w:hint="eastAsia"/>
                <w:szCs w:val="21"/>
              </w:rPr>
              <w:t>比达到公司总量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6660C5">
              <w:rPr>
                <w:rFonts w:ascii="宋体" w:eastAsia="宋体" w:hAnsi="宋体" w:cs="Times New Roman"/>
                <w:szCs w:val="21"/>
              </w:rPr>
              <w:t>0</w:t>
            </w:r>
            <w:r w:rsidR="006423FB" w:rsidRPr="006660C5">
              <w:rPr>
                <w:rFonts w:ascii="宋体" w:eastAsia="宋体" w:hAnsi="宋体" w:cs="Times New Roman"/>
                <w:szCs w:val="21"/>
              </w:rPr>
              <w:t>%</w:t>
            </w:r>
            <w:r w:rsidR="001C2D05">
              <w:rPr>
                <w:rFonts w:ascii="宋体" w:eastAsia="宋体" w:hAnsi="宋体" w:cs="Times New Roman" w:hint="eastAsia"/>
                <w:szCs w:val="21"/>
              </w:rPr>
              <w:t>以上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7F2B5E" w:rsidRPr="00BD4EFF" w:rsidRDefault="007F2B5E" w:rsidP="00DC28C1">
            <w:pPr>
              <w:pStyle w:val="af6"/>
              <w:ind w:left="420" w:firstLineChars="0" w:firstLine="0"/>
              <w:rPr>
                <w:rFonts w:ascii="宋体" w:eastAsia="宋体" w:hAnsi="宋体"/>
                <w:bCs/>
                <w:szCs w:val="21"/>
              </w:rPr>
            </w:pPr>
          </w:p>
          <w:p w:rsidR="00102BB9" w:rsidRPr="00102BB9" w:rsidRDefault="00334F59" w:rsidP="00102BB9">
            <w:pPr>
              <w:pStyle w:val="af6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b/>
                <w:szCs w:val="21"/>
              </w:rPr>
              <w:t>美国市场订单签订比例？</w:t>
            </w:r>
            <w:r w:rsidR="00102BB9" w:rsidRPr="00102BB9">
              <w:rPr>
                <w:rFonts w:ascii="宋体" w:eastAsia="宋体" w:hAnsi="宋体" w:cs="Times New Roman" w:hint="eastAsia"/>
                <w:b/>
                <w:szCs w:val="21"/>
              </w:rPr>
              <w:t>对美国市场政策展望？</w:t>
            </w:r>
          </w:p>
          <w:p w:rsidR="00334F59" w:rsidRDefault="00334F59" w:rsidP="00102BB9">
            <w:pPr>
              <w:pStyle w:val="af6"/>
              <w:ind w:left="42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szCs w:val="21"/>
              </w:rPr>
              <w:t>美国市场以大型地面电站为主，占比超8</w:t>
            </w:r>
            <w:r w:rsidRPr="006660C5">
              <w:rPr>
                <w:rFonts w:ascii="宋体" w:eastAsia="宋体" w:hAnsi="宋体" w:cs="Times New Roman"/>
                <w:szCs w:val="21"/>
              </w:rPr>
              <w:t>0%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="00102BB9">
              <w:rPr>
                <w:rFonts w:ascii="宋体" w:eastAsia="宋体" w:hAnsi="宋体" w:cs="Times New Roman" w:hint="eastAsia"/>
                <w:szCs w:val="21"/>
              </w:rPr>
              <w:t>政策的走向存在不确定性，公司</w:t>
            </w:r>
            <w:r w:rsidR="00102BB9" w:rsidRPr="00640899">
              <w:rPr>
                <w:rFonts w:ascii="宋体" w:eastAsia="宋体" w:hAnsi="宋体" w:cs="Times New Roman" w:hint="eastAsia"/>
                <w:szCs w:val="21"/>
              </w:rPr>
              <w:t>在海外有着完整的产业链，也是反规避调查的白名单企业，叠加公司在</w:t>
            </w:r>
            <w:r w:rsidR="00102BB9">
              <w:rPr>
                <w:rFonts w:ascii="宋体" w:eastAsia="宋体" w:hAnsi="宋体" w:cs="Times New Roman" w:hint="eastAsia"/>
                <w:szCs w:val="21"/>
              </w:rPr>
              <w:t>合</w:t>
            </w:r>
            <w:proofErr w:type="gramStart"/>
            <w:r w:rsidR="00102BB9">
              <w:rPr>
                <w:rFonts w:ascii="宋体" w:eastAsia="宋体" w:hAnsi="宋体" w:cs="Times New Roman" w:hint="eastAsia"/>
                <w:szCs w:val="21"/>
              </w:rPr>
              <w:t>规</w:t>
            </w:r>
            <w:proofErr w:type="gramEnd"/>
            <w:r w:rsidR="00102BB9">
              <w:rPr>
                <w:rFonts w:ascii="宋体" w:eastAsia="宋体" w:hAnsi="宋体" w:cs="Times New Roman" w:hint="eastAsia"/>
                <w:szCs w:val="21"/>
              </w:rPr>
              <w:t>运营与</w:t>
            </w:r>
            <w:r w:rsidR="00102BB9" w:rsidRPr="00640899">
              <w:rPr>
                <w:rFonts w:ascii="宋体" w:eastAsia="宋体" w:hAnsi="宋体" w:cs="Times New Roman" w:hint="eastAsia"/>
                <w:szCs w:val="21"/>
              </w:rPr>
              <w:t>溯源方面的积累，</w:t>
            </w:r>
            <w:r w:rsidR="00102BB9">
              <w:rPr>
                <w:rFonts w:ascii="宋体" w:eastAsia="宋体" w:hAnsi="宋体" w:cs="Times New Roman" w:hint="eastAsia"/>
                <w:szCs w:val="21"/>
              </w:rPr>
              <w:t>具备海外认证优势，对</w:t>
            </w:r>
            <w:r w:rsidR="00102BB9" w:rsidRPr="001556A0">
              <w:rPr>
                <w:rFonts w:ascii="宋体" w:eastAsia="宋体" w:hAnsi="宋体" w:cs="Times New Roman" w:hint="eastAsia"/>
                <w:szCs w:val="21"/>
              </w:rPr>
              <w:t>美国市场</w:t>
            </w:r>
            <w:proofErr w:type="gramStart"/>
            <w:r w:rsidR="00102BB9" w:rsidRPr="001556A0">
              <w:rPr>
                <w:rFonts w:ascii="宋体" w:eastAsia="宋体" w:hAnsi="宋体" w:cs="Times New Roman" w:hint="eastAsia"/>
                <w:szCs w:val="21"/>
              </w:rPr>
              <w:t>恢复</w:t>
            </w:r>
            <w:r w:rsidR="00102BB9">
              <w:rPr>
                <w:rFonts w:ascii="宋体" w:eastAsia="宋体" w:hAnsi="宋体" w:cs="Times New Roman" w:hint="eastAsia"/>
                <w:szCs w:val="21"/>
              </w:rPr>
              <w:t>较</w:t>
            </w:r>
            <w:proofErr w:type="gramEnd"/>
            <w:r w:rsidR="00102BB9">
              <w:rPr>
                <w:rFonts w:ascii="宋体" w:eastAsia="宋体" w:hAnsi="宋体" w:cs="Times New Roman" w:hint="eastAsia"/>
                <w:szCs w:val="21"/>
              </w:rPr>
              <w:t>有</w:t>
            </w:r>
            <w:r w:rsidR="00102BB9" w:rsidRPr="001556A0">
              <w:rPr>
                <w:rFonts w:ascii="宋体" w:eastAsia="宋体" w:hAnsi="宋体" w:cs="Times New Roman" w:hint="eastAsia"/>
                <w:szCs w:val="21"/>
              </w:rPr>
              <w:t>信心</w:t>
            </w:r>
            <w:r w:rsidR="00102BB9" w:rsidRPr="00640899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5479A7" w:rsidRPr="007D7D49" w:rsidRDefault="005479A7" w:rsidP="007D7D49">
            <w:pPr>
              <w:spacing w:line="276" w:lineRule="auto"/>
              <w:rPr>
                <w:rFonts w:ascii="宋体" w:eastAsia="宋体" w:hAnsi="宋体" w:cs="Times New Roman"/>
                <w:szCs w:val="21"/>
              </w:rPr>
            </w:pPr>
          </w:p>
          <w:p w:rsidR="0031296C" w:rsidRPr="006660C5" w:rsidRDefault="00596435" w:rsidP="00102BB9">
            <w:pPr>
              <w:pStyle w:val="af6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对明年市场需求的展望，</w:t>
            </w:r>
            <w:r w:rsidR="005479A7" w:rsidRPr="006660C5">
              <w:rPr>
                <w:rFonts w:ascii="宋体" w:eastAsia="宋体" w:hAnsi="宋体"/>
                <w:b/>
                <w:bCs/>
                <w:szCs w:val="21"/>
              </w:rPr>
              <w:t>增量主要来自哪些市场？</w:t>
            </w:r>
          </w:p>
          <w:p w:rsidR="0031296C" w:rsidRPr="006660C5" w:rsidRDefault="005479A7" w:rsidP="0031296C">
            <w:pPr>
              <w:pStyle w:val="af6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/>
                <w:szCs w:val="21"/>
              </w:rPr>
              <w:t>对明年全球市场需求保持乐观，</w:t>
            </w:r>
            <w:r w:rsidR="00596435">
              <w:rPr>
                <w:rFonts w:ascii="宋体" w:eastAsia="宋体" w:hAnsi="宋体" w:cs="Times New Roman" w:hint="eastAsia"/>
                <w:szCs w:val="21"/>
              </w:rPr>
              <w:t>目前</w:t>
            </w:r>
            <w:r w:rsidR="00596435">
              <w:rPr>
                <w:rFonts w:ascii="宋体" w:eastAsia="宋体" w:hAnsi="宋体" w:cs="Times New Roman"/>
                <w:szCs w:val="21"/>
              </w:rPr>
              <w:t>大量地面电站项目在积极推进</w:t>
            </w:r>
            <w:r w:rsidR="00596435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6660C5">
              <w:rPr>
                <w:rFonts w:ascii="宋体" w:eastAsia="宋体" w:hAnsi="宋体" w:cs="Times New Roman"/>
                <w:szCs w:val="21"/>
              </w:rPr>
              <w:t>中国、美国、欧洲还有中东市场，都可以看到10GW</w:t>
            </w:r>
            <w:r w:rsidR="0091724E">
              <w:rPr>
                <w:rFonts w:ascii="宋体" w:eastAsia="宋体" w:hAnsi="宋体" w:cs="Times New Roman"/>
                <w:szCs w:val="21"/>
              </w:rPr>
              <w:t>甚至以上的增长；在拉美和东南亚</w:t>
            </w:r>
            <w:r w:rsidR="0091724E">
              <w:rPr>
                <w:rFonts w:ascii="宋体" w:eastAsia="宋体" w:hAnsi="宋体" w:cs="Times New Roman" w:hint="eastAsia"/>
                <w:szCs w:val="21"/>
              </w:rPr>
              <w:t>等</w:t>
            </w:r>
            <w:r w:rsidRPr="006660C5">
              <w:rPr>
                <w:rFonts w:ascii="宋体" w:eastAsia="宋体" w:hAnsi="宋体" w:cs="Times New Roman"/>
                <w:szCs w:val="21"/>
              </w:rPr>
              <w:t>新兴市场有</w:t>
            </w:r>
            <w:r w:rsidR="00EA0C73">
              <w:rPr>
                <w:rFonts w:ascii="宋体" w:eastAsia="宋体" w:hAnsi="宋体" w:cs="Times New Roman" w:hint="eastAsia"/>
                <w:szCs w:val="21"/>
              </w:rPr>
              <w:t>些国家</w:t>
            </w:r>
            <w:r w:rsidR="003030A5">
              <w:rPr>
                <w:rFonts w:ascii="宋体" w:eastAsia="宋体" w:hAnsi="宋体" w:cs="Times New Roman" w:hint="eastAsia"/>
                <w:szCs w:val="21"/>
              </w:rPr>
              <w:t>会有</w:t>
            </w:r>
            <w:r w:rsidRPr="006660C5">
              <w:rPr>
                <w:rFonts w:ascii="宋体" w:eastAsia="宋体" w:hAnsi="宋体" w:cs="Times New Roman"/>
                <w:szCs w:val="21"/>
              </w:rPr>
              <w:t>100%</w:t>
            </w:r>
            <w:r w:rsidR="0091724E">
              <w:rPr>
                <w:rFonts w:ascii="宋体" w:eastAsia="宋体" w:hAnsi="宋体" w:cs="Times New Roman"/>
                <w:szCs w:val="21"/>
              </w:rPr>
              <w:t>以上</w:t>
            </w:r>
            <w:r w:rsidRPr="006660C5">
              <w:rPr>
                <w:rFonts w:ascii="宋体" w:eastAsia="宋体" w:hAnsi="宋体" w:cs="Times New Roman"/>
                <w:szCs w:val="21"/>
              </w:rPr>
              <w:t>超速</w:t>
            </w:r>
            <w:r w:rsidRPr="006660C5">
              <w:rPr>
                <w:rFonts w:ascii="宋体" w:eastAsia="宋体" w:hAnsi="宋体" w:cs="Times New Roman"/>
                <w:szCs w:val="21"/>
              </w:rPr>
              <w:lastRenderedPageBreak/>
              <w:t>增长。</w:t>
            </w:r>
          </w:p>
          <w:p w:rsidR="0031296C" w:rsidRPr="003D0B14" w:rsidRDefault="0031296C" w:rsidP="0015306A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:rsidR="0031296C" w:rsidRPr="006660C5" w:rsidRDefault="005479A7" w:rsidP="00102BB9">
            <w:pPr>
              <w:pStyle w:val="af6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Times New Roman"/>
                <w:b/>
                <w:szCs w:val="21"/>
              </w:rPr>
            </w:pPr>
            <w:r w:rsidRPr="006660C5">
              <w:rPr>
                <w:rFonts w:ascii="宋体" w:eastAsia="宋体" w:hAnsi="宋体" w:cs="Times New Roman"/>
                <w:b/>
                <w:szCs w:val="21"/>
              </w:rPr>
              <w:t>国内第二批大基地需要配套送出线路的建设，如何看待明年国内地面光</w:t>
            </w:r>
            <w:proofErr w:type="gramStart"/>
            <w:r w:rsidRPr="006660C5">
              <w:rPr>
                <w:rFonts w:ascii="宋体" w:eastAsia="宋体" w:hAnsi="宋体" w:cs="Times New Roman"/>
                <w:b/>
                <w:szCs w:val="21"/>
              </w:rPr>
              <w:t>伏</w:t>
            </w:r>
            <w:proofErr w:type="gramEnd"/>
            <w:r w:rsidRPr="006660C5">
              <w:rPr>
                <w:rFonts w:ascii="宋体" w:eastAsia="宋体" w:hAnsi="宋体" w:cs="Times New Roman"/>
                <w:b/>
                <w:szCs w:val="21"/>
              </w:rPr>
              <w:t>需求？</w:t>
            </w:r>
          </w:p>
          <w:p w:rsidR="00550E60" w:rsidRDefault="005479A7" w:rsidP="00594A3B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/>
                <w:szCs w:val="21"/>
              </w:rPr>
              <w:t>储能成本的下降和应用，会很大程度缓解电力压力；如果</w:t>
            </w:r>
            <w:proofErr w:type="gramStart"/>
            <w:r w:rsidRPr="006660C5">
              <w:rPr>
                <w:rFonts w:ascii="宋体" w:eastAsia="宋体" w:hAnsi="宋体" w:cs="Times New Roman"/>
                <w:szCs w:val="21"/>
              </w:rPr>
              <w:t>光伏加储</w:t>
            </w:r>
            <w:r w:rsidR="005A3C1F">
              <w:rPr>
                <w:rFonts w:ascii="宋体" w:eastAsia="宋体" w:hAnsi="宋体" w:cs="Times New Roman"/>
                <w:szCs w:val="21"/>
              </w:rPr>
              <w:t>能</w:t>
            </w:r>
            <w:proofErr w:type="gramEnd"/>
            <w:r w:rsidR="005A3C1F">
              <w:rPr>
                <w:rFonts w:ascii="宋体" w:eastAsia="宋体" w:hAnsi="宋体" w:cs="Times New Roman"/>
                <w:szCs w:val="21"/>
              </w:rPr>
              <w:t>的成本可以覆盖传统能源，</w:t>
            </w:r>
            <w:proofErr w:type="gramStart"/>
            <w:r w:rsidR="005A3C1F">
              <w:rPr>
                <w:rFonts w:ascii="宋体" w:eastAsia="宋体" w:hAnsi="宋体" w:cs="Times New Roman"/>
                <w:szCs w:val="21"/>
              </w:rPr>
              <w:t>光伏加储能</w:t>
            </w:r>
            <w:proofErr w:type="gramEnd"/>
            <w:r w:rsidR="005A3C1F">
              <w:rPr>
                <w:rFonts w:ascii="宋体" w:eastAsia="宋体" w:hAnsi="宋体" w:cs="Times New Roman"/>
                <w:szCs w:val="21"/>
              </w:rPr>
              <w:t>将会成为未来主要的电力模式</w:t>
            </w:r>
            <w:r w:rsidR="005A3C1F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6660C5">
              <w:rPr>
                <w:rFonts w:ascii="宋体" w:eastAsia="宋体" w:hAnsi="宋体" w:cs="Times New Roman"/>
                <w:szCs w:val="21"/>
              </w:rPr>
              <w:t>明年20%的市场增长</w:t>
            </w:r>
            <w:r w:rsidR="00A905A2">
              <w:rPr>
                <w:rFonts w:ascii="宋体" w:eastAsia="宋体" w:hAnsi="宋体" w:cs="Times New Roman" w:hint="eastAsia"/>
                <w:szCs w:val="21"/>
              </w:rPr>
              <w:t>仍较为</w:t>
            </w:r>
            <w:r w:rsidR="005A3C1F">
              <w:rPr>
                <w:rFonts w:ascii="宋体" w:eastAsia="宋体" w:hAnsi="宋体" w:cs="Times New Roman" w:hint="eastAsia"/>
                <w:szCs w:val="21"/>
              </w:rPr>
              <w:t>可观</w:t>
            </w:r>
            <w:r w:rsidRPr="006660C5">
              <w:rPr>
                <w:rFonts w:ascii="宋体" w:eastAsia="宋体" w:hAnsi="宋体" w:cs="Times New Roman"/>
                <w:szCs w:val="21"/>
              </w:rPr>
              <w:t>。</w:t>
            </w:r>
          </w:p>
          <w:p w:rsidR="00594A3B" w:rsidRPr="006660C5" w:rsidRDefault="00594A3B" w:rsidP="00594A3B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</w:p>
          <w:p w:rsidR="00550E60" w:rsidRPr="005D0DDB" w:rsidRDefault="00457F1D" w:rsidP="005D0DDB">
            <w:pPr>
              <w:spacing w:line="276" w:lineRule="auto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7</w:t>
            </w:r>
            <w:r w:rsidR="005D0DDB">
              <w:rPr>
                <w:rFonts w:ascii="宋体" w:eastAsia="宋体" w:hAnsi="宋体" w:cs="Times New Roman" w:hint="eastAsia"/>
                <w:b/>
                <w:szCs w:val="21"/>
              </w:rPr>
              <w:t>、</w:t>
            </w:r>
            <w:r w:rsidR="00550E60" w:rsidRPr="005D0DDB">
              <w:rPr>
                <w:rFonts w:ascii="宋体" w:eastAsia="宋体" w:hAnsi="宋体" w:cs="Times New Roman" w:hint="eastAsia"/>
                <w:b/>
                <w:szCs w:val="21"/>
              </w:rPr>
              <w:t>从公司角度看，</w:t>
            </w:r>
            <w:r w:rsidR="00550E60" w:rsidRPr="005D0DDB">
              <w:rPr>
                <w:rFonts w:ascii="宋体" w:eastAsia="宋体" w:hAnsi="宋体" w:cs="Times New Roman"/>
                <w:b/>
                <w:szCs w:val="21"/>
              </w:rPr>
              <w:t>TOPCon相比PERC</w:t>
            </w:r>
            <w:r w:rsidR="00596435" w:rsidRPr="005D0DDB">
              <w:rPr>
                <w:rFonts w:ascii="宋体" w:eastAsia="宋体" w:hAnsi="宋体" w:cs="Times New Roman"/>
                <w:b/>
                <w:szCs w:val="21"/>
              </w:rPr>
              <w:t>超额盈利是否</w:t>
            </w:r>
            <w:r w:rsidR="00596435" w:rsidRPr="005D0DDB">
              <w:rPr>
                <w:rFonts w:ascii="宋体" w:eastAsia="宋体" w:hAnsi="宋体" w:cs="Times New Roman" w:hint="eastAsia"/>
                <w:b/>
                <w:szCs w:val="21"/>
              </w:rPr>
              <w:t>会拉开</w:t>
            </w:r>
            <w:r w:rsidR="00550E60" w:rsidRPr="005D0DDB">
              <w:rPr>
                <w:rFonts w:ascii="宋体" w:eastAsia="宋体" w:hAnsi="宋体" w:cs="Times New Roman"/>
                <w:b/>
                <w:szCs w:val="21"/>
              </w:rPr>
              <w:t>？</w:t>
            </w:r>
          </w:p>
          <w:p w:rsidR="00550E60" w:rsidRPr="006660C5" w:rsidRDefault="00550E60" w:rsidP="00550E60">
            <w:pPr>
              <w:pStyle w:val="af6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szCs w:val="21"/>
              </w:rPr>
              <w:t>长期来看由于</w:t>
            </w:r>
            <w:r w:rsidRPr="006660C5">
              <w:rPr>
                <w:rFonts w:ascii="宋体" w:eastAsia="宋体" w:hAnsi="宋体" w:cs="Times New Roman"/>
                <w:szCs w:val="21"/>
              </w:rPr>
              <w:t>TOPCon性能的提升，</w:t>
            </w:r>
            <w:r w:rsidR="00ED2B67">
              <w:rPr>
                <w:rFonts w:ascii="宋体" w:eastAsia="宋体" w:hAnsi="宋体" w:cs="Times New Roman" w:hint="eastAsia"/>
                <w:szCs w:val="21"/>
              </w:rPr>
              <w:t>N型</w:t>
            </w:r>
            <w:r w:rsidR="00ED2B67" w:rsidRPr="006660C5">
              <w:rPr>
                <w:rFonts w:ascii="宋体" w:eastAsia="宋体" w:hAnsi="宋体" w:cs="Times New Roman"/>
                <w:szCs w:val="21"/>
              </w:rPr>
              <w:t>溢价</w:t>
            </w:r>
            <w:r w:rsidR="00ED2B67">
              <w:rPr>
                <w:rFonts w:ascii="宋体" w:eastAsia="宋体" w:hAnsi="宋体" w:cs="Times New Roman" w:hint="eastAsia"/>
                <w:szCs w:val="21"/>
              </w:rPr>
              <w:t>率较P</w:t>
            </w:r>
            <w:proofErr w:type="gramStart"/>
            <w:r w:rsidR="00ED2B67">
              <w:rPr>
                <w:rFonts w:ascii="宋体" w:eastAsia="宋体" w:hAnsi="宋体" w:cs="Times New Roman" w:hint="eastAsia"/>
                <w:szCs w:val="21"/>
              </w:rPr>
              <w:t>型</w:t>
            </w:r>
            <w:r w:rsidR="00ED2B67">
              <w:rPr>
                <w:rFonts w:ascii="宋体" w:eastAsia="宋体" w:hAnsi="宋体" w:cs="Times New Roman"/>
                <w:szCs w:val="21"/>
              </w:rPr>
              <w:t>会进一步</w:t>
            </w:r>
            <w:proofErr w:type="gramEnd"/>
            <w:r w:rsidR="00ED2B67">
              <w:rPr>
                <w:rFonts w:ascii="宋体" w:eastAsia="宋体" w:hAnsi="宋体" w:cs="Times New Roman" w:hint="eastAsia"/>
                <w:szCs w:val="21"/>
              </w:rPr>
              <w:t>拉开</w:t>
            </w:r>
            <w:r w:rsidRPr="006660C5">
              <w:rPr>
                <w:rFonts w:ascii="宋体" w:eastAsia="宋体" w:hAnsi="宋体" w:cs="Times New Roman"/>
                <w:szCs w:val="21"/>
              </w:rPr>
              <w:t>；</w:t>
            </w:r>
            <w:r w:rsidR="00C54FD3">
              <w:rPr>
                <w:rFonts w:ascii="宋体" w:eastAsia="宋体" w:hAnsi="宋体" w:cs="Times New Roman" w:hint="eastAsia"/>
                <w:szCs w:val="21"/>
              </w:rPr>
              <w:t>此外每家T</w:t>
            </w:r>
            <w:r w:rsidR="00C54FD3">
              <w:rPr>
                <w:rFonts w:ascii="宋体" w:eastAsia="宋体" w:hAnsi="宋体" w:cs="Times New Roman"/>
                <w:szCs w:val="21"/>
              </w:rPr>
              <w:t>OPC</w:t>
            </w:r>
            <w:r w:rsidR="00C54FD3">
              <w:rPr>
                <w:rFonts w:ascii="宋体" w:eastAsia="宋体" w:hAnsi="宋体" w:cs="Times New Roman" w:hint="eastAsia"/>
                <w:szCs w:val="21"/>
              </w:rPr>
              <w:t>on企业生产的产品效率、良率不一样，不同性能的</w:t>
            </w:r>
            <w:r w:rsidR="00C54FD3">
              <w:rPr>
                <w:rFonts w:ascii="宋体" w:eastAsia="宋体" w:hAnsi="宋体" w:cs="Times New Roman"/>
                <w:szCs w:val="21"/>
              </w:rPr>
              <w:t>TOPCo</w:t>
            </w:r>
            <w:r w:rsidR="00FA72B5">
              <w:rPr>
                <w:rFonts w:ascii="宋体" w:eastAsia="宋体" w:hAnsi="宋体" w:cs="Times New Roman" w:hint="eastAsia"/>
                <w:szCs w:val="21"/>
              </w:rPr>
              <w:t>n</w:t>
            </w:r>
            <w:r w:rsidR="00524F3F">
              <w:rPr>
                <w:rFonts w:ascii="宋体" w:eastAsia="宋体" w:hAnsi="宋体" w:cs="Times New Roman" w:hint="eastAsia"/>
                <w:szCs w:val="21"/>
              </w:rPr>
              <w:t>售价</w:t>
            </w:r>
            <w:r w:rsidR="00C54FD3">
              <w:rPr>
                <w:rFonts w:ascii="宋体" w:eastAsia="宋体" w:hAnsi="宋体" w:cs="Times New Roman" w:hint="eastAsia"/>
                <w:szCs w:val="21"/>
              </w:rPr>
              <w:t>也会有差别</w:t>
            </w:r>
            <w:r w:rsidR="009019BC">
              <w:rPr>
                <w:rFonts w:ascii="宋体" w:eastAsia="宋体" w:hAnsi="宋体" w:cs="Times New Roman" w:hint="eastAsia"/>
                <w:szCs w:val="21"/>
              </w:rPr>
              <w:t>，因此盈利水平差距</w:t>
            </w:r>
            <w:r w:rsidR="00524F3F">
              <w:rPr>
                <w:rFonts w:ascii="宋体" w:eastAsia="宋体" w:hAnsi="宋体" w:cs="Times New Roman" w:hint="eastAsia"/>
                <w:szCs w:val="21"/>
              </w:rPr>
              <w:t>会有所</w:t>
            </w:r>
            <w:r w:rsidR="003152F4">
              <w:rPr>
                <w:rFonts w:ascii="宋体" w:eastAsia="宋体" w:hAnsi="宋体" w:cs="Times New Roman" w:hint="eastAsia"/>
                <w:szCs w:val="21"/>
              </w:rPr>
              <w:t>扩大</w:t>
            </w:r>
            <w:r w:rsidRPr="006660C5">
              <w:rPr>
                <w:rFonts w:ascii="宋体" w:eastAsia="宋体" w:hAnsi="宋体" w:cs="Times New Roman"/>
                <w:szCs w:val="21"/>
              </w:rPr>
              <w:t>。</w:t>
            </w:r>
          </w:p>
          <w:p w:rsidR="00550E60" w:rsidRPr="001556A0" w:rsidRDefault="00550E60" w:rsidP="00550E60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:rsidR="00550E60" w:rsidRPr="005D0DDB" w:rsidRDefault="00457F1D" w:rsidP="005D0DDB">
            <w:pPr>
              <w:spacing w:line="276" w:lineRule="auto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8</w:t>
            </w:r>
            <w:r w:rsidR="005D0DDB">
              <w:rPr>
                <w:rFonts w:ascii="宋体" w:eastAsia="宋体" w:hAnsi="宋体" w:cs="Times New Roman" w:hint="eastAsia"/>
                <w:b/>
                <w:szCs w:val="21"/>
              </w:rPr>
              <w:t>、</w:t>
            </w:r>
            <w:r w:rsidR="00550E60" w:rsidRPr="005D0DDB">
              <w:rPr>
                <w:rFonts w:ascii="宋体" w:eastAsia="宋体" w:hAnsi="宋体" w:cs="Times New Roman" w:hint="eastAsia"/>
                <w:b/>
                <w:szCs w:val="21"/>
              </w:rPr>
              <w:t>海外利率上行和组件价格下行对海外电站收益率的影响？</w:t>
            </w:r>
          </w:p>
          <w:p w:rsidR="00550E60" w:rsidRPr="006660C5" w:rsidRDefault="00550E60" w:rsidP="00550E60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szCs w:val="21"/>
              </w:rPr>
            </w:pPr>
            <w:r w:rsidRPr="006660C5">
              <w:rPr>
                <w:rFonts w:ascii="宋体" w:eastAsia="宋体" w:hAnsi="宋体" w:cs="Times New Roman" w:hint="eastAsia"/>
                <w:szCs w:val="21"/>
              </w:rPr>
              <w:t>对前期已经锁定利率的电站，组件价格下降是非常大的超额收益；对于新开发电站，因为</w:t>
            </w:r>
            <w:proofErr w:type="gramStart"/>
            <w:r w:rsidRPr="006660C5">
              <w:rPr>
                <w:rFonts w:ascii="宋体" w:eastAsia="宋体" w:hAnsi="宋体" w:cs="Times New Roman" w:hint="eastAsia"/>
                <w:szCs w:val="21"/>
              </w:rPr>
              <w:t>绿电市场</w:t>
            </w:r>
            <w:proofErr w:type="gramEnd"/>
            <w:r w:rsidR="000B44B7">
              <w:rPr>
                <w:rFonts w:ascii="宋体" w:eastAsia="宋体" w:hAnsi="宋体" w:cs="Times New Roman" w:hint="eastAsia"/>
                <w:szCs w:val="21"/>
              </w:rPr>
              <w:t>发展</w:t>
            </w:r>
            <w:r w:rsidR="00421EE5">
              <w:rPr>
                <w:rFonts w:ascii="宋体" w:eastAsia="宋体" w:hAnsi="宋体" w:cs="Times New Roman" w:hint="eastAsia"/>
                <w:szCs w:val="21"/>
              </w:rPr>
              <w:t>较好</w:t>
            </w:r>
            <w:r w:rsidRPr="006660C5">
              <w:rPr>
                <w:rFonts w:ascii="宋体" w:eastAsia="宋体" w:hAnsi="宋体" w:cs="Times New Roman" w:hint="eastAsia"/>
                <w:szCs w:val="21"/>
              </w:rPr>
              <w:t>，绝大部分上升利率可以传导至下游，对业务没有产生明显影响。</w:t>
            </w:r>
          </w:p>
          <w:p w:rsidR="00550E60" w:rsidRPr="006660C5" w:rsidRDefault="00550E60" w:rsidP="00550E60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:rsidR="00550E60" w:rsidRPr="005D0DDB" w:rsidRDefault="00457F1D" w:rsidP="005D0DDB">
            <w:pPr>
              <w:spacing w:line="276" w:lineRule="auto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9</w:t>
            </w:r>
            <w:r w:rsidR="005D0DDB">
              <w:rPr>
                <w:rFonts w:ascii="宋体" w:eastAsia="宋体" w:hAnsi="宋体" w:cs="Times New Roman" w:hint="eastAsia"/>
                <w:b/>
                <w:szCs w:val="21"/>
              </w:rPr>
              <w:t>、</w:t>
            </w:r>
            <w:r w:rsidR="00550E60" w:rsidRPr="005D0DDB">
              <w:rPr>
                <w:rFonts w:ascii="宋体" w:eastAsia="宋体" w:hAnsi="宋体" w:cs="Times New Roman" w:hint="eastAsia"/>
                <w:b/>
                <w:szCs w:val="21"/>
              </w:rPr>
              <w:t>公司的成本领先性？</w:t>
            </w:r>
          </w:p>
          <w:p w:rsidR="00550E60" w:rsidRDefault="00550E60" w:rsidP="00550E60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/>
                <w:bCs/>
                <w:szCs w:val="21"/>
              </w:rPr>
            </w:pPr>
            <w:r w:rsidRPr="006660C5">
              <w:rPr>
                <w:rFonts w:ascii="宋体" w:eastAsia="宋体" w:hAnsi="宋体" w:hint="eastAsia"/>
                <w:bCs/>
                <w:szCs w:val="21"/>
              </w:rPr>
              <w:t>公司垂直一体化成本在行业中处于领先地位，明年随着山西一体化大基地先进产能的释放，</w:t>
            </w:r>
            <w:r w:rsidR="009A5393">
              <w:rPr>
                <w:rFonts w:ascii="宋体" w:eastAsia="宋体" w:hAnsi="宋体" w:hint="eastAsia"/>
                <w:bCs/>
                <w:szCs w:val="21"/>
              </w:rPr>
              <w:t>运营</w:t>
            </w:r>
            <w:r w:rsidR="00884EB2">
              <w:rPr>
                <w:rFonts w:ascii="宋体" w:eastAsia="宋体" w:hAnsi="宋体" w:hint="eastAsia"/>
                <w:bCs/>
                <w:szCs w:val="21"/>
              </w:rPr>
              <w:t>成本</w:t>
            </w:r>
            <w:r w:rsidR="009A5393">
              <w:rPr>
                <w:rFonts w:ascii="宋体" w:eastAsia="宋体" w:hAnsi="宋体" w:hint="eastAsia"/>
                <w:bCs/>
                <w:szCs w:val="21"/>
              </w:rPr>
              <w:t>会显著降低</w:t>
            </w:r>
            <w:r w:rsidRPr="006660C5">
              <w:rPr>
                <w:rFonts w:ascii="宋体" w:eastAsia="宋体" w:hAnsi="宋体"/>
                <w:bCs/>
                <w:szCs w:val="21"/>
              </w:rPr>
              <w:t>。</w:t>
            </w:r>
          </w:p>
          <w:p w:rsidR="001556A0" w:rsidRPr="006660C5" w:rsidRDefault="001556A0" w:rsidP="00550E60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 w:cs="Times New Roman"/>
                <w:b/>
                <w:szCs w:val="21"/>
              </w:rPr>
            </w:pPr>
          </w:p>
          <w:p w:rsidR="001556A0" w:rsidRPr="005D0DDB" w:rsidRDefault="005D0DDB" w:rsidP="005D0DDB">
            <w:pPr>
              <w:spacing w:line="276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  <w:r w:rsidR="00457F1D">
              <w:rPr>
                <w:rFonts w:ascii="宋体" w:eastAsia="宋体" w:hAnsi="宋体"/>
                <w:b/>
                <w:bCs/>
                <w:szCs w:val="21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  <w:r w:rsidR="001556A0" w:rsidRPr="005D0DDB">
              <w:rPr>
                <w:rFonts w:ascii="宋体" w:eastAsia="宋体" w:hAnsi="宋体" w:hint="eastAsia"/>
                <w:b/>
                <w:bCs/>
                <w:szCs w:val="21"/>
              </w:rPr>
              <w:t>对市场悲观情绪的看法以及价格竞争的影响？</w:t>
            </w:r>
          </w:p>
          <w:p w:rsidR="00640899" w:rsidRDefault="00550E60" w:rsidP="00125A1E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/>
                <w:bCs/>
                <w:szCs w:val="21"/>
              </w:rPr>
            </w:pPr>
            <w:r w:rsidRPr="006660C5">
              <w:rPr>
                <w:rFonts w:ascii="宋体" w:eastAsia="宋体" w:hAnsi="宋体" w:hint="eastAsia"/>
                <w:bCs/>
                <w:szCs w:val="21"/>
              </w:rPr>
              <w:t>市场需求的增长是确定的，技术发展带来的成本下降会提升产品</w:t>
            </w:r>
            <w:r w:rsidR="001556A0">
              <w:rPr>
                <w:rFonts w:ascii="宋体" w:eastAsia="宋体" w:hAnsi="宋体" w:hint="eastAsia"/>
                <w:bCs/>
                <w:szCs w:val="21"/>
              </w:rPr>
              <w:t>竞争力，全球化能力可以捕捉更多市场需求</w:t>
            </w:r>
            <w:r w:rsidRPr="006660C5">
              <w:rPr>
                <w:rFonts w:ascii="宋体" w:eastAsia="宋体" w:hAnsi="宋体" w:hint="eastAsia"/>
                <w:bCs/>
                <w:szCs w:val="21"/>
              </w:rPr>
              <w:t>。</w:t>
            </w:r>
          </w:p>
          <w:p w:rsidR="00125A1E" w:rsidRPr="00125A1E" w:rsidRDefault="00125A1E" w:rsidP="00125A1E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/>
                <w:bCs/>
                <w:szCs w:val="21"/>
              </w:rPr>
            </w:pPr>
          </w:p>
          <w:p w:rsidR="00550E60" w:rsidRPr="00640899" w:rsidRDefault="00457F1D" w:rsidP="00640899">
            <w:pPr>
              <w:spacing w:line="276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11</w:t>
            </w:r>
            <w:r w:rsidR="005205B8"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  <w:r w:rsidR="00550E60" w:rsidRPr="00640899">
              <w:rPr>
                <w:rFonts w:ascii="宋体" w:eastAsia="宋体" w:hAnsi="宋体" w:hint="eastAsia"/>
                <w:b/>
                <w:bCs/>
                <w:szCs w:val="21"/>
              </w:rPr>
              <w:t>公司未来</w:t>
            </w:r>
            <w:r w:rsidR="00550E60" w:rsidRPr="00640899">
              <w:rPr>
                <w:rFonts w:ascii="宋体" w:eastAsia="宋体" w:hAnsi="宋体"/>
                <w:b/>
                <w:bCs/>
                <w:szCs w:val="21"/>
              </w:rPr>
              <w:t>2-3年资本开支的计划？</w:t>
            </w:r>
          </w:p>
          <w:p w:rsidR="00550E60" w:rsidRPr="006660C5" w:rsidRDefault="00550E60" w:rsidP="00550E60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660C5">
              <w:rPr>
                <w:rFonts w:ascii="宋体" w:eastAsia="宋体" w:hAnsi="宋体" w:hint="eastAsia"/>
                <w:bCs/>
                <w:szCs w:val="21"/>
              </w:rPr>
              <w:t>公司追求有竞争力的先进产能，明年只有山西一体化大基地的建设计划，暂无其他规划。未来会持续评估市场变化和技术迭代情况，并通过盈利能力的提升来进行先进产能的投资。</w:t>
            </w:r>
          </w:p>
          <w:p w:rsidR="00550E60" w:rsidRPr="006660C5" w:rsidRDefault="00550E60" w:rsidP="00550E60">
            <w:pPr>
              <w:pStyle w:val="af6"/>
              <w:spacing w:line="276" w:lineRule="auto"/>
              <w:ind w:left="360"/>
              <w:rPr>
                <w:rFonts w:ascii="宋体" w:eastAsia="宋体" w:hAnsi="宋体"/>
                <w:bCs/>
                <w:szCs w:val="21"/>
              </w:rPr>
            </w:pPr>
          </w:p>
          <w:p w:rsidR="00550E60" w:rsidRPr="005205B8" w:rsidRDefault="005205B8" w:rsidP="005205B8">
            <w:pPr>
              <w:spacing w:line="276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  <w:r w:rsidR="00457F1D">
              <w:rPr>
                <w:rFonts w:ascii="宋体" w:eastAsia="宋体" w:hAnsi="宋体"/>
                <w:b/>
                <w:bCs/>
                <w:szCs w:val="21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  <w:r w:rsidR="00550E60" w:rsidRPr="005205B8">
              <w:rPr>
                <w:rFonts w:ascii="宋体" w:eastAsia="宋体" w:hAnsi="宋体" w:hint="eastAsia"/>
                <w:b/>
                <w:bCs/>
                <w:szCs w:val="21"/>
              </w:rPr>
              <w:t>公司对储能的想法和布局？</w:t>
            </w:r>
          </w:p>
          <w:p w:rsidR="00550E60" w:rsidRPr="006660C5" w:rsidRDefault="00550E60" w:rsidP="00550E60">
            <w:pPr>
              <w:pStyle w:val="af6"/>
              <w:spacing w:line="276" w:lineRule="auto"/>
              <w:ind w:left="420"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proofErr w:type="gramStart"/>
            <w:r w:rsidRPr="006660C5">
              <w:rPr>
                <w:rFonts w:ascii="宋体" w:eastAsia="宋体" w:hAnsi="宋体" w:hint="eastAsia"/>
                <w:bCs/>
                <w:szCs w:val="21"/>
              </w:rPr>
              <w:t>光伏加储能</w:t>
            </w:r>
            <w:proofErr w:type="gramEnd"/>
            <w:r w:rsidRPr="006660C5">
              <w:rPr>
                <w:rFonts w:ascii="宋体" w:eastAsia="宋体" w:hAnsi="宋体" w:hint="eastAsia"/>
                <w:bCs/>
                <w:szCs w:val="21"/>
              </w:rPr>
              <w:t>是未来的电力供应模式，公司将储能作为种子业务培养，关注于做好技术、质量和商业模式，着眼长远的发展。</w:t>
            </w:r>
          </w:p>
          <w:p w:rsidR="00550E60" w:rsidRPr="006660C5" w:rsidRDefault="00550E60" w:rsidP="00550E60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/>
                <w:bCs/>
                <w:szCs w:val="21"/>
              </w:rPr>
            </w:pPr>
          </w:p>
          <w:p w:rsidR="00550E60" w:rsidRPr="005205B8" w:rsidRDefault="005205B8" w:rsidP="005205B8">
            <w:pPr>
              <w:spacing w:line="276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  <w:r w:rsidR="00457F1D">
              <w:rPr>
                <w:rFonts w:ascii="宋体" w:eastAsia="宋体" w:hAnsi="宋体"/>
                <w:b/>
                <w:bCs/>
                <w:szCs w:val="21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  <w:r w:rsidR="00550E60" w:rsidRPr="005205B8">
              <w:rPr>
                <w:rFonts w:ascii="宋体" w:eastAsia="宋体" w:hAnsi="宋体" w:hint="eastAsia"/>
                <w:b/>
                <w:bCs/>
                <w:szCs w:val="21"/>
              </w:rPr>
              <w:t>三季度</w:t>
            </w:r>
            <w:r w:rsidR="009A5393">
              <w:rPr>
                <w:rFonts w:ascii="宋体" w:eastAsia="宋体" w:hAnsi="宋体" w:hint="eastAsia"/>
                <w:b/>
                <w:bCs/>
                <w:szCs w:val="21"/>
              </w:rPr>
              <w:t>减值情况如何？</w:t>
            </w:r>
            <w:r w:rsidR="00550E60" w:rsidRPr="005205B8">
              <w:rPr>
                <w:rFonts w:ascii="宋体" w:eastAsia="宋体" w:hAnsi="宋体" w:hint="eastAsia"/>
                <w:b/>
                <w:bCs/>
                <w:szCs w:val="21"/>
              </w:rPr>
              <w:t>什么原因</w:t>
            </w:r>
            <w:r w:rsidR="00550E60" w:rsidRPr="005205B8">
              <w:rPr>
                <w:rFonts w:ascii="宋体" w:eastAsia="宋体" w:hAnsi="宋体"/>
                <w:b/>
                <w:bCs/>
                <w:szCs w:val="21"/>
              </w:rPr>
              <w:t>?</w:t>
            </w:r>
          </w:p>
          <w:p w:rsidR="00550E60" w:rsidRPr="006660C5" w:rsidRDefault="00550E60" w:rsidP="00550E60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/>
                <w:bCs/>
                <w:szCs w:val="21"/>
              </w:rPr>
            </w:pPr>
            <w:r w:rsidRPr="006660C5">
              <w:rPr>
                <w:rFonts w:ascii="宋体" w:eastAsia="宋体" w:hAnsi="宋体" w:hint="eastAsia"/>
                <w:bCs/>
                <w:szCs w:val="21"/>
              </w:rPr>
              <w:t>在设备方面，</w:t>
            </w:r>
            <w:r w:rsidR="00DC04C2">
              <w:rPr>
                <w:rFonts w:ascii="宋体" w:eastAsia="宋体" w:hAnsi="宋体" w:hint="eastAsia"/>
                <w:bCs/>
                <w:szCs w:val="21"/>
              </w:rPr>
              <w:t>公司</w:t>
            </w:r>
            <w:r w:rsidRPr="006660C5">
              <w:rPr>
                <w:rFonts w:ascii="宋体" w:eastAsia="宋体" w:hAnsi="宋体" w:hint="eastAsia"/>
                <w:bCs/>
                <w:szCs w:val="21"/>
              </w:rPr>
              <w:t>大部分均是</w:t>
            </w:r>
            <w:r w:rsidRPr="006660C5">
              <w:rPr>
                <w:rFonts w:ascii="宋体" w:eastAsia="宋体" w:hAnsi="宋体"/>
                <w:bCs/>
                <w:szCs w:val="21"/>
              </w:rPr>
              <w:t>TOPCon先进产能；在库存方面，公司在手订单充足，所有库存均有合理价格订单覆盖，无需计提大量减值。</w:t>
            </w:r>
          </w:p>
          <w:p w:rsidR="00550E60" w:rsidRPr="006660C5" w:rsidRDefault="00550E60" w:rsidP="00550E60">
            <w:pPr>
              <w:pStyle w:val="af6"/>
              <w:spacing w:line="276" w:lineRule="auto"/>
              <w:ind w:left="360"/>
              <w:rPr>
                <w:rFonts w:ascii="宋体" w:eastAsia="宋体" w:hAnsi="宋体"/>
                <w:bCs/>
                <w:szCs w:val="21"/>
              </w:rPr>
            </w:pPr>
          </w:p>
          <w:p w:rsidR="00550E60" w:rsidRPr="005205B8" w:rsidRDefault="005205B8" w:rsidP="005205B8">
            <w:pPr>
              <w:spacing w:line="276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  <w:r w:rsidR="00457F1D">
              <w:rPr>
                <w:rFonts w:ascii="宋体" w:eastAsia="宋体" w:hAnsi="宋体"/>
                <w:b/>
                <w:bCs/>
                <w:szCs w:val="21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  <w:proofErr w:type="gramStart"/>
            <w:r w:rsidR="00550E60" w:rsidRPr="005205B8">
              <w:rPr>
                <w:rFonts w:ascii="宋体" w:eastAsia="宋体" w:hAnsi="宋体" w:hint="eastAsia"/>
                <w:b/>
                <w:bCs/>
                <w:szCs w:val="21"/>
              </w:rPr>
              <w:t>晶科在</w:t>
            </w:r>
            <w:proofErr w:type="gramEnd"/>
            <w:r w:rsidR="00550E60" w:rsidRPr="005205B8">
              <w:rPr>
                <w:rFonts w:ascii="宋体" w:eastAsia="宋体" w:hAnsi="宋体" w:hint="eastAsia"/>
                <w:b/>
                <w:bCs/>
                <w:szCs w:val="21"/>
              </w:rPr>
              <w:t>技术上动态领先同行半年到</w:t>
            </w:r>
            <w:r w:rsidR="008E14D6">
              <w:rPr>
                <w:rFonts w:ascii="宋体" w:eastAsia="宋体" w:hAnsi="宋体" w:hint="eastAsia"/>
                <w:b/>
                <w:bCs/>
                <w:szCs w:val="21"/>
              </w:rPr>
              <w:t>一年</w:t>
            </w:r>
            <w:r w:rsidR="00550E60" w:rsidRPr="005205B8">
              <w:rPr>
                <w:rFonts w:ascii="宋体" w:eastAsia="宋体" w:hAnsi="宋体"/>
                <w:b/>
                <w:bCs/>
                <w:szCs w:val="21"/>
              </w:rPr>
              <w:t>的优势，持续性如何？</w:t>
            </w:r>
          </w:p>
          <w:p w:rsidR="00550E60" w:rsidRPr="006660C5" w:rsidRDefault="00550E60" w:rsidP="00550E60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/>
                <w:bCs/>
                <w:szCs w:val="21"/>
              </w:rPr>
            </w:pPr>
            <w:r w:rsidRPr="006660C5">
              <w:rPr>
                <w:rFonts w:ascii="宋体" w:eastAsia="宋体" w:hAnsi="宋体" w:hint="eastAsia"/>
                <w:bCs/>
                <w:szCs w:val="21"/>
              </w:rPr>
              <w:t>公司在战略上持续保持技术领先，制定了今年</w:t>
            </w:r>
            <w:r w:rsidRPr="006660C5">
              <w:rPr>
                <w:rFonts w:ascii="宋体" w:eastAsia="宋体" w:hAnsi="宋体"/>
                <w:bCs/>
                <w:szCs w:val="21"/>
              </w:rPr>
              <w:t>25.8%、明年26.5%的效率目标，并有着清晰的技术路线图，我们认为动态领先半</w:t>
            </w:r>
            <w:proofErr w:type="gramStart"/>
            <w:r w:rsidRPr="006660C5">
              <w:rPr>
                <w:rFonts w:ascii="宋体" w:eastAsia="宋体" w:hAnsi="宋体"/>
                <w:bCs/>
                <w:szCs w:val="21"/>
              </w:rPr>
              <w:t>年优势</w:t>
            </w:r>
            <w:proofErr w:type="gramEnd"/>
            <w:r w:rsidRPr="006660C5">
              <w:rPr>
                <w:rFonts w:ascii="宋体" w:eastAsia="宋体" w:hAnsi="宋体"/>
                <w:bCs/>
                <w:szCs w:val="21"/>
              </w:rPr>
              <w:t>在24年甚至25</w:t>
            </w:r>
            <w:r w:rsidR="005A4E1D">
              <w:rPr>
                <w:rFonts w:ascii="宋体" w:eastAsia="宋体" w:hAnsi="宋体"/>
                <w:bCs/>
                <w:szCs w:val="21"/>
              </w:rPr>
              <w:t>年依然可以做到。同时产品</w:t>
            </w:r>
            <w:proofErr w:type="gramStart"/>
            <w:r w:rsidR="005A4E1D">
              <w:rPr>
                <w:rFonts w:ascii="宋体" w:eastAsia="宋体" w:hAnsi="宋体"/>
                <w:bCs/>
                <w:szCs w:val="21"/>
              </w:rPr>
              <w:t>不仅只比</w:t>
            </w:r>
            <w:proofErr w:type="gramEnd"/>
            <w:r w:rsidR="005A4E1D">
              <w:rPr>
                <w:rFonts w:ascii="宋体" w:eastAsia="宋体" w:hAnsi="宋体"/>
                <w:bCs/>
                <w:szCs w:val="21"/>
              </w:rPr>
              <w:t>效率，还有良率和成本，公司在</w:t>
            </w:r>
            <w:r w:rsidR="005A4E1D">
              <w:rPr>
                <w:rFonts w:ascii="宋体" w:eastAsia="宋体" w:hAnsi="宋体" w:hint="eastAsia"/>
                <w:bCs/>
                <w:szCs w:val="21"/>
              </w:rPr>
              <w:t>多项</w:t>
            </w:r>
            <w:r w:rsidRPr="006660C5">
              <w:rPr>
                <w:rFonts w:ascii="宋体" w:eastAsia="宋体" w:hAnsi="宋体"/>
                <w:bCs/>
                <w:szCs w:val="21"/>
              </w:rPr>
              <w:t>指标上都处于行业领先。</w:t>
            </w:r>
          </w:p>
          <w:p w:rsidR="00550E60" w:rsidRPr="006660C5" w:rsidRDefault="00550E60" w:rsidP="00550E60">
            <w:pPr>
              <w:pStyle w:val="af6"/>
              <w:spacing w:line="276" w:lineRule="auto"/>
              <w:ind w:left="360" w:firstLine="422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550E60" w:rsidRPr="005205B8" w:rsidRDefault="005205B8" w:rsidP="005205B8">
            <w:pPr>
              <w:spacing w:line="276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  <w:r w:rsidR="00457F1D">
              <w:rPr>
                <w:rFonts w:ascii="宋体" w:eastAsia="宋体" w:hAnsi="宋体"/>
                <w:b/>
                <w:bCs/>
                <w:szCs w:val="21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、</w:t>
            </w:r>
            <w:r w:rsidR="00B427FE">
              <w:rPr>
                <w:rFonts w:ascii="宋体" w:eastAsia="宋体" w:hAnsi="宋体" w:hint="eastAsia"/>
                <w:b/>
                <w:bCs/>
                <w:szCs w:val="21"/>
              </w:rPr>
              <w:t>产业价格下降</w:t>
            </w:r>
            <w:r w:rsidR="00C4171C">
              <w:rPr>
                <w:rFonts w:ascii="宋体" w:eastAsia="宋体" w:hAnsi="宋体" w:hint="eastAsia"/>
                <w:b/>
                <w:bCs/>
                <w:szCs w:val="21"/>
              </w:rPr>
              <w:t>期间</w:t>
            </w:r>
            <w:r w:rsidR="00305C98">
              <w:rPr>
                <w:rFonts w:ascii="宋体" w:eastAsia="宋体" w:hAnsi="宋体" w:hint="eastAsia"/>
                <w:b/>
                <w:bCs/>
                <w:szCs w:val="21"/>
              </w:rPr>
              <w:t>，公司盈利</w:t>
            </w:r>
            <w:r w:rsidR="00AC4F3B">
              <w:rPr>
                <w:rFonts w:ascii="宋体" w:eastAsia="宋体" w:hAnsi="宋体" w:hint="eastAsia"/>
                <w:b/>
                <w:bCs/>
                <w:szCs w:val="21"/>
              </w:rPr>
              <w:t>水平</w:t>
            </w:r>
            <w:r w:rsidR="00BC2AD0">
              <w:rPr>
                <w:rFonts w:ascii="宋体" w:eastAsia="宋体" w:hAnsi="宋体" w:hint="eastAsia"/>
                <w:b/>
                <w:bCs/>
                <w:szCs w:val="21"/>
              </w:rPr>
              <w:t>如何</w:t>
            </w:r>
            <w:r w:rsidR="00295608">
              <w:rPr>
                <w:rFonts w:ascii="宋体" w:eastAsia="宋体" w:hAnsi="宋体" w:hint="eastAsia"/>
                <w:b/>
                <w:bCs/>
                <w:szCs w:val="21"/>
              </w:rPr>
              <w:t>维持</w:t>
            </w:r>
            <w:r w:rsidR="00550E60" w:rsidRPr="005205B8">
              <w:rPr>
                <w:rFonts w:ascii="宋体" w:eastAsia="宋体" w:hAnsi="宋体"/>
                <w:b/>
                <w:bCs/>
                <w:szCs w:val="21"/>
              </w:rPr>
              <w:t>？</w:t>
            </w:r>
          </w:p>
          <w:p w:rsidR="00334F59" w:rsidRPr="006660C5" w:rsidRDefault="00550E60" w:rsidP="00550E60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/>
                <w:bCs/>
                <w:szCs w:val="21"/>
              </w:rPr>
            </w:pPr>
            <w:r w:rsidRPr="006660C5">
              <w:rPr>
                <w:rFonts w:ascii="宋体" w:eastAsia="宋体" w:hAnsi="宋体" w:hint="eastAsia"/>
                <w:bCs/>
                <w:szCs w:val="21"/>
              </w:rPr>
              <w:t>凭借</w:t>
            </w:r>
            <w:r w:rsidR="00DC04C2">
              <w:rPr>
                <w:rFonts w:ascii="宋体" w:eastAsia="宋体" w:hAnsi="宋体" w:hint="eastAsia"/>
                <w:bCs/>
                <w:szCs w:val="21"/>
              </w:rPr>
              <w:t>公司</w:t>
            </w:r>
            <w:r w:rsidRPr="006660C5">
              <w:rPr>
                <w:rFonts w:ascii="宋体" w:eastAsia="宋体" w:hAnsi="宋体" w:hint="eastAsia"/>
                <w:bCs/>
                <w:szCs w:val="21"/>
              </w:rPr>
              <w:t>的技术领先优势、全球化能力、成本控制能力，可以保持一体化</w:t>
            </w:r>
            <w:r w:rsidRPr="006660C5">
              <w:rPr>
                <w:rFonts w:ascii="宋体" w:eastAsia="宋体" w:hAnsi="宋体"/>
                <w:bCs/>
                <w:szCs w:val="21"/>
              </w:rPr>
              <w:t>6</w:t>
            </w:r>
            <w:r w:rsidR="00587124">
              <w:rPr>
                <w:rFonts w:ascii="宋体" w:eastAsia="宋体" w:hAnsi="宋体"/>
                <w:bCs/>
                <w:szCs w:val="21"/>
              </w:rPr>
              <w:t>%</w:t>
            </w:r>
            <w:r w:rsidRPr="006660C5">
              <w:rPr>
                <w:rFonts w:ascii="宋体" w:eastAsia="宋体" w:hAnsi="宋体"/>
                <w:bCs/>
                <w:szCs w:val="21"/>
              </w:rPr>
              <w:t>-8%的净利率水平，并通过规模的增长实现公司业绩的增长。</w:t>
            </w:r>
          </w:p>
          <w:p w:rsidR="00907D3C" w:rsidRPr="006660C5" w:rsidRDefault="00907D3C" w:rsidP="00550E60">
            <w:pPr>
              <w:pStyle w:val="af6"/>
              <w:spacing w:line="276" w:lineRule="auto"/>
              <w:ind w:left="360" w:firstLineChars="0" w:firstLine="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630C7">
        <w:trPr>
          <w:trHeight w:val="77"/>
        </w:trPr>
        <w:tc>
          <w:tcPr>
            <w:tcW w:w="1838" w:type="dxa"/>
            <w:vAlign w:val="center"/>
          </w:tcPr>
          <w:p w:rsidR="000630C7" w:rsidRDefault="0011541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附件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清单</w:t>
            </w:r>
          </w:p>
          <w:p w:rsidR="000630C7" w:rsidRDefault="0011541C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cs="Times New Roman"/>
                <w:b/>
                <w:bCs/>
                <w:szCs w:val="21"/>
              </w:rPr>
              <w:t>如有）</w:t>
            </w:r>
          </w:p>
        </w:tc>
        <w:tc>
          <w:tcPr>
            <w:tcW w:w="6458" w:type="dxa"/>
            <w:vAlign w:val="center"/>
          </w:tcPr>
          <w:p w:rsidR="000630C7" w:rsidRDefault="0011541C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0630C7">
        <w:trPr>
          <w:trHeight w:val="77"/>
        </w:trPr>
        <w:tc>
          <w:tcPr>
            <w:tcW w:w="1838" w:type="dxa"/>
            <w:vAlign w:val="center"/>
          </w:tcPr>
          <w:p w:rsidR="000630C7" w:rsidRDefault="0011541C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6458" w:type="dxa"/>
            <w:vAlign w:val="center"/>
          </w:tcPr>
          <w:p w:rsidR="000630C7" w:rsidRDefault="0011541C" w:rsidP="00FC0D3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>
              <w:rPr>
                <w:rFonts w:ascii="宋体" w:eastAsia="宋体" w:hAnsi="宋体" w:cs="宋体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 w:rsidR="00946CA1">
              <w:rPr>
                <w:rFonts w:ascii="宋体" w:eastAsia="宋体" w:hAnsi="宋体" w:cs="宋体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 w:rsidR="00946CA1">
              <w:rPr>
                <w:rFonts w:ascii="宋体" w:eastAsia="宋体" w:hAnsi="宋体" w:cs="宋体"/>
                <w:szCs w:val="21"/>
              </w:rPr>
              <w:t>31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0630C7" w:rsidRDefault="000630C7">
      <w:pPr>
        <w:rPr>
          <w:rFonts w:ascii="宋体" w:eastAsia="宋体" w:hAnsi="宋体"/>
          <w:szCs w:val="21"/>
        </w:rPr>
      </w:pPr>
    </w:p>
    <w:sectPr w:rsidR="000630C7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568" w:footer="5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6B" w:rsidRDefault="00B94E6B">
      <w:r>
        <w:separator/>
      </w:r>
    </w:p>
  </w:endnote>
  <w:endnote w:type="continuationSeparator" w:id="0">
    <w:p w:rsidR="00B94E6B" w:rsidRDefault="00B9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C7" w:rsidRDefault="0011541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:rsidR="000630C7" w:rsidRDefault="000630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C7" w:rsidRDefault="0011541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8237F1">
      <w:rPr>
        <w:rStyle w:val="af2"/>
        <w:noProof/>
      </w:rPr>
      <w:t>4</w:t>
    </w:r>
    <w:r>
      <w:rPr>
        <w:rStyle w:val="af2"/>
      </w:rPr>
      <w:fldChar w:fldCharType="end"/>
    </w:r>
  </w:p>
  <w:p w:rsidR="000630C7" w:rsidRDefault="000630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6B" w:rsidRDefault="00B94E6B">
      <w:r>
        <w:separator/>
      </w:r>
    </w:p>
  </w:footnote>
  <w:footnote w:type="continuationSeparator" w:id="0">
    <w:p w:rsidR="00B94E6B" w:rsidRDefault="00B9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C7" w:rsidRDefault="000630C7">
    <w:pPr>
      <w:pStyle w:val="a9"/>
      <w:pBdr>
        <w:bottom w:val="none" w:sz="0" w:space="1" w:color="auto"/>
      </w:pBdr>
      <w:jc w:val="right"/>
      <w:rPr>
        <w:rFonts w:ascii="Arial" w:eastAsia="黑体" w:hAnsi="Arial" w:cs="Arial"/>
        <w:color w:val="191919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7AF"/>
    <w:multiLevelType w:val="hybridMultilevel"/>
    <w:tmpl w:val="92EE1F7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662666"/>
    <w:multiLevelType w:val="hybridMultilevel"/>
    <w:tmpl w:val="E5E2BB68"/>
    <w:lvl w:ilvl="0" w:tplc="53C63BD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6D327E"/>
    <w:multiLevelType w:val="hybridMultilevel"/>
    <w:tmpl w:val="347E3C50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174A76"/>
    <w:multiLevelType w:val="hybridMultilevel"/>
    <w:tmpl w:val="3880E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A635ED"/>
    <w:multiLevelType w:val="hybridMultilevel"/>
    <w:tmpl w:val="E1A89D2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6341E71"/>
    <w:multiLevelType w:val="hybridMultilevel"/>
    <w:tmpl w:val="24AA1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17348D"/>
    <w:multiLevelType w:val="hybridMultilevel"/>
    <w:tmpl w:val="79F89A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DDA724E"/>
    <w:multiLevelType w:val="hybridMultilevel"/>
    <w:tmpl w:val="8640D9A6"/>
    <w:lvl w:ilvl="0" w:tplc="EFB0F4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1E1B6B"/>
    <w:multiLevelType w:val="multilevel"/>
    <w:tmpl w:val="4E1E1B6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2D2387"/>
    <w:multiLevelType w:val="hybridMultilevel"/>
    <w:tmpl w:val="5536913A"/>
    <w:lvl w:ilvl="0" w:tplc="53C63BD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EF72E3"/>
    <w:multiLevelType w:val="hybridMultilevel"/>
    <w:tmpl w:val="5D32A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4E16F9"/>
    <w:multiLevelType w:val="hybridMultilevel"/>
    <w:tmpl w:val="E6EEDF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4AD120F"/>
    <w:multiLevelType w:val="hybridMultilevel"/>
    <w:tmpl w:val="F9446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0F46F9"/>
    <w:multiLevelType w:val="hybridMultilevel"/>
    <w:tmpl w:val="F2E60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A81494"/>
    <w:multiLevelType w:val="hybridMultilevel"/>
    <w:tmpl w:val="7FE62932"/>
    <w:lvl w:ilvl="0" w:tplc="5CBC10CC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9C719A3"/>
    <w:multiLevelType w:val="hybridMultilevel"/>
    <w:tmpl w:val="7D94F4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7E880509"/>
    <w:multiLevelType w:val="hybridMultilevel"/>
    <w:tmpl w:val="CF3E2CD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5"/>
  </w:num>
  <w:num w:numId="12">
    <w:abstractNumId w:val="16"/>
  </w:num>
  <w:num w:numId="13">
    <w:abstractNumId w:val="3"/>
  </w:num>
  <w:num w:numId="14">
    <w:abstractNumId w:val="14"/>
  </w:num>
  <w:num w:numId="15">
    <w:abstractNumId w:val="1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B8"/>
    <w:rsid w:val="BFEE62E0"/>
    <w:rsid w:val="00010DB2"/>
    <w:rsid w:val="00011BB5"/>
    <w:rsid w:val="0001245B"/>
    <w:rsid w:val="00014A13"/>
    <w:rsid w:val="00021E4B"/>
    <w:rsid w:val="00023049"/>
    <w:rsid w:val="00031240"/>
    <w:rsid w:val="00032AED"/>
    <w:rsid w:val="0003388A"/>
    <w:rsid w:val="00033B0A"/>
    <w:rsid w:val="00041070"/>
    <w:rsid w:val="0004303D"/>
    <w:rsid w:val="00043368"/>
    <w:rsid w:val="00043C89"/>
    <w:rsid w:val="00043F65"/>
    <w:rsid w:val="00044047"/>
    <w:rsid w:val="00047D27"/>
    <w:rsid w:val="00053391"/>
    <w:rsid w:val="000538DA"/>
    <w:rsid w:val="000549FA"/>
    <w:rsid w:val="0005566C"/>
    <w:rsid w:val="00062849"/>
    <w:rsid w:val="000630C7"/>
    <w:rsid w:val="000667AB"/>
    <w:rsid w:val="00067117"/>
    <w:rsid w:val="00070B26"/>
    <w:rsid w:val="00076912"/>
    <w:rsid w:val="00081C86"/>
    <w:rsid w:val="00082BF4"/>
    <w:rsid w:val="00083F67"/>
    <w:rsid w:val="0009790A"/>
    <w:rsid w:val="000B44B7"/>
    <w:rsid w:val="000B6062"/>
    <w:rsid w:val="000B7BB2"/>
    <w:rsid w:val="000C5226"/>
    <w:rsid w:val="000C5D3B"/>
    <w:rsid w:val="000C6026"/>
    <w:rsid w:val="000C6B45"/>
    <w:rsid w:val="000C7C86"/>
    <w:rsid w:val="000D0269"/>
    <w:rsid w:val="000D0E97"/>
    <w:rsid w:val="000D2357"/>
    <w:rsid w:val="000D58E9"/>
    <w:rsid w:val="000D7742"/>
    <w:rsid w:val="000E2CFB"/>
    <w:rsid w:val="000E6360"/>
    <w:rsid w:val="000F0C5E"/>
    <w:rsid w:val="000F0DFC"/>
    <w:rsid w:val="000F0F17"/>
    <w:rsid w:val="000F2176"/>
    <w:rsid w:val="000F63C0"/>
    <w:rsid w:val="000F7A91"/>
    <w:rsid w:val="000F7AE5"/>
    <w:rsid w:val="00101638"/>
    <w:rsid w:val="00101CEF"/>
    <w:rsid w:val="00102BB9"/>
    <w:rsid w:val="0010434D"/>
    <w:rsid w:val="00111C55"/>
    <w:rsid w:val="0011384A"/>
    <w:rsid w:val="00115183"/>
    <w:rsid w:val="0011541C"/>
    <w:rsid w:val="00120AC9"/>
    <w:rsid w:val="00120EC0"/>
    <w:rsid w:val="00123577"/>
    <w:rsid w:val="00124A0A"/>
    <w:rsid w:val="00125A1E"/>
    <w:rsid w:val="00132E62"/>
    <w:rsid w:val="00136F95"/>
    <w:rsid w:val="001416E0"/>
    <w:rsid w:val="00152002"/>
    <w:rsid w:val="0015306A"/>
    <w:rsid w:val="001546C7"/>
    <w:rsid w:val="001556A0"/>
    <w:rsid w:val="00157742"/>
    <w:rsid w:val="0016225B"/>
    <w:rsid w:val="00162965"/>
    <w:rsid w:val="0016309C"/>
    <w:rsid w:val="00163B34"/>
    <w:rsid w:val="00165C7D"/>
    <w:rsid w:val="00182E95"/>
    <w:rsid w:val="00185B3C"/>
    <w:rsid w:val="00194912"/>
    <w:rsid w:val="00197C93"/>
    <w:rsid w:val="001A653F"/>
    <w:rsid w:val="001A7E8A"/>
    <w:rsid w:val="001B35CB"/>
    <w:rsid w:val="001B4358"/>
    <w:rsid w:val="001B447A"/>
    <w:rsid w:val="001C0EEE"/>
    <w:rsid w:val="001C2D05"/>
    <w:rsid w:val="001C33C7"/>
    <w:rsid w:val="001C7CA2"/>
    <w:rsid w:val="001D0811"/>
    <w:rsid w:val="001D7B87"/>
    <w:rsid w:val="001E2077"/>
    <w:rsid w:val="001E5436"/>
    <w:rsid w:val="001E6B03"/>
    <w:rsid w:val="00201107"/>
    <w:rsid w:val="002031DE"/>
    <w:rsid w:val="00203E27"/>
    <w:rsid w:val="00211363"/>
    <w:rsid w:val="002116B5"/>
    <w:rsid w:val="00225DAB"/>
    <w:rsid w:val="00232860"/>
    <w:rsid w:val="00236138"/>
    <w:rsid w:val="00236F95"/>
    <w:rsid w:val="00241CD3"/>
    <w:rsid w:val="00242DD2"/>
    <w:rsid w:val="00244097"/>
    <w:rsid w:val="00245C40"/>
    <w:rsid w:val="00246B81"/>
    <w:rsid w:val="002473A4"/>
    <w:rsid w:val="00247C6E"/>
    <w:rsid w:val="00252D58"/>
    <w:rsid w:val="00263568"/>
    <w:rsid w:val="002643AA"/>
    <w:rsid w:val="002704C7"/>
    <w:rsid w:val="00273433"/>
    <w:rsid w:val="002748B8"/>
    <w:rsid w:val="002844C5"/>
    <w:rsid w:val="00285AE4"/>
    <w:rsid w:val="00286797"/>
    <w:rsid w:val="0029247A"/>
    <w:rsid w:val="00293719"/>
    <w:rsid w:val="00293DAF"/>
    <w:rsid w:val="00295608"/>
    <w:rsid w:val="002A05E6"/>
    <w:rsid w:val="002A5816"/>
    <w:rsid w:val="002A623F"/>
    <w:rsid w:val="002A799E"/>
    <w:rsid w:val="002B3E64"/>
    <w:rsid w:val="002B5BC0"/>
    <w:rsid w:val="002C1ADE"/>
    <w:rsid w:val="002C4433"/>
    <w:rsid w:val="002D23E6"/>
    <w:rsid w:val="002D25A3"/>
    <w:rsid w:val="002D71F4"/>
    <w:rsid w:val="002E3431"/>
    <w:rsid w:val="002E3F45"/>
    <w:rsid w:val="002F010F"/>
    <w:rsid w:val="002F1003"/>
    <w:rsid w:val="002F29E1"/>
    <w:rsid w:val="002F351F"/>
    <w:rsid w:val="0030189F"/>
    <w:rsid w:val="003030A5"/>
    <w:rsid w:val="0030347E"/>
    <w:rsid w:val="00305C98"/>
    <w:rsid w:val="00305F32"/>
    <w:rsid w:val="00307409"/>
    <w:rsid w:val="00307AC8"/>
    <w:rsid w:val="0031296C"/>
    <w:rsid w:val="00313C1C"/>
    <w:rsid w:val="003145FC"/>
    <w:rsid w:val="003152F4"/>
    <w:rsid w:val="00327A2A"/>
    <w:rsid w:val="00327C41"/>
    <w:rsid w:val="003308BB"/>
    <w:rsid w:val="0033244D"/>
    <w:rsid w:val="00334BA4"/>
    <w:rsid w:val="00334F59"/>
    <w:rsid w:val="003355A0"/>
    <w:rsid w:val="00337288"/>
    <w:rsid w:val="00341DF8"/>
    <w:rsid w:val="00343CA6"/>
    <w:rsid w:val="00343FD0"/>
    <w:rsid w:val="00347F01"/>
    <w:rsid w:val="003512AE"/>
    <w:rsid w:val="003516DF"/>
    <w:rsid w:val="00354555"/>
    <w:rsid w:val="00355271"/>
    <w:rsid w:val="00355943"/>
    <w:rsid w:val="003708DE"/>
    <w:rsid w:val="003711CB"/>
    <w:rsid w:val="00374E9C"/>
    <w:rsid w:val="00380F6D"/>
    <w:rsid w:val="00383E9E"/>
    <w:rsid w:val="00386280"/>
    <w:rsid w:val="00386C22"/>
    <w:rsid w:val="00387A06"/>
    <w:rsid w:val="003936F4"/>
    <w:rsid w:val="00393A3C"/>
    <w:rsid w:val="00393DE7"/>
    <w:rsid w:val="00394B08"/>
    <w:rsid w:val="00395047"/>
    <w:rsid w:val="0039732D"/>
    <w:rsid w:val="003A3032"/>
    <w:rsid w:val="003A32E3"/>
    <w:rsid w:val="003A6149"/>
    <w:rsid w:val="003B0FD9"/>
    <w:rsid w:val="003B2FDA"/>
    <w:rsid w:val="003B5B1D"/>
    <w:rsid w:val="003C5F47"/>
    <w:rsid w:val="003D0B14"/>
    <w:rsid w:val="003D5C68"/>
    <w:rsid w:val="003D6CA8"/>
    <w:rsid w:val="003E01B8"/>
    <w:rsid w:val="003E0A0F"/>
    <w:rsid w:val="003E0FFD"/>
    <w:rsid w:val="003E1F7B"/>
    <w:rsid w:val="003E39F3"/>
    <w:rsid w:val="003E3A6E"/>
    <w:rsid w:val="003E444D"/>
    <w:rsid w:val="003E494D"/>
    <w:rsid w:val="003F2B72"/>
    <w:rsid w:val="003F2F23"/>
    <w:rsid w:val="003F3437"/>
    <w:rsid w:val="003F44BD"/>
    <w:rsid w:val="003F677E"/>
    <w:rsid w:val="003F69C6"/>
    <w:rsid w:val="0040020F"/>
    <w:rsid w:val="004004BE"/>
    <w:rsid w:val="00401756"/>
    <w:rsid w:val="004035F7"/>
    <w:rsid w:val="00414DC2"/>
    <w:rsid w:val="00420AC5"/>
    <w:rsid w:val="00421EE5"/>
    <w:rsid w:val="0042212C"/>
    <w:rsid w:val="0042494D"/>
    <w:rsid w:val="004261A9"/>
    <w:rsid w:val="004266A3"/>
    <w:rsid w:val="00435D32"/>
    <w:rsid w:val="00435E0D"/>
    <w:rsid w:val="00435E1C"/>
    <w:rsid w:val="00442A8A"/>
    <w:rsid w:val="004433AF"/>
    <w:rsid w:val="00446AB4"/>
    <w:rsid w:val="00447BE9"/>
    <w:rsid w:val="00457F1D"/>
    <w:rsid w:val="00460A19"/>
    <w:rsid w:val="00470F67"/>
    <w:rsid w:val="00471138"/>
    <w:rsid w:val="0047186E"/>
    <w:rsid w:val="00472507"/>
    <w:rsid w:val="0047450B"/>
    <w:rsid w:val="00475429"/>
    <w:rsid w:val="00476549"/>
    <w:rsid w:val="004910E0"/>
    <w:rsid w:val="004920B6"/>
    <w:rsid w:val="0049342E"/>
    <w:rsid w:val="00493F6D"/>
    <w:rsid w:val="0049675F"/>
    <w:rsid w:val="004A01FC"/>
    <w:rsid w:val="004A0332"/>
    <w:rsid w:val="004A0CAB"/>
    <w:rsid w:val="004A52D8"/>
    <w:rsid w:val="004A5B59"/>
    <w:rsid w:val="004A5C4A"/>
    <w:rsid w:val="004A6F86"/>
    <w:rsid w:val="004B088E"/>
    <w:rsid w:val="004B5EA7"/>
    <w:rsid w:val="004C766C"/>
    <w:rsid w:val="004D1C33"/>
    <w:rsid w:val="004D4580"/>
    <w:rsid w:val="004D5CAD"/>
    <w:rsid w:val="004D75AE"/>
    <w:rsid w:val="004D7F41"/>
    <w:rsid w:val="004E1766"/>
    <w:rsid w:val="004E1906"/>
    <w:rsid w:val="004E2CBB"/>
    <w:rsid w:val="004E379F"/>
    <w:rsid w:val="004E4587"/>
    <w:rsid w:val="004F0783"/>
    <w:rsid w:val="004F28D0"/>
    <w:rsid w:val="004F7CF7"/>
    <w:rsid w:val="004F7FE6"/>
    <w:rsid w:val="005050B5"/>
    <w:rsid w:val="005057F2"/>
    <w:rsid w:val="00510D80"/>
    <w:rsid w:val="00511397"/>
    <w:rsid w:val="0051292C"/>
    <w:rsid w:val="00513F6B"/>
    <w:rsid w:val="005148ED"/>
    <w:rsid w:val="005205B8"/>
    <w:rsid w:val="00524F3F"/>
    <w:rsid w:val="00531847"/>
    <w:rsid w:val="00535BB2"/>
    <w:rsid w:val="0054090C"/>
    <w:rsid w:val="00545C53"/>
    <w:rsid w:val="00545C7F"/>
    <w:rsid w:val="00546AB5"/>
    <w:rsid w:val="005479A7"/>
    <w:rsid w:val="00550E60"/>
    <w:rsid w:val="00556629"/>
    <w:rsid w:val="00556EED"/>
    <w:rsid w:val="00557E60"/>
    <w:rsid w:val="00561741"/>
    <w:rsid w:val="00572FFF"/>
    <w:rsid w:val="005749B1"/>
    <w:rsid w:val="00576D9C"/>
    <w:rsid w:val="00582A85"/>
    <w:rsid w:val="005851C6"/>
    <w:rsid w:val="0058537C"/>
    <w:rsid w:val="00587124"/>
    <w:rsid w:val="00594A3B"/>
    <w:rsid w:val="00594F51"/>
    <w:rsid w:val="00596435"/>
    <w:rsid w:val="005A0EAF"/>
    <w:rsid w:val="005A2D2E"/>
    <w:rsid w:val="005A3C1F"/>
    <w:rsid w:val="005A4E1D"/>
    <w:rsid w:val="005A4FB2"/>
    <w:rsid w:val="005A6AA8"/>
    <w:rsid w:val="005A7A8B"/>
    <w:rsid w:val="005B3940"/>
    <w:rsid w:val="005C3E54"/>
    <w:rsid w:val="005C797E"/>
    <w:rsid w:val="005D0DDB"/>
    <w:rsid w:val="005D57D9"/>
    <w:rsid w:val="005D58F8"/>
    <w:rsid w:val="005E1324"/>
    <w:rsid w:val="005E3B13"/>
    <w:rsid w:val="005E7832"/>
    <w:rsid w:val="005F0F98"/>
    <w:rsid w:val="00600371"/>
    <w:rsid w:val="00602F9C"/>
    <w:rsid w:val="006034DC"/>
    <w:rsid w:val="00605BE6"/>
    <w:rsid w:val="006074CA"/>
    <w:rsid w:val="00612BD1"/>
    <w:rsid w:val="00620963"/>
    <w:rsid w:val="00631D3D"/>
    <w:rsid w:val="00633722"/>
    <w:rsid w:val="00635A19"/>
    <w:rsid w:val="00635BFD"/>
    <w:rsid w:val="00640899"/>
    <w:rsid w:val="0064107E"/>
    <w:rsid w:val="006423FB"/>
    <w:rsid w:val="006436E1"/>
    <w:rsid w:val="00646140"/>
    <w:rsid w:val="0064734D"/>
    <w:rsid w:val="00655D7B"/>
    <w:rsid w:val="00655F4A"/>
    <w:rsid w:val="00657CD3"/>
    <w:rsid w:val="00661947"/>
    <w:rsid w:val="006660C5"/>
    <w:rsid w:val="00667BD3"/>
    <w:rsid w:val="0067030E"/>
    <w:rsid w:val="006814B9"/>
    <w:rsid w:val="00681884"/>
    <w:rsid w:val="00682419"/>
    <w:rsid w:val="0069045F"/>
    <w:rsid w:val="006924D1"/>
    <w:rsid w:val="00693DB4"/>
    <w:rsid w:val="006A2BB8"/>
    <w:rsid w:val="006A47C0"/>
    <w:rsid w:val="006B59D2"/>
    <w:rsid w:val="006B5AEB"/>
    <w:rsid w:val="006C1200"/>
    <w:rsid w:val="006C209B"/>
    <w:rsid w:val="006C5761"/>
    <w:rsid w:val="006D152D"/>
    <w:rsid w:val="006D1FA6"/>
    <w:rsid w:val="006D24B4"/>
    <w:rsid w:val="006D3F34"/>
    <w:rsid w:val="006D4C6E"/>
    <w:rsid w:val="006E0541"/>
    <w:rsid w:val="006E05E2"/>
    <w:rsid w:val="006E1941"/>
    <w:rsid w:val="006E2160"/>
    <w:rsid w:val="006E395C"/>
    <w:rsid w:val="006E3CC0"/>
    <w:rsid w:val="006F3CDC"/>
    <w:rsid w:val="007011A5"/>
    <w:rsid w:val="007018F9"/>
    <w:rsid w:val="0070403C"/>
    <w:rsid w:val="00707486"/>
    <w:rsid w:val="00707F74"/>
    <w:rsid w:val="00713CBA"/>
    <w:rsid w:val="00713E83"/>
    <w:rsid w:val="0071521E"/>
    <w:rsid w:val="00724F4A"/>
    <w:rsid w:val="00732F50"/>
    <w:rsid w:val="007444D0"/>
    <w:rsid w:val="00755EDF"/>
    <w:rsid w:val="00756A78"/>
    <w:rsid w:val="00763C89"/>
    <w:rsid w:val="00776748"/>
    <w:rsid w:val="00790195"/>
    <w:rsid w:val="007907CE"/>
    <w:rsid w:val="007955A6"/>
    <w:rsid w:val="007A2226"/>
    <w:rsid w:val="007A3C65"/>
    <w:rsid w:val="007B10B8"/>
    <w:rsid w:val="007B443B"/>
    <w:rsid w:val="007B4DAD"/>
    <w:rsid w:val="007B6928"/>
    <w:rsid w:val="007C2499"/>
    <w:rsid w:val="007C2BDD"/>
    <w:rsid w:val="007C3859"/>
    <w:rsid w:val="007C5813"/>
    <w:rsid w:val="007D425B"/>
    <w:rsid w:val="007D4B95"/>
    <w:rsid w:val="007D5D41"/>
    <w:rsid w:val="007D7D49"/>
    <w:rsid w:val="007E2331"/>
    <w:rsid w:val="007E6BF7"/>
    <w:rsid w:val="007E6FC1"/>
    <w:rsid w:val="007E797B"/>
    <w:rsid w:val="007F0B07"/>
    <w:rsid w:val="007F2B5E"/>
    <w:rsid w:val="007F4225"/>
    <w:rsid w:val="007F5123"/>
    <w:rsid w:val="007F5D3B"/>
    <w:rsid w:val="007F6CFA"/>
    <w:rsid w:val="00800412"/>
    <w:rsid w:val="0080132D"/>
    <w:rsid w:val="0080218F"/>
    <w:rsid w:val="008041A0"/>
    <w:rsid w:val="0080446C"/>
    <w:rsid w:val="00820EB6"/>
    <w:rsid w:val="00820F06"/>
    <w:rsid w:val="0082309C"/>
    <w:rsid w:val="0082358C"/>
    <w:rsid w:val="008237F1"/>
    <w:rsid w:val="00826E7F"/>
    <w:rsid w:val="00833967"/>
    <w:rsid w:val="00835974"/>
    <w:rsid w:val="00845A24"/>
    <w:rsid w:val="00846C9A"/>
    <w:rsid w:val="008504DB"/>
    <w:rsid w:val="00851CFA"/>
    <w:rsid w:val="00852002"/>
    <w:rsid w:val="00853DBA"/>
    <w:rsid w:val="00861316"/>
    <w:rsid w:val="00861CE9"/>
    <w:rsid w:val="00863556"/>
    <w:rsid w:val="0086416C"/>
    <w:rsid w:val="008728A0"/>
    <w:rsid w:val="00877A56"/>
    <w:rsid w:val="008810F3"/>
    <w:rsid w:val="008829D3"/>
    <w:rsid w:val="00882C72"/>
    <w:rsid w:val="008844A9"/>
    <w:rsid w:val="00884EB2"/>
    <w:rsid w:val="00893322"/>
    <w:rsid w:val="00893D3E"/>
    <w:rsid w:val="00894EE8"/>
    <w:rsid w:val="00895B90"/>
    <w:rsid w:val="008A1BC9"/>
    <w:rsid w:val="008A3328"/>
    <w:rsid w:val="008A35AD"/>
    <w:rsid w:val="008A3AD7"/>
    <w:rsid w:val="008A3ED5"/>
    <w:rsid w:val="008A5936"/>
    <w:rsid w:val="008A5DDC"/>
    <w:rsid w:val="008A7258"/>
    <w:rsid w:val="008B31B0"/>
    <w:rsid w:val="008C0522"/>
    <w:rsid w:val="008C1C2A"/>
    <w:rsid w:val="008C22EB"/>
    <w:rsid w:val="008C3A62"/>
    <w:rsid w:val="008D3C19"/>
    <w:rsid w:val="008E14D6"/>
    <w:rsid w:val="008F11DE"/>
    <w:rsid w:val="008F79A1"/>
    <w:rsid w:val="009003A8"/>
    <w:rsid w:val="009019BC"/>
    <w:rsid w:val="00903876"/>
    <w:rsid w:val="0090460F"/>
    <w:rsid w:val="00906833"/>
    <w:rsid w:val="00907D3C"/>
    <w:rsid w:val="0091724E"/>
    <w:rsid w:val="00920164"/>
    <w:rsid w:val="0092046A"/>
    <w:rsid w:val="00926FF6"/>
    <w:rsid w:val="009369CF"/>
    <w:rsid w:val="00942DFC"/>
    <w:rsid w:val="0094311F"/>
    <w:rsid w:val="00946CA1"/>
    <w:rsid w:val="0094794B"/>
    <w:rsid w:val="00950A28"/>
    <w:rsid w:val="0095154C"/>
    <w:rsid w:val="00957519"/>
    <w:rsid w:val="00963055"/>
    <w:rsid w:val="0096523F"/>
    <w:rsid w:val="0097209F"/>
    <w:rsid w:val="00974599"/>
    <w:rsid w:val="0097484F"/>
    <w:rsid w:val="009761E6"/>
    <w:rsid w:val="00977B2F"/>
    <w:rsid w:val="00982ED9"/>
    <w:rsid w:val="0098417A"/>
    <w:rsid w:val="009844A3"/>
    <w:rsid w:val="0098531C"/>
    <w:rsid w:val="00992A9B"/>
    <w:rsid w:val="00992E0B"/>
    <w:rsid w:val="009A3B18"/>
    <w:rsid w:val="009A4453"/>
    <w:rsid w:val="009A5393"/>
    <w:rsid w:val="009B427B"/>
    <w:rsid w:val="009B50BF"/>
    <w:rsid w:val="009C4B68"/>
    <w:rsid w:val="009C6027"/>
    <w:rsid w:val="009C7137"/>
    <w:rsid w:val="009D066E"/>
    <w:rsid w:val="009E387F"/>
    <w:rsid w:val="009E4EE7"/>
    <w:rsid w:val="009E6CE1"/>
    <w:rsid w:val="009E7607"/>
    <w:rsid w:val="009F0996"/>
    <w:rsid w:val="009F6717"/>
    <w:rsid w:val="009F7A5E"/>
    <w:rsid w:val="00A02489"/>
    <w:rsid w:val="00A02A48"/>
    <w:rsid w:val="00A0532F"/>
    <w:rsid w:val="00A05953"/>
    <w:rsid w:val="00A109C1"/>
    <w:rsid w:val="00A11B91"/>
    <w:rsid w:val="00A11D6A"/>
    <w:rsid w:val="00A14107"/>
    <w:rsid w:val="00A158D9"/>
    <w:rsid w:val="00A2056E"/>
    <w:rsid w:val="00A20606"/>
    <w:rsid w:val="00A220DD"/>
    <w:rsid w:val="00A248A1"/>
    <w:rsid w:val="00A34A72"/>
    <w:rsid w:val="00A40091"/>
    <w:rsid w:val="00A43F17"/>
    <w:rsid w:val="00A57086"/>
    <w:rsid w:val="00A7031C"/>
    <w:rsid w:val="00A70CD2"/>
    <w:rsid w:val="00A739DA"/>
    <w:rsid w:val="00A81C2C"/>
    <w:rsid w:val="00A81DC8"/>
    <w:rsid w:val="00A83077"/>
    <w:rsid w:val="00A905A2"/>
    <w:rsid w:val="00A90DFA"/>
    <w:rsid w:val="00A91D49"/>
    <w:rsid w:val="00A9258B"/>
    <w:rsid w:val="00A92C86"/>
    <w:rsid w:val="00A93417"/>
    <w:rsid w:val="00A934C1"/>
    <w:rsid w:val="00A96F6A"/>
    <w:rsid w:val="00AA0166"/>
    <w:rsid w:val="00AA23E2"/>
    <w:rsid w:val="00AA307F"/>
    <w:rsid w:val="00AA5BAA"/>
    <w:rsid w:val="00AA6E8A"/>
    <w:rsid w:val="00AB0084"/>
    <w:rsid w:val="00AB4F74"/>
    <w:rsid w:val="00AB7D17"/>
    <w:rsid w:val="00AC3748"/>
    <w:rsid w:val="00AC4F3B"/>
    <w:rsid w:val="00AC557A"/>
    <w:rsid w:val="00AD46FD"/>
    <w:rsid w:val="00AE582E"/>
    <w:rsid w:val="00AE59EF"/>
    <w:rsid w:val="00AF088A"/>
    <w:rsid w:val="00AF1FBF"/>
    <w:rsid w:val="00AF4DB7"/>
    <w:rsid w:val="00AF6CC3"/>
    <w:rsid w:val="00B00315"/>
    <w:rsid w:val="00B02357"/>
    <w:rsid w:val="00B03805"/>
    <w:rsid w:val="00B106C9"/>
    <w:rsid w:val="00B12816"/>
    <w:rsid w:val="00B137EE"/>
    <w:rsid w:val="00B14A42"/>
    <w:rsid w:val="00B16608"/>
    <w:rsid w:val="00B17220"/>
    <w:rsid w:val="00B1725D"/>
    <w:rsid w:val="00B17BED"/>
    <w:rsid w:val="00B20965"/>
    <w:rsid w:val="00B2106F"/>
    <w:rsid w:val="00B2343A"/>
    <w:rsid w:val="00B23D43"/>
    <w:rsid w:val="00B242A9"/>
    <w:rsid w:val="00B30411"/>
    <w:rsid w:val="00B32008"/>
    <w:rsid w:val="00B3553C"/>
    <w:rsid w:val="00B427FE"/>
    <w:rsid w:val="00B42C85"/>
    <w:rsid w:val="00B43D0C"/>
    <w:rsid w:val="00B465D2"/>
    <w:rsid w:val="00B47605"/>
    <w:rsid w:val="00B503CD"/>
    <w:rsid w:val="00B5332E"/>
    <w:rsid w:val="00B5388F"/>
    <w:rsid w:val="00B557B9"/>
    <w:rsid w:val="00B559BE"/>
    <w:rsid w:val="00B608BB"/>
    <w:rsid w:val="00B62E3D"/>
    <w:rsid w:val="00B6527B"/>
    <w:rsid w:val="00B679B6"/>
    <w:rsid w:val="00B7162A"/>
    <w:rsid w:val="00B74FC4"/>
    <w:rsid w:val="00B77602"/>
    <w:rsid w:val="00B77D40"/>
    <w:rsid w:val="00B83FFE"/>
    <w:rsid w:val="00B87E1F"/>
    <w:rsid w:val="00B92695"/>
    <w:rsid w:val="00B92809"/>
    <w:rsid w:val="00B94E6B"/>
    <w:rsid w:val="00B94EE9"/>
    <w:rsid w:val="00B96473"/>
    <w:rsid w:val="00B97306"/>
    <w:rsid w:val="00BA2EEC"/>
    <w:rsid w:val="00BA6452"/>
    <w:rsid w:val="00BB23D4"/>
    <w:rsid w:val="00BB54ED"/>
    <w:rsid w:val="00BB69EF"/>
    <w:rsid w:val="00BC2AD0"/>
    <w:rsid w:val="00BC3147"/>
    <w:rsid w:val="00BC4E6A"/>
    <w:rsid w:val="00BC770B"/>
    <w:rsid w:val="00BD0EA0"/>
    <w:rsid w:val="00BD2D50"/>
    <w:rsid w:val="00BD37C6"/>
    <w:rsid w:val="00BD4EFF"/>
    <w:rsid w:val="00BD7FA0"/>
    <w:rsid w:val="00BE029B"/>
    <w:rsid w:val="00BE41F8"/>
    <w:rsid w:val="00BE59FB"/>
    <w:rsid w:val="00BE6C2F"/>
    <w:rsid w:val="00BF378A"/>
    <w:rsid w:val="00BF5C6B"/>
    <w:rsid w:val="00BF5D76"/>
    <w:rsid w:val="00BF737B"/>
    <w:rsid w:val="00C039B9"/>
    <w:rsid w:val="00C05743"/>
    <w:rsid w:val="00C110AD"/>
    <w:rsid w:val="00C144C9"/>
    <w:rsid w:val="00C15C4A"/>
    <w:rsid w:val="00C22034"/>
    <w:rsid w:val="00C2248A"/>
    <w:rsid w:val="00C24E76"/>
    <w:rsid w:val="00C264A5"/>
    <w:rsid w:val="00C265EE"/>
    <w:rsid w:val="00C32197"/>
    <w:rsid w:val="00C33676"/>
    <w:rsid w:val="00C4171C"/>
    <w:rsid w:val="00C47506"/>
    <w:rsid w:val="00C53DD9"/>
    <w:rsid w:val="00C54FD3"/>
    <w:rsid w:val="00C6163F"/>
    <w:rsid w:val="00C7199E"/>
    <w:rsid w:val="00C75182"/>
    <w:rsid w:val="00C76C84"/>
    <w:rsid w:val="00C774AB"/>
    <w:rsid w:val="00C803A5"/>
    <w:rsid w:val="00CA11B6"/>
    <w:rsid w:val="00CA6802"/>
    <w:rsid w:val="00CA7077"/>
    <w:rsid w:val="00CB32B9"/>
    <w:rsid w:val="00CB4790"/>
    <w:rsid w:val="00CC1AD0"/>
    <w:rsid w:val="00CC3501"/>
    <w:rsid w:val="00CC4F24"/>
    <w:rsid w:val="00CD1AD3"/>
    <w:rsid w:val="00CD2426"/>
    <w:rsid w:val="00CD4B46"/>
    <w:rsid w:val="00CD4C86"/>
    <w:rsid w:val="00CD68C2"/>
    <w:rsid w:val="00CD6EFB"/>
    <w:rsid w:val="00CE1645"/>
    <w:rsid w:val="00CE2667"/>
    <w:rsid w:val="00CF2FC2"/>
    <w:rsid w:val="00CF3764"/>
    <w:rsid w:val="00CF39E6"/>
    <w:rsid w:val="00D01D12"/>
    <w:rsid w:val="00D03383"/>
    <w:rsid w:val="00D03EB3"/>
    <w:rsid w:val="00D05992"/>
    <w:rsid w:val="00D11909"/>
    <w:rsid w:val="00D16FDC"/>
    <w:rsid w:val="00D222DE"/>
    <w:rsid w:val="00D26D06"/>
    <w:rsid w:val="00D314EA"/>
    <w:rsid w:val="00D329D3"/>
    <w:rsid w:val="00D3398C"/>
    <w:rsid w:val="00D357FE"/>
    <w:rsid w:val="00D35D4A"/>
    <w:rsid w:val="00D36064"/>
    <w:rsid w:val="00D36F49"/>
    <w:rsid w:val="00D43F96"/>
    <w:rsid w:val="00D4434C"/>
    <w:rsid w:val="00D4497C"/>
    <w:rsid w:val="00D46BAA"/>
    <w:rsid w:val="00D46D0A"/>
    <w:rsid w:val="00D5030E"/>
    <w:rsid w:val="00D54AC8"/>
    <w:rsid w:val="00D55BD1"/>
    <w:rsid w:val="00D57296"/>
    <w:rsid w:val="00D61E25"/>
    <w:rsid w:val="00D62374"/>
    <w:rsid w:val="00D64A6F"/>
    <w:rsid w:val="00D700EB"/>
    <w:rsid w:val="00D726AF"/>
    <w:rsid w:val="00D7338B"/>
    <w:rsid w:val="00D73D5F"/>
    <w:rsid w:val="00D819E7"/>
    <w:rsid w:val="00D86E39"/>
    <w:rsid w:val="00D8776C"/>
    <w:rsid w:val="00D90355"/>
    <w:rsid w:val="00D963BD"/>
    <w:rsid w:val="00D9681E"/>
    <w:rsid w:val="00D96B20"/>
    <w:rsid w:val="00DA0BD6"/>
    <w:rsid w:val="00DA1712"/>
    <w:rsid w:val="00DA1B89"/>
    <w:rsid w:val="00DA53F6"/>
    <w:rsid w:val="00DB0B34"/>
    <w:rsid w:val="00DB16BF"/>
    <w:rsid w:val="00DB226B"/>
    <w:rsid w:val="00DB4608"/>
    <w:rsid w:val="00DC04C2"/>
    <w:rsid w:val="00DC2349"/>
    <w:rsid w:val="00DC28C1"/>
    <w:rsid w:val="00DC3F9A"/>
    <w:rsid w:val="00DD0B96"/>
    <w:rsid w:val="00DE3876"/>
    <w:rsid w:val="00DE5907"/>
    <w:rsid w:val="00DF3897"/>
    <w:rsid w:val="00DF550B"/>
    <w:rsid w:val="00E00F35"/>
    <w:rsid w:val="00E02C75"/>
    <w:rsid w:val="00E05A4B"/>
    <w:rsid w:val="00E070ED"/>
    <w:rsid w:val="00E14D34"/>
    <w:rsid w:val="00E20007"/>
    <w:rsid w:val="00E20FC6"/>
    <w:rsid w:val="00E23DF1"/>
    <w:rsid w:val="00E246F8"/>
    <w:rsid w:val="00E248C5"/>
    <w:rsid w:val="00E2498B"/>
    <w:rsid w:val="00E27DB5"/>
    <w:rsid w:val="00E362EA"/>
    <w:rsid w:val="00E40706"/>
    <w:rsid w:val="00E42006"/>
    <w:rsid w:val="00E52775"/>
    <w:rsid w:val="00E56F22"/>
    <w:rsid w:val="00E572A2"/>
    <w:rsid w:val="00E62BBF"/>
    <w:rsid w:val="00E62F06"/>
    <w:rsid w:val="00E655CC"/>
    <w:rsid w:val="00E71CA9"/>
    <w:rsid w:val="00E77DE8"/>
    <w:rsid w:val="00E82D39"/>
    <w:rsid w:val="00E84BD8"/>
    <w:rsid w:val="00E856E5"/>
    <w:rsid w:val="00E869A5"/>
    <w:rsid w:val="00E9045E"/>
    <w:rsid w:val="00E91155"/>
    <w:rsid w:val="00E9329D"/>
    <w:rsid w:val="00E97852"/>
    <w:rsid w:val="00EA0C73"/>
    <w:rsid w:val="00EA1211"/>
    <w:rsid w:val="00EA23BE"/>
    <w:rsid w:val="00EA319B"/>
    <w:rsid w:val="00EA4209"/>
    <w:rsid w:val="00EA4B26"/>
    <w:rsid w:val="00EA6711"/>
    <w:rsid w:val="00EA71F2"/>
    <w:rsid w:val="00EB1B21"/>
    <w:rsid w:val="00EB1C53"/>
    <w:rsid w:val="00EB3F17"/>
    <w:rsid w:val="00EB6BD6"/>
    <w:rsid w:val="00EC1E9F"/>
    <w:rsid w:val="00EC3EA2"/>
    <w:rsid w:val="00EC6A58"/>
    <w:rsid w:val="00ED1619"/>
    <w:rsid w:val="00ED2B67"/>
    <w:rsid w:val="00ED3D14"/>
    <w:rsid w:val="00ED6B24"/>
    <w:rsid w:val="00ED7FA9"/>
    <w:rsid w:val="00EE2499"/>
    <w:rsid w:val="00EE6263"/>
    <w:rsid w:val="00EF0E56"/>
    <w:rsid w:val="00EF6B6D"/>
    <w:rsid w:val="00F01946"/>
    <w:rsid w:val="00F0416B"/>
    <w:rsid w:val="00F11F27"/>
    <w:rsid w:val="00F13710"/>
    <w:rsid w:val="00F17AC1"/>
    <w:rsid w:val="00F3029D"/>
    <w:rsid w:val="00F357FD"/>
    <w:rsid w:val="00F35916"/>
    <w:rsid w:val="00F37BD3"/>
    <w:rsid w:val="00F40112"/>
    <w:rsid w:val="00F43F67"/>
    <w:rsid w:val="00F44DBA"/>
    <w:rsid w:val="00F44DCE"/>
    <w:rsid w:val="00F473EF"/>
    <w:rsid w:val="00F57121"/>
    <w:rsid w:val="00F63548"/>
    <w:rsid w:val="00F65117"/>
    <w:rsid w:val="00F66406"/>
    <w:rsid w:val="00F67B62"/>
    <w:rsid w:val="00F703BE"/>
    <w:rsid w:val="00F73B98"/>
    <w:rsid w:val="00F81804"/>
    <w:rsid w:val="00F86018"/>
    <w:rsid w:val="00F90ADE"/>
    <w:rsid w:val="00FA004D"/>
    <w:rsid w:val="00FA319E"/>
    <w:rsid w:val="00FA48FB"/>
    <w:rsid w:val="00FA72B5"/>
    <w:rsid w:val="00FB4FB3"/>
    <w:rsid w:val="00FB62A8"/>
    <w:rsid w:val="00FC0D34"/>
    <w:rsid w:val="00FC512B"/>
    <w:rsid w:val="00FC7FD0"/>
    <w:rsid w:val="00FD2447"/>
    <w:rsid w:val="00FD5AD1"/>
    <w:rsid w:val="00FE1799"/>
    <w:rsid w:val="00FE33B3"/>
    <w:rsid w:val="00FE7C53"/>
    <w:rsid w:val="00FF0DBD"/>
    <w:rsid w:val="00FF16F6"/>
    <w:rsid w:val="00FF4166"/>
    <w:rsid w:val="00FF6033"/>
    <w:rsid w:val="3DFCECEE"/>
    <w:rsid w:val="6F5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D5747C-D0ED-47B0-942F-4AD96E1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120" w:after="120"/>
      <w:ind w:firstLineChars="200" w:firstLine="200"/>
      <w:jc w:val="left"/>
      <w:outlineLvl w:val="0"/>
    </w:pPr>
    <w:rPr>
      <w:rFonts w:asciiTheme="majorHAnsi" w:hAnsiTheme="majorHAnsi" w:cstheme="majorBidi"/>
      <w:bCs/>
      <w:szCs w:val="32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uiPriority w:val="99"/>
    <w:semiHidden/>
    <w:unhideWhenUsed/>
  </w:style>
  <w:style w:type="character" w:styleId="af3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hAnsiTheme="majorHAnsi" w:cstheme="majorBidi"/>
      <w:bCs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2155</Characters>
  <Application>Microsoft Office Word</Application>
  <DocSecurity>0</DocSecurity>
  <Lines>17</Lines>
  <Paragraphs>5</Paragraphs>
  <ScaleCrop>false</ScaleCrop>
  <Company>JinkoSolar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 olivia</dc:creator>
  <cp:lastModifiedBy>陈普妆</cp:lastModifiedBy>
  <cp:revision>7</cp:revision>
  <cp:lastPrinted>2020-06-19T17:05:00Z</cp:lastPrinted>
  <dcterms:created xsi:type="dcterms:W3CDTF">2023-10-31T08:37:00Z</dcterms:created>
  <dcterms:modified xsi:type="dcterms:W3CDTF">2023-10-31T08:59:00Z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EC1894164213464486E1E0CE81223936</vt:lpwstr>
  </property>
  <property fmtid="{D5CDD505-2E9C-101B-9397-08002B2CF9AE}" pid="4" name="JKClassification">
    <vt:lpwstr>外来文件</vt:lpwstr>
  </property>
</Properties>
</file>