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C549" w14:textId="517ABA21" w:rsidR="00613B7F" w:rsidRDefault="008C7E27" w:rsidP="00410495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hint="eastAsia"/>
          <w:bCs/>
          <w:sz w:val="24"/>
          <w:szCs w:val="24"/>
        </w:rPr>
        <w:t>证券代码：601567                                   证券简称：三星医疗</w:t>
      </w:r>
    </w:p>
    <w:p w14:paraId="5CC636DE" w14:textId="77777777" w:rsidR="00613B7F" w:rsidRDefault="008C7E27" w:rsidP="00410495">
      <w:pPr>
        <w:spacing w:afterLines="50" w:after="156" w:line="360" w:lineRule="auto"/>
        <w:jc w:val="center"/>
        <w:rPr>
          <w:rFonts w:ascii="宋体" w:eastAsia="宋体" w:hAnsi="宋体" w:cs="宋体"/>
          <w:b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宋体" w:eastAsia="宋体" w:hAnsi="宋体" w:cs="宋体" w:hint="eastAsia"/>
          <w:b/>
          <w:color w:val="FF0000"/>
          <w:sz w:val="32"/>
          <w:szCs w:val="32"/>
        </w:rPr>
        <w:br/>
        <w:t>投资者关系活动记录表</w:t>
      </w:r>
    </w:p>
    <w:tbl>
      <w:tblPr>
        <w:tblStyle w:val="a3"/>
        <w:tblW w:w="8771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1775"/>
        <w:gridCol w:w="6996"/>
      </w:tblGrid>
      <w:tr w:rsidR="00613B7F" w14:paraId="0060AFF0" w14:textId="77777777">
        <w:trPr>
          <w:trHeight w:val="1871"/>
        </w:trPr>
        <w:tc>
          <w:tcPr>
            <w:tcW w:w="1775" w:type="dxa"/>
            <w:vAlign w:val="center"/>
          </w:tcPr>
          <w:p w14:paraId="3B33C914" w14:textId="77777777" w:rsidR="00613B7F" w:rsidRDefault="008C7E27" w:rsidP="0087160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br/>
              <w:t>活动类别</w:t>
            </w:r>
          </w:p>
        </w:tc>
        <w:tc>
          <w:tcPr>
            <w:tcW w:w="6996" w:type="dxa"/>
            <w:vAlign w:val="center"/>
          </w:tcPr>
          <w:p w14:paraId="4CB5D1BE" w14:textId="5CDD57C8" w:rsidR="00613B7F" w:rsidRDefault="00D93516" w:rsidP="00871602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52"/>
            </w:r>
            <w:r w:rsidR="008C7E27">
              <w:rPr>
                <w:rFonts w:ascii="宋体" w:eastAsia="宋体" w:hAnsi="宋体" w:cs="宋体" w:hint="eastAsia"/>
                <w:szCs w:val="21"/>
              </w:rPr>
              <w:t xml:space="preserve">特定对象调研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8C7E27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763C38D1" w14:textId="14D2454A" w:rsidR="00613B7F" w:rsidRDefault="00896962" w:rsidP="00871602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8C7E27">
              <w:rPr>
                <w:rFonts w:ascii="宋体" w:eastAsia="宋体" w:hAnsi="宋体" w:cs="宋体" w:hint="eastAsia"/>
                <w:szCs w:val="21"/>
              </w:rPr>
              <w:t xml:space="preserve">媒体采访     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8C7E27">
              <w:rPr>
                <w:rFonts w:ascii="宋体" w:eastAsia="宋体" w:hAnsi="宋体" w:cs="宋体" w:hint="eastAsia"/>
                <w:szCs w:val="21"/>
              </w:rPr>
              <w:t>业绩说明会</w:t>
            </w:r>
          </w:p>
          <w:p w14:paraId="7F5C9F1C" w14:textId="0CC6DE75" w:rsidR="00613B7F" w:rsidRDefault="00896962" w:rsidP="00871602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8C7E27">
              <w:rPr>
                <w:rFonts w:ascii="宋体" w:eastAsia="宋体" w:hAnsi="宋体" w:cs="宋体" w:hint="eastAsia"/>
                <w:szCs w:val="21"/>
              </w:rPr>
              <w:t xml:space="preserve">新闻发布会   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8C7E27">
              <w:rPr>
                <w:rFonts w:ascii="宋体" w:eastAsia="宋体" w:hAnsi="宋体" w:cs="宋体" w:hint="eastAsia"/>
                <w:szCs w:val="21"/>
              </w:rPr>
              <w:t>路演活动</w:t>
            </w:r>
          </w:p>
          <w:p w14:paraId="1F50F8AC" w14:textId="1B088F68" w:rsidR="00613B7F" w:rsidRDefault="008C7E27" w:rsidP="00871602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现场参观        </w:t>
            </w:r>
            <w:r w:rsidR="00C66CA1">
              <w:rPr>
                <w:rFonts w:ascii="宋体" w:eastAsia="宋体" w:hAnsi="宋体" w:cs="宋体" w:hint="eastAsia"/>
                <w:szCs w:val="21"/>
              </w:rPr>
              <w:sym w:font="Wingdings 2" w:char="0052"/>
            </w:r>
            <w:r>
              <w:rPr>
                <w:rFonts w:ascii="宋体" w:eastAsia="宋体" w:hAnsi="宋体" w:cs="宋体" w:hint="eastAsia"/>
                <w:szCs w:val="21"/>
              </w:rPr>
              <w:t>电话会议</w:t>
            </w:r>
          </w:p>
        </w:tc>
      </w:tr>
      <w:tr w:rsidR="00613B7F" w14:paraId="0631B0B3" w14:textId="77777777">
        <w:trPr>
          <w:trHeight w:val="1155"/>
        </w:trPr>
        <w:tc>
          <w:tcPr>
            <w:tcW w:w="1775" w:type="dxa"/>
            <w:vAlign w:val="center"/>
          </w:tcPr>
          <w:p w14:paraId="184A2850" w14:textId="6FD196A5" w:rsidR="00613B7F" w:rsidRDefault="008C7E27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参与单位名称</w:t>
            </w:r>
            <w:r w:rsidR="00247387" w:rsidRPr="00247387">
              <w:rPr>
                <w:rFonts w:ascii="宋体" w:eastAsia="宋体" w:hAnsi="宋体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11D256D" w14:textId="15B58F1B" w:rsidR="00613B7F" w:rsidRDefault="008C7E27" w:rsidP="00410495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海通证券、海富通基金、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永赢基金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、东方红资管、南方基金、广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发资管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、农银汇理、博道基金、国金基金、南华基金、建信理财、湘财基金、国信资管、淳厚基金、鲍尔赛嘉、华西证券</w:t>
            </w:r>
            <w:r w:rsidR="00326B90"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中金公司、中信建投、兴业证券、东吴证券、国盛证券、申万证券、财通证券、华安证券、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浙商证券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、民生证券、天风证券、国金证券、德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证券、信达证券、国海证券、国信证券、东北证券</w:t>
            </w:r>
            <w:r w:rsidR="007426F1">
              <w:rPr>
                <w:rFonts w:ascii="宋体" w:eastAsia="宋体" w:hAnsi="宋体" w:cs="宋体" w:hint="eastAsia"/>
                <w:szCs w:val="21"/>
              </w:rPr>
              <w:t>等</w:t>
            </w:r>
            <w:r w:rsidR="003F7331">
              <w:rPr>
                <w:rFonts w:ascii="宋体" w:eastAsia="宋体" w:hAnsi="宋体" w:cs="宋体" w:hint="eastAsia"/>
                <w:szCs w:val="21"/>
              </w:rPr>
              <w:t>213</w:t>
            </w:r>
            <w:r w:rsidR="007426F1">
              <w:rPr>
                <w:rFonts w:ascii="宋体" w:eastAsia="宋体" w:hAnsi="宋体" w:cs="宋体" w:hint="eastAsia"/>
                <w:szCs w:val="21"/>
              </w:rPr>
              <w:t>家</w:t>
            </w:r>
          </w:p>
        </w:tc>
      </w:tr>
      <w:tr w:rsidR="00613B7F" w14:paraId="027CD9CB" w14:textId="77777777">
        <w:tc>
          <w:tcPr>
            <w:tcW w:w="1775" w:type="dxa"/>
            <w:vAlign w:val="center"/>
          </w:tcPr>
          <w:p w14:paraId="3B547E4C" w14:textId="77777777" w:rsidR="00613B7F" w:rsidRDefault="008C7E27" w:rsidP="0087160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996" w:type="dxa"/>
            <w:vAlign w:val="center"/>
          </w:tcPr>
          <w:p w14:paraId="337DF716" w14:textId="19EC3BA8" w:rsidR="00613B7F" w:rsidRDefault="008C7E27" w:rsidP="00410495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2023年10月12日15:00-16:00、2023年10月26日11</w:t>
            </w:r>
            <w:r w:rsidR="007426F1"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00-12:00</w:t>
            </w:r>
          </w:p>
        </w:tc>
      </w:tr>
      <w:tr w:rsidR="00613B7F" w14:paraId="07CDABB3" w14:textId="77777777">
        <w:tc>
          <w:tcPr>
            <w:tcW w:w="1775" w:type="dxa"/>
            <w:vAlign w:val="center"/>
          </w:tcPr>
          <w:p w14:paraId="0ABBE936" w14:textId="77777777" w:rsidR="00613B7F" w:rsidRDefault="008C7E27" w:rsidP="0087160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996" w:type="dxa"/>
            <w:vAlign w:val="center"/>
          </w:tcPr>
          <w:p w14:paraId="65EE7364" w14:textId="3AFA2AEB" w:rsidR="00613B7F" w:rsidRDefault="008C7E27" w:rsidP="00410495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公司会议室</w:t>
            </w:r>
            <w:r w:rsidR="00090420">
              <w:rPr>
                <w:rFonts w:ascii="宋体" w:eastAsia="宋体" w:hAnsi="宋体" w:cs="宋体" w:hint="eastAsia"/>
                <w:szCs w:val="21"/>
              </w:rPr>
              <w:t>/线上</w:t>
            </w:r>
          </w:p>
        </w:tc>
      </w:tr>
      <w:tr w:rsidR="00613B7F" w14:paraId="54980E6D" w14:textId="77777777">
        <w:trPr>
          <w:trHeight w:val="1301"/>
        </w:trPr>
        <w:tc>
          <w:tcPr>
            <w:tcW w:w="1775" w:type="dxa"/>
            <w:vAlign w:val="center"/>
          </w:tcPr>
          <w:p w14:paraId="78409730" w14:textId="0A11B81F" w:rsidR="00613B7F" w:rsidRDefault="008C7E27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上市公司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br/>
              <w:t>接待人员</w:t>
            </w:r>
          </w:p>
        </w:tc>
        <w:tc>
          <w:tcPr>
            <w:tcW w:w="6996" w:type="dxa"/>
            <w:vAlign w:val="center"/>
          </w:tcPr>
          <w:p w14:paraId="60F5103C" w14:textId="77777777" w:rsidR="00613B7F" w:rsidRDefault="008C7E27" w:rsidP="00410495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董事长沈国英女士</w:t>
            </w:r>
          </w:p>
          <w:p w14:paraId="347CBB1E" w14:textId="77777777" w:rsidR="00613B7F" w:rsidRDefault="008C7E27" w:rsidP="00410495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董事会秘书郭粟女士</w:t>
            </w:r>
          </w:p>
          <w:p w14:paraId="30234843" w14:textId="77777777" w:rsidR="00613B7F" w:rsidRDefault="008C7E27" w:rsidP="00410495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财务负责人葛瑜斌先生</w:t>
            </w:r>
          </w:p>
        </w:tc>
      </w:tr>
      <w:tr w:rsidR="00613B7F" w14:paraId="74F7CA50" w14:textId="77777777">
        <w:trPr>
          <w:trHeight w:val="841"/>
        </w:trPr>
        <w:tc>
          <w:tcPr>
            <w:tcW w:w="1775" w:type="dxa"/>
            <w:vAlign w:val="center"/>
          </w:tcPr>
          <w:p w14:paraId="686E4E80" w14:textId="77777777" w:rsidR="00613B7F" w:rsidRDefault="008C7E27" w:rsidP="0087160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</w:t>
            </w:r>
          </w:p>
          <w:p w14:paraId="6AC67BB5" w14:textId="77777777" w:rsidR="00613B7F" w:rsidRDefault="008C7E27" w:rsidP="0087160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6996" w:type="dxa"/>
            <w:vAlign w:val="center"/>
          </w:tcPr>
          <w:p w14:paraId="211461D9" w14:textId="77777777" w:rsidR="00BB37BC" w:rsidRPr="00410495" w:rsidRDefault="00BB37BC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1、公司对于电力及医疗两大板块的业务是如何定位与管理的？</w:t>
            </w:r>
          </w:p>
          <w:p w14:paraId="0C2FF01F" w14:textId="64D12BCA" w:rsidR="007426F1" w:rsidRDefault="00BB37BC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公司战略目标清晰，</w:t>
            </w:r>
            <w:r w:rsidR="007426F1">
              <w:t>立足智能配用电与医疗服务双主业，积极开拓创新，扎实推进各项工作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6011A6AC" w14:textId="77777777" w:rsidR="007426F1" w:rsidRPr="007426F1" w:rsidRDefault="007426F1" w:rsidP="007426F1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7426F1">
              <w:rPr>
                <w:rFonts w:ascii="宋体" w:eastAsia="宋体" w:hAnsi="宋体" w:cs="宋体" w:hint="eastAsia"/>
                <w:szCs w:val="21"/>
              </w:rPr>
              <w:t>在智能配用电板块，公司围绕新型电力系统、新型能源体系建设，推动数字化、智能化升级，在原有业务优势基础上，重点发力新能源相关领域，中标金额持续保持行业领先。同时，进一步深化全球化战略，不断完善国际化营销网络平台搭建，积极推动公司业务向智慧能源综合管理转型。</w:t>
            </w:r>
          </w:p>
          <w:p w14:paraId="0CBDA547" w14:textId="06BA5041" w:rsidR="007426F1" w:rsidRPr="007426F1" w:rsidRDefault="007426F1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7426F1">
              <w:rPr>
                <w:rFonts w:ascii="宋体" w:eastAsia="宋体" w:hAnsi="宋体" w:cs="宋体" w:hint="eastAsia"/>
                <w:szCs w:val="21"/>
              </w:rPr>
              <w:t>在医疗服务板块，公司致力成为中国领先的医疗服务管理集团。重点打造以重症康复为特色，神经康复与功能康复为核心，老年康复为基础的</w:t>
            </w:r>
            <w:r w:rsidRPr="007426F1">
              <w:rPr>
                <w:rFonts w:ascii="宋体" w:eastAsia="宋体" w:hAnsi="宋体" w:cs="宋体" w:hint="eastAsia"/>
                <w:szCs w:val="21"/>
              </w:rPr>
              <w:lastRenderedPageBreak/>
              <w:t>高品质康复连锁专科。持续围绕连锁扩张、学科建设、医疗质量、人才培养、数字化建设等方面进一步夯实连锁康复医疗体系。</w:t>
            </w:r>
          </w:p>
          <w:p w14:paraId="19D2A312" w14:textId="500A4192" w:rsidR="00235644" w:rsidRPr="00410495" w:rsidRDefault="00BB37BC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2</w:t>
            </w:r>
            <w:r w:rsidR="00235644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</w:t>
            </w:r>
            <w:r w:rsidR="00CD36CA">
              <w:rPr>
                <w:rFonts w:ascii="宋体" w:eastAsia="宋体" w:hAnsi="宋体" w:cs="宋体" w:hint="eastAsia"/>
                <w:b/>
                <w:bCs/>
                <w:szCs w:val="21"/>
              </w:rPr>
              <w:t>今年以来公司</w:t>
            </w:r>
            <w:r w:rsidR="00235644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毛利率环比</w:t>
            </w:r>
            <w:r w:rsidR="007426F1">
              <w:rPr>
                <w:rFonts w:ascii="宋体" w:eastAsia="宋体" w:hAnsi="宋体" w:cs="宋体" w:hint="eastAsia"/>
                <w:b/>
                <w:bCs/>
                <w:szCs w:val="21"/>
              </w:rPr>
              <w:t>提升</w:t>
            </w:r>
            <w:r w:rsidR="00235644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的原因是什么？</w:t>
            </w:r>
          </w:p>
          <w:p w14:paraId="7B7589E8" w14:textId="4789DCDE" w:rsidR="008137BD" w:rsidRDefault="00CD36CA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在智能配用电板块，公司通过持续的技术创新，产品迭代，保持技术优势；同时</w:t>
            </w:r>
            <w:r w:rsidR="00235644">
              <w:rPr>
                <w:rFonts w:ascii="宋体" w:eastAsia="宋体" w:hAnsi="宋体" w:cs="宋体" w:hint="eastAsia"/>
                <w:szCs w:val="21"/>
              </w:rPr>
              <w:t>，公司作为行业头部企业，订单更集</w:t>
            </w:r>
            <w:r>
              <w:rPr>
                <w:rFonts w:ascii="宋体" w:eastAsia="宋体" w:hAnsi="宋体" w:cs="宋体" w:hint="eastAsia"/>
                <w:szCs w:val="21"/>
              </w:rPr>
              <w:t>约化、生产过程标准化，能较好</w:t>
            </w:r>
            <w:r w:rsidR="00DB6568">
              <w:rPr>
                <w:rFonts w:ascii="宋体" w:eastAsia="宋体" w:hAnsi="宋体" w:cs="宋体" w:hint="eastAsia"/>
                <w:szCs w:val="21"/>
              </w:rPr>
              <w:t>把控成本，降本增效。在</w:t>
            </w:r>
            <w:r w:rsidR="00235644">
              <w:rPr>
                <w:rFonts w:ascii="宋体" w:eastAsia="宋体" w:hAnsi="宋体" w:cs="宋体" w:hint="eastAsia"/>
                <w:szCs w:val="21"/>
              </w:rPr>
              <w:t>医疗</w:t>
            </w:r>
            <w:r w:rsidR="00661803">
              <w:rPr>
                <w:rFonts w:ascii="宋体" w:eastAsia="宋体" w:hAnsi="宋体" w:cs="宋体" w:hint="eastAsia"/>
                <w:szCs w:val="21"/>
              </w:rPr>
              <w:t>服务</w:t>
            </w:r>
            <w:r w:rsidR="00235644">
              <w:rPr>
                <w:rFonts w:ascii="宋体" w:eastAsia="宋体" w:hAnsi="宋体" w:cs="宋体" w:hint="eastAsia"/>
                <w:szCs w:val="21"/>
              </w:rPr>
              <w:t>板块，</w:t>
            </w:r>
            <w:r w:rsidR="00291EEF">
              <w:rPr>
                <w:rFonts w:ascii="宋体" w:eastAsia="宋体" w:hAnsi="宋体" w:cs="宋体" w:hint="eastAsia"/>
                <w:szCs w:val="21"/>
              </w:rPr>
              <w:t>随着</w:t>
            </w:r>
            <w:r w:rsidR="00235644">
              <w:rPr>
                <w:rFonts w:ascii="宋体" w:eastAsia="宋体" w:hAnsi="宋体" w:cs="宋体" w:hint="eastAsia"/>
                <w:szCs w:val="21"/>
              </w:rPr>
              <w:t>康复医院占比提升，医疗板块毛利率有所提升。</w:t>
            </w:r>
          </w:p>
          <w:p w14:paraId="15EC0CF4" w14:textId="0EEB0D7D" w:rsidR="00BB37BC" w:rsidRPr="00410495" w:rsidRDefault="00BB37BC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3、公司配用电的业务规模</w:t>
            </w:r>
            <w:r w:rsidR="00FE6175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分别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是怎样的？主要产品有哪些？</w:t>
            </w:r>
          </w:p>
          <w:p w14:paraId="1BB99ED8" w14:textId="6A7129E8" w:rsidR="00BB37BC" w:rsidRDefault="00BB37BC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上半年，公司智能用电业务实现营业收入22.16亿元，同比增长10.73%；公司智能配电业务实现营业收入20.45亿元，同比增长38.18%。配用电营收规模基本</w:t>
            </w:r>
            <w:r w:rsidR="00DB6568">
              <w:rPr>
                <w:rFonts w:ascii="宋体" w:eastAsia="宋体" w:hAnsi="宋体" w:cs="宋体" w:hint="eastAsia"/>
                <w:szCs w:val="21"/>
              </w:rPr>
              <w:t>相当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3002699E" w14:textId="45E9A027" w:rsidR="001F2837" w:rsidRPr="00410495" w:rsidRDefault="00BB37BC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410495">
              <w:rPr>
                <w:rFonts w:ascii="宋体" w:eastAsia="宋体" w:hAnsi="宋体" w:cs="宋体" w:hint="eastAsia"/>
                <w:szCs w:val="21"/>
              </w:rPr>
              <w:t>公司已有多年智能配用电产品研发制造经验</w:t>
            </w:r>
            <w:r w:rsidR="001F2837">
              <w:rPr>
                <w:rFonts w:ascii="宋体" w:eastAsia="宋体" w:hAnsi="宋体" w:cs="宋体" w:hint="eastAsia"/>
                <w:szCs w:val="21"/>
              </w:rPr>
              <w:t>。</w:t>
            </w:r>
            <w:r w:rsidRPr="00410495">
              <w:rPr>
                <w:rFonts w:ascii="宋体" w:eastAsia="宋体" w:hAnsi="宋体" w:cs="宋体" w:hint="eastAsia"/>
                <w:szCs w:val="21"/>
              </w:rPr>
              <w:t>围绕国内外客户智慧能源管理需求，</w:t>
            </w:r>
            <w:r w:rsidR="00FE6175">
              <w:rPr>
                <w:rFonts w:ascii="宋体" w:eastAsia="宋体" w:hAnsi="宋体" w:cs="宋体" w:hint="eastAsia"/>
                <w:szCs w:val="21"/>
              </w:rPr>
              <w:t>公司已</w:t>
            </w:r>
            <w:r w:rsidRPr="00410495">
              <w:rPr>
                <w:rFonts w:ascii="宋体" w:eastAsia="宋体" w:hAnsi="宋体" w:cs="宋体" w:hint="eastAsia"/>
                <w:szCs w:val="21"/>
              </w:rPr>
              <w:t>形成一体化的整体解决方案，包括</w:t>
            </w:r>
            <w:r w:rsidR="001F2837" w:rsidRPr="006448E7">
              <w:rPr>
                <w:rFonts w:ascii="宋体" w:eastAsia="宋体" w:hAnsi="宋体" w:cs="宋体" w:hint="eastAsia"/>
                <w:szCs w:val="21"/>
              </w:rPr>
              <w:t>智能电表、</w:t>
            </w:r>
            <w:r w:rsidRPr="00410495">
              <w:rPr>
                <w:rFonts w:ascii="宋体" w:eastAsia="宋体" w:hAnsi="宋体" w:cs="宋体" w:hint="eastAsia"/>
                <w:szCs w:val="21"/>
              </w:rPr>
              <w:t>智能终端、通信模块、系统软件、变压器、</w:t>
            </w:r>
            <w:r w:rsidR="001F2837" w:rsidRPr="00905910">
              <w:rPr>
                <w:rFonts w:ascii="宋体" w:eastAsia="宋体" w:hAnsi="宋体" w:cs="宋体" w:hint="eastAsia"/>
                <w:szCs w:val="21"/>
              </w:rPr>
              <w:t>箱式变电站、</w:t>
            </w:r>
            <w:r w:rsidRPr="00410495">
              <w:rPr>
                <w:rFonts w:ascii="宋体" w:eastAsia="宋体" w:hAnsi="宋体" w:cs="宋体" w:hint="eastAsia"/>
                <w:szCs w:val="21"/>
              </w:rPr>
              <w:t>开关柜、电力箱等产品及服务，帮助客户打造优质电网。</w:t>
            </w:r>
          </w:p>
          <w:p w14:paraId="1EEFF753" w14:textId="519244C8" w:rsidR="001F2837" w:rsidRPr="00BB37BC" w:rsidRDefault="003E2764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t>在智能用电方面，国内推出了</w:t>
            </w:r>
            <w:proofErr w:type="gramStart"/>
            <w:r>
              <w:t>物联表</w:t>
            </w:r>
            <w:proofErr w:type="gramEnd"/>
            <w:r>
              <w:t>、能源控制器、智能量测终端等产品；海外光伏电表助力节能减排，欧洲低碳表已取得产品碳足迹和生命周期评估（</w:t>
            </w:r>
            <w:r>
              <w:t>LCA</w:t>
            </w:r>
            <w:r>
              <w:t>）证书，智能</w:t>
            </w:r>
            <w:proofErr w:type="gramStart"/>
            <w:r>
              <w:t>圆表全</w:t>
            </w:r>
            <w:proofErr w:type="gramEnd"/>
            <w:r>
              <w:t>覆盖北美</w:t>
            </w:r>
            <w:r>
              <w:t>ANSI</w:t>
            </w:r>
            <w:r>
              <w:t>、</w:t>
            </w:r>
            <w:r>
              <w:t>UL</w:t>
            </w:r>
            <w:r>
              <w:t>等标准。</w:t>
            </w:r>
            <w:r w:rsidR="001F2837">
              <w:t>在智能配电方面，公司聚焦</w:t>
            </w:r>
            <w:r w:rsidR="001F2837">
              <w:t>“</w:t>
            </w:r>
            <w:r w:rsidR="001F2837">
              <w:t>绿色用电</w:t>
            </w:r>
            <w:r w:rsidR="001F2837">
              <w:t>”</w:t>
            </w:r>
            <w:r w:rsidR="001F2837">
              <w:t>和</w:t>
            </w:r>
            <w:r w:rsidR="001F2837">
              <w:t>“</w:t>
            </w:r>
            <w:r w:rsidR="001F2837">
              <w:t>碳计量</w:t>
            </w:r>
            <w:r w:rsidR="001F2837">
              <w:t>”</w:t>
            </w:r>
            <w:r w:rsidR="001F2837">
              <w:t>需求，自主研发新能效节能变压器、小型化环网柜、环保气体柜和核心部件，前置布局大容量箱变、大电流中置柜、低压柜等，其中光</w:t>
            </w:r>
            <w:proofErr w:type="gramStart"/>
            <w:r w:rsidR="001F2837">
              <w:t>伏箱变获</w:t>
            </w:r>
            <w:proofErr w:type="gramEnd"/>
            <w:r w:rsidR="001F2837">
              <w:t>国内首台套认定，小型化环网柜已走出国门，在中东市场大批量应用。新能源领域，直流充电桩已全覆盖</w:t>
            </w:r>
            <w:r w:rsidR="001F2837">
              <w:t>60-480kW</w:t>
            </w:r>
            <w:r w:rsidR="001F2837">
              <w:t>，近年来中标业绩网内领先。</w:t>
            </w:r>
          </w:p>
          <w:p w14:paraId="1EDC7121" w14:textId="2EB1D083" w:rsidR="00BB37BC" w:rsidRPr="00410495" w:rsidRDefault="00BB37BC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4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、公司海外业务</w:t>
            </w:r>
            <w:r w:rsidR="00FE6175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主要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有哪些渠道？</w:t>
            </w:r>
          </w:p>
          <w:p w14:paraId="5B757303" w14:textId="465DC6D2" w:rsidR="00871602" w:rsidRDefault="000821A4" w:rsidP="0059796E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公司已在海外</w:t>
            </w:r>
            <w:r w:rsidR="00BB37BC" w:rsidRPr="00E5175F">
              <w:rPr>
                <w:rFonts w:ascii="宋体" w:eastAsia="宋体" w:hAnsi="宋体" w:cs="宋体" w:hint="eastAsia"/>
                <w:szCs w:val="21"/>
              </w:rPr>
              <w:t>布局</w:t>
            </w:r>
            <w:r>
              <w:rPr>
                <w:rFonts w:ascii="宋体" w:eastAsia="宋体" w:hAnsi="宋体" w:cs="宋体" w:hint="eastAsia"/>
                <w:szCs w:val="21"/>
              </w:rPr>
              <w:t>多年</w:t>
            </w:r>
            <w:r w:rsidR="00BB37BC" w:rsidRPr="00E5175F">
              <w:rPr>
                <w:rFonts w:ascii="宋体" w:eastAsia="宋体" w:hAnsi="宋体" w:cs="宋体" w:hint="eastAsia"/>
                <w:szCs w:val="21"/>
              </w:rPr>
              <w:t>，建立</w:t>
            </w:r>
            <w:r w:rsidR="008E5AD8">
              <w:rPr>
                <w:rFonts w:ascii="宋体" w:eastAsia="宋体" w:hAnsi="宋体" w:cs="宋体" w:hint="eastAsia"/>
                <w:szCs w:val="21"/>
              </w:rPr>
              <w:t>了</w:t>
            </w:r>
            <w:r w:rsidR="00BB37BC" w:rsidRPr="00E5175F">
              <w:rPr>
                <w:rFonts w:ascii="宋体" w:eastAsia="宋体" w:hAnsi="宋体" w:cs="宋体" w:hint="eastAsia"/>
                <w:szCs w:val="21"/>
              </w:rPr>
              <w:t>较为成熟的销售体</w:t>
            </w:r>
            <w:r w:rsidR="00BB37BC">
              <w:rPr>
                <w:rFonts w:ascii="宋体" w:eastAsia="宋体" w:hAnsi="宋体" w:cs="宋体" w:hint="eastAsia"/>
                <w:szCs w:val="21"/>
              </w:rPr>
              <w:t>系，积累了丰富的客户资源。</w:t>
            </w:r>
            <w:r w:rsidR="008E5AD8">
              <w:rPr>
                <w:rFonts w:ascii="宋体" w:eastAsia="宋体" w:hAnsi="宋体" w:cs="宋体" w:hint="eastAsia"/>
                <w:szCs w:val="21"/>
              </w:rPr>
              <w:t>目前，</w:t>
            </w:r>
            <w:r w:rsidR="0059796E">
              <w:rPr>
                <w:rFonts w:ascii="宋体" w:eastAsia="宋体" w:hAnsi="宋体" w:cs="宋体" w:hint="eastAsia"/>
                <w:szCs w:val="21"/>
              </w:rPr>
              <w:t>公司已在</w:t>
            </w:r>
            <w:r w:rsidR="0059796E" w:rsidRPr="0059796E">
              <w:rPr>
                <w:rFonts w:ascii="宋体" w:eastAsia="宋体" w:hAnsi="宋体" w:cs="宋体" w:hint="eastAsia"/>
                <w:szCs w:val="21"/>
              </w:rPr>
              <w:t>巴西、印尼、波兰</w:t>
            </w:r>
            <w:r w:rsidR="0059796E">
              <w:rPr>
                <w:rFonts w:ascii="宋体" w:eastAsia="宋体" w:hAnsi="宋体" w:cs="宋体" w:hint="eastAsia"/>
                <w:szCs w:val="21"/>
              </w:rPr>
              <w:t>建立</w:t>
            </w:r>
            <w:r w:rsidR="0059796E" w:rsidRPr="0059796E">
              <w:rPr>
                <w:rFonts w:ascii="宋体" w:eastAsia="宋体" w:hAnsi="宋体" w:cs="宋体" w:hint="eastAsia"/>
                <w:szCs w:val="21"/>
              </w:rPr>
              <w:t>3大制造基地</w:t>
            </w:r>
            <w:r w:rsidR="0059796E">
              <w:rPr>
                <w:rFonts w:ascii="宋体" w:eastAsia="宋体" w:hAnsi="宋体" w:cs="宋体" w:hint="eastAsia"/>
                <w:szCs w:val="21"/>
              </w:rPr>
              <w:t>，并在</w:t>
            </w:r>
            <w:r w:rsidR="0059796E" w:rsidRPr="0059796E">
              <w:rPr>
                <w:rFonts w:ascii="宋体" w:eastAsia="宋体" w:hAnsi="宋体" w:cs="宋体" w:hint="eastAsia"/>
                <w:szCs w:val="21"/>
              </w:rPr>
              <w:t>瑞典、哥伦比亚、墨西哥、尼泊尔、秘鲁</w:t>
            </w:r>
            <w:r w:rsidR="0059796E">
              <w:rPr>
                <w:rFonts w:ascii="宋体" w:eastAsia="宋体" w:hAnsi="宋体" w:cs="宋体" w:hint="eastAsia"/>
                <w:szCs w:val="21"/>
              </w:rPr>
              <w:t>建立</w:t>
            </w:r>
            <w:r w:rsidR="0059796E" w:rsidRPr="0059796E">
              <w:rPr>
                <w:rFonts w:ascii="宋体" w:eastAsia="宋体" w:hAnsi="宋体" w:cs="宋体" w:hint="eastAsia"/>
                <w:szCs w:val="21"/>
              </w:rPr>
              <w:t>5个销售中心，辐射欧洲、东</w:t>
            </w:r>
            <w:r w:rsidR="0059796E" w:rsidRPr="0059796E">
              <w:rPr>
                <w:rFonts w:ascii="宋体" w:eastAsia="宋体" w:hAnsi="宋体" w:cs="宋体" w:hint="eastAsia"/>
                <w:szCs w:val="21"/>
              </w:rPr>
              <w:lastRenderedPageBreak/>
              <w:t>南亚、美洲等70多个国家和地区</w:t>
            </w:r>
            <w:r w:rsidR="0059796E">
              <w:rPr>
                <w:rFonts w:ascii="宋体" w:eastAsia="宋体" w:hAnsi="宋体" w:cs="宋体" w:hint="eastAsia"/>
                <w:szCs w:val="21"/>
              </w:rPr>
              <w:t>，</w:t>
            </w:r>
            <w:r w:rsidR="00BB37BC">
              <w:rPr>
                <w:rFonts w:ascii="宋体" w:eastAsia="宋体" w:hAnsi="宋体" w:cs="宋体" w:hint="eastAsia"/>
                <w:szCs w:val="21"/>
              </w:rPr>
              <w:t>其中在欧洲市场，公司已覆盖13个国家，成为在欧洲市场覆盖最为广泛的中国公司。在海外市场通过交付一系列高品质项目，建立了良好的行业口碑。</w:t>
            </w:r>
          </w:p>
          <w:p w14:paraId="4D487916" w14:textId="77777777" w:rsidR="00AC2B26" w:rsidRDefault="00D27D93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D27D93">
              <w:rPr>
                <w:rFonts w:ascii="宋体" w:eastAsia="宋体" w:hAnsi="宋体" w:cs="宋体" w:hint="eastAsia"/>
                <w:szCs w:val="21"/>
              </w:rPr>
              <w:t>继前期在瑞典和沙特项目中标近15亿元智能电表订单后，公司紧抓全球智能电网改造机会，从用电到配电，从单一产品到整体解决方案，并涉足总包业务模式。公司持续深耕中东、欧洲、非洲、拉美等区域，连续签约一批重要项目；同时公司在南亚、中东等市场配电业务取得重大突破，</w:t>
            </w:r>
            <w:r w:rsidR="00281E4D">
              <w:rPr>
                <w:rFonts w:ascii="宋体" w:eastAsia="宋体" w:hAnsi="宋体" w:cs="宋体" w:hint="eastAsia"/>
                <w:szCs w:val="21"/>
              </w:rPr>
              <w:t>推动配电业务出海</w:t>
            </w:r>
            <w:r w:rsidRPr="00D27D93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1DE94094" w14:textId="5EFE17E1" w:rsidR="00BB37BC" w:rsidRPr="00410495" w:rsidRDefault="00FE6175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5</w:t>
            </w:r>
            <w:r w:rsidR="00BB37BC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、公司国内业务</w:t>
            </w:r>
            <w:r w:rsidR="002D7382" w:rsidRPr="002D7382">
              <w:rPr>
                <w:rFonts w:ascii="宋体" w:eastAsia="宋体" w:hAnsi="宋体" w:cs="宋体" w:hint="eastAsia"/>
                <w:b/>
                <w:bCs/>
                <w:szCs w:val="21"/>
              </w:rPr>
              <w:t>主要有哪些渠道</w:t>
            </w:r>
            <w:r w:rsidR="00BB37BC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？</w:t>
            </w:r>
          </w:p>
          <w:p w14:paraId="712671DD" w14:textId="76E7D6A1" w:rsidR="00BB37BC" w:rsidRPr="00E5175F" w:rsidRDefault="00BB37BC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一方面，公司持续巩固电网客户优势，中标金额继续保持行业领先。另一方面，利用公司品牌与产品优势，大力开发非电网客户与行业大客户，实现客户结构的多元化。非电网市场聚焦新能源上下游产业客群、大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总包客群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，严控市场风险；行业大客户聚焦新能源五大六小发电央企，深度合作，快速提升市场份额及行业影响力，推动配电业务快速增长。</w:t>
            </w:r>
          </w:p>
          <w:p w14:paraId="2E1BAF55" w14:textId="28270C89" w:rsidR="00BB37BC" w:rsidRPr="00410495" w:rsidRDefault="00FE6175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6</w:t>
            </w:r>
            <w:r w:rsidR="00BB37BC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、公司国内配电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市场集中度如何？公司</w:t>
            </w:r>
            <w:r w:rsidR="00BB37BC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业务开展情况如何？</w:t>
            </w:r>
          </w:p>
          <w:p w14:paraId="5A6B931F" w14:textId="16A134D1" w:rsidR="00FE6175" w:rsidRDefault="00D56A2D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目前，</w:t>
            </w:r>
            <w:r w:rsidR="00BB37BC">
              <w:rPr>
                <w:rFonts w:ascii="宋体" w:eastAsia="宋体" w:hAnsi="宋体" w:cs="宋体" w:hint="eastAsia"/>
                <w:szCs w:val="21"/>
              </w:rPr>
              <w:t>相较用电市场，配电市场相对分散。但随着市场</w:t>
            </w:r>
            <w:r>
              <w:rPr>
                <w:rFonts w:ascii="宋体" w:eastAsia="宋体" w:hAnsi="宋体" w:cs="宋体" w:hint="eastAsia"/>
                <w:szCs w:val="21"/>
              </w:rPr>
              <w:t>规模</w:t>
            </w:r>
            <w:r w:rsidR="00BB37BC">
              <w:rPr>
                <w:rFonts w:ascii="宋体" w:eastAsia="宋体" w:hAnsi="宋体" w:cs="宋体" w:hint="eastAsia"/>
                <w:szCs w:val="21"/>
              </w:rPr>
              <w:t>的逐步提升，客户更集中</w:t>
            </w:r>
            <w:r w:rsidR="00853463">
              <w:rPr>
                <w:rFonts w:ascii="宋体" w:eastAsia="宋体" w:hAnsi="宋体" w:cs="宋体" w:hint="eastAsia"/>
                <w:szCs w:val="21"/>
              </w:rPr>
              <w:t>，</w:t>
            </w:r>
            <w:r w:rsidR="00BB37BC">
              <w:rPr>
                <w:rFonts w:ascii="宋体" w:eastAsia="宋体" w:hAnsi="宋体" w:cs="宋体" w:hint="eastAsia"/>
                <w:szCs w:val="21"/>
              </w:rPr>
              <w:t>订单更聚焦，能较好的发挥规模效应，提升效率。</w:t>
            </w:r>
            <w:r w:rsidR="00FE6175">
              <w:rPr>
                <w:rFonts w:ascii="宋体" w:eastAsia="宋体" w:hAnsi="宋体" w:cs="宋体" w:hint="eastAsia"/>
                <w:szCs w:val="21"/>
              </w:rPr>
              <w:t>2023年</w:t>
            </w:r>
            <w:r w:rsidR="00BB37BC">
              <w:rPr>
                <w:rFonts w:ascii="宋体" w:eastAsia="宋体" w:hAnsi="宋体" w:cs="宋体" w:hint="eastAsia"/>
                <w:szCs w:val="21"/>
              </w:rPr>
              <w:t>上半年，</w:t>
            </w:r>
            <w:r w:rsidR="00BB37BC" w:rsidRPr="00C65661">
              <w:rPr>
                <w:rFonts w:ascii="宋体" w:eastAsia="宋体" w:hAnsi="宋体" w:cs="宋体" w:hint="eastAsia"/>
                <w:szCs w:val="21"/>
              </w:rPr>
              <w:t>公司智能配电业务实现营业收入</w:t>
            </w:r>
            <w:r w:rsidR="00BB37BC">
              <w:rPr>
                <w:rFonts w:ascii="宋体" w:eastAsia="宋体" w:hAnsi="宋体" w:cs="宋体" w:hint="eastAsia"/>
                <w:szCs w:val="21"/>
              </w:rPr>
              <w:t>20.45</w:t>
            </w:r>
            <w:r w:rsidR="00BB37BC" w:rsidRPr="00C65661">
              <w:rPr>
                <w:rFonts w:ascii="宋体" w:eastAsia="宋体" w:hAnsi="宋体" w:cs="宋体" w:hint="eastAsia"/>
                <w:szCs w:val="21"/>
              </w:rPr>
              <w:t>亿元，同比增长38.18%。</w:t>
            </w:r>
          </w:p>
          <w:p w14:paraId="233EABC8" w14:textId="3B763F74" w:rsidR="00FE6175" w:rsidRPr="00410495" w:rsidRDefault="00FE6175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7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、目前海外配电业务增速情况如何？</w:t>
            </w:r>
          </w:p>
          <w:p w14:paraId="182BEC06" w14:textId="4173F730" w:rsidR="00E4558A" w:rsidRDefault="00F40760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 w:rsidRPr="00F40760">
              <w:rPr>
                <w:rFonts w:ascii="宋体" w:eastAsia="宋体" w:hAnsi="宋体" w:cs="宋体" w:hint="eastAsia"/>
                <w:szCs w:val="21"/>
              </w:rPr>
              <w:t>在碳达峰</w:t>
            </w:r>
            <w:proofErr w:type="gramEnd"/>
            <w:r w:rsidRPr="00F40760">
              <w:rPr>
                <w:rFonts w:ascii="宋体" w:eastAsia="宋体" w:hAnsi="宋体" w:cs="宋体" w:hint="eastAsia"/>
                <w:szCs w:val="21"/>
              </w:rPr>
              <w:t>、碳中和逐渐成为全球共识</w:t>
            </w:r>
            <w:r>
              <w:rPr>
                <w:rFonts w:ascii="宋体" w:eastAsia="宋体" w:hAnsi="宋体" w:cs="宋体" w:hint="eastAsia"/>
                <w:szCs w:val="21"/>
              </w:rPr>
              <w:t>的</w:t>
            </w:r>
            <w:r w:rsidRPr="00F40760">
              <w:rPr>
                <w:rFonts w:ascii="宋体" w:eastAsia="宋体" w:hAnsi="宋体" w:cs="宋体" w:hint="eastAsia"/>
                <w:szCs w:val="21"/>
              </w:rPr>
              <w:t>背景下，提高风电、</w:t>
            </w:r>
            <w:proofErr w:type="gramStart"/>
            <w:r w:rsidRPr="00F40760">
              <w:rPr>
                <w:rFonts w:ascii="宋体" w:eastAsia="宋体" w:hAnsi="宋体" w:cs="宋体" w:hint="eastAsia"/>
                <w:szCs w:val="21"/>
              </w:rPr>
              <w:t>光伏等绿色</w:t>
            </w:r>
            <w:proofErr w:type="gramEnd"/>
            <w:r w:rsidRPr="00F40760">
              <w:rPr>
                <w:rFonts w:ascii="宋体" w:eastAsia="宋体" w:hAnsi="宋体" w:cs="宋体" w:hint="eastAsia"/>
                <w:szCs w:val="21"/>
              </w:rPr>
              <w:t>清洁能源</w:t>
            </w:r>
            <w:proofErr w:type="gramStart"/>
            <w:r w:rsidRPr="00F40760">
              <w:rPr>
                <w:rFonts w:ascii="宋体" w:eastAsia="宋体" w:hAnsi="宋体" w:cs="宋体" w:hint="eastAsia"/>
                <w:szCs w:val="21"/>
              </w:rPr>
              <w:t>发电占</w:t>
            </w:r>
            <w:proofErr w:type="gramEnd"/>
            <w:r w:rsidRPr="00F40760">
              <w:rPr>
                <w:rFonts w:ascii="宋体" w:eastAsia="宋体" w:hAnsi="宋体" w:cs="宋体" w:hint="eastAsia"/>
                <w:szCs w:val="21"/>
              </w:rPr>
              <w:t>比和新能源车的市场占有率是减少碳排放的主要途径。</w:t>
            </w:r>
            <w:r w:rsidR="00D30250">
              <w:rPr>
                <w:rFonts w:ascii="宋体" w:eastAsia="宋体" w:hAnsi="宋体" w:cs="宋体" w:hint="eastAsia"/>
                <w:szCs w:val="21"/>
              </w:rPr>
              <w:t>随着</w:t>
            </w:r>
            <w:r w:rsidRPr="00F40760">
              <w:rPr>
                <w:rFonts w:ascii="宋体" w:eastAsia="宋体" w:hAnsi="宋体" w:cs="宋体" w:hint="eastAsia"/>
                <w:szCs w:val="21"/>
              </w:rPr>
              <w:t>新能源为主体的新型电力系统的加快推进</w:t>
            </w:r>
            <w:r>
              <w:rPr>
                <w:rFonts w:ascii="宋体" w:eastAsia="宋体" w:hAnsi="宋体" w:cs="宋体" w:hint="eastAsia"/>
                <w:szCs w:val="21"/>
              </w:rPr>
              <w:t>及能源的低碳转型，环网柜、变压器等配电产品</w:t>
            </w:r>
            <w:r w:rsidRPr="00F40760">
              <w:rPr>
                <w:rFonts w:ascii="宋体" w:eastAsia="宋体" w:hAnsi="宋体" w:cs="宋体" w:hint="eastAsia"/>
                <w:szCs w:val="21"/>
              </w:rPr>
              <w:t>作为新能源应用的核心装备，</w:t>
            </w:r>
            <w:r w:rsidRPr="00410495">
              <w:rPr>
                <w:rFonts w:ascii="宋体" w:eastAsia="宋体" w:hAnsi="宋体" w:cs="宋体" w:hint="eastAsia"/>
                <w:szCs w:val="21"/>
              </w:rPr>
              <w:t>已迎来巨大的市场空间和广阔的市场前景。</w:t>
            </w:r>
            <w:r w:rsidRPr="0017797F">
              <w:rPr>
                <w:rFonts w:ascii="宋体" w:eastAsia="宋体" w:hAnsi="宋体" w:cs="宋体" w:hint="eastAsia"/>
                <w:szCs w:val="21"/>
              </w:rPr>
              <w:t>公司紧抓</w:t>
            </w:r>
            <w:r w:rsidR="00FE6175" w:rsidRPr="0017797F">
              <w:rPr>
                <w:rFonts w:ascii="宋体" w:eastAsia="宋体" w:hAnsi="宋体" w:cs="宋体" w:hint="eastAsia"/>
                <w:szCs w:val="21"/>
              </w:rPr>
              <w:t>全球</w:t>
            </w:r>
            <w:r w:rsidRPr="0017797F">
              <w:rPr>
                <w:rFonts w:ascii="宋体" w:eastAsia="宋体" w:hAnsi="宋体" w:cs="宋体" w:hint="eastAsia"/>
                <w:szCs w:val="21"/>
              </w:rPr>
              <w:t>配</w:t>
            </w:r>
            <w:r w:rsidR="00FE6175" w:rsidRPr="0017797F">
              <w:rPr>
                <w:rFonts w:ascii="宋体" w:eastAsia="宋体" w:hAnsi="宋体" w:cs="宋体" w:hint="eastAsia"/>
                <w:szCs w:val="21"/>
              </w:rPr>
              <w:t>电网改造</w:t>
            </w:r>
            <w:r w:rsidRPr="0017797F">
              <w:rPr>
                <w:rFonts w:ascii="宋体" w:eastAsia="宋体" w:hAnsi="宋体" w:cs="宋体" w:hint="eastAsia"/>
                <w:szCs w:val="21"/>
              </w:rPr>
              <w:t>机会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="00FE6175">
              <w:rPr>
                <w:rFonts w:ascii="宋体" w:eastAsia="宋体" w:hAnsi="宋体" w:cs="宋体" w:hint="eastAsia"/>
                <w:szCs w:val="21"/>
              </w:rPr>
              <w:t>借</w:t>
            </w:r>
            <w:proofErr w:type="gramStart"/>
            <w:r w:rsidR="00FE6175">
              <w:rPr>
                <w:rFonts w:ascii="宋体" w:eastAsia="宋体" w:hAnsi="宋体" w:cs="宋体" w:hint="eastAsia"/>
                <w:szCs w:val="21"/>
              </w:rPr>
              <w:t>力海外</w:t>
            </w:r>
            <w:proofErr w:type="gramEnd"/>
            <w:r w:rsidR="00FE6175">
              <w:rPr>
                <w:rFonts w:ascii="宋体" w:eastAsia="宋体" w:hAnsi="宋体" w:cs="宋体" w:hint="eastAsia"/>
                <w:szCs w:val="21"/>
              </w:rPr>
              <w:t>已有的</w:t>
            </w:r>
            <w:r>
              <w:rPr>
                <w:rFonts w:ascii="宋体" w:eastAsia="宋体" w:hAnsi="宋体" w:cs="宋体" w:hint="eastAsia"/>
                <w:szCs w:val="21"/>
              </w:rPr>
              <w:t>业务</w:t>
            </w:r>
            <w:r w:rsidR="00FE6175">
              <w:rPr>
                <w:rFonts w:ascii="宋体" w:eastAsia="宋体" w:hAnsi="宋体" w:cs="宋体" w:hint="eastAsia"/>
                <w:szCs w:val="21"/>
              </w:rPr>
              <w:t>渠道</w:t>
            </w:r>
            <w:r w:rsidR="0017797F">
              <w:rPr>
                <w:rFonts w:ascii="宋体" w:eastAsia="宋体" w:hAnsi="宋体" w:cs="宋体" w:hint="eastAsia"/>
                <w:szCs w:val="21"/>
              </w:rPr>
              <w:t>和</w:t>
            </w:r>
            <w:r w:rsidR="00FE6175">
              <w:rPr>
                <w:rFonts w:ascii="宋体" w:eastAsia="宋体" w:hAnsi="宋体" w:cs="宋体" w:hint="eastAsia"/>
                <w:szCs w:val="21"/>
              </w:rPr>
              <w:t>客户资源，开拓海外配电业务市场。</w:t>
            </w:r>
          </w:p>
          <w:p w14:paraId="6F5401E6" w14:textId="4739DC6E" w:rsidR="00E4558A" w:rsidRPr="00410495" w:rsidRDefault="00BB37BC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8</w:t>
            </w:r>
            <w:r w:rsidR="00E4558A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</w:t>
            </w:r>
            <w:r w:rsidR="00C6090E">
              <w:rPr>
                <w:rFonts w:ascii="宋体" w:eastAsia="宋体" w:hAnsi="宋体" w:cs="宋体" w:hint="eastAsia"/>
                <w:b/>
                <w:bCs/>
                <w:szCs w:val="21"/>
              </w:rPr>
              <w:t>前</w:t>
            </w:r>
            <w:r w:rsidR="00E4558A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三季度电力设备收入</w:t>
            </w:r>
            <w:r w:rsidR="007564E7">
              <w:rPr>
                <w:rFonts w:ascii="宋体" w:eastAsia="宋体" w:hAnsi="宋体" w:cs="宋体" w:hint="eastAsia"/>
                <w:b/>
                <w:bCs/>
                <w:szCs w:val="21"/>
              </w:rPr>
              <w:t>同比增长的</w:t>
            </w:r>
            <w:r w:rsidR="00E4558A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原因？</w:t>
            </w:r>
          </w:p>
          <w:p w14:paraId="04D9CDA5" w14:textId="77777777" w:rsidR="00E4558A" w:rsidRDefault="00E4558A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前三季度，公司智能配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用电板块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的营收同比增长17.75%，主要受益于全球电网改造、投资需求增加，公司渠道及产品布局更加多元；国内非电网及行业大客户增速较快，海外依托智能用电业务积累的全球化渠道资源，逐步推进智能配电产品出海。</w:t>
            </w:r>
          </w:p>
          <w:p w14:paraId="680A5461" w14:textId="619CDF87" w:rsidR="00E4558A" w:rsidRDefault="00E4558A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同时，收入确认的影响因素较多，如经营节奏、运输周期、安装验收等均有关系，季度间存在正常波动。</w:t>
            </w:r>
          </w:p>
          <w:p w14:paraId="4C01D019" w14:textId="4EEF2848" w:rsidR="008A7AA8" w:rsidRDefault="00BB37BC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9</w:t>
            </w:r>
            <w:r w:rsidR="00E4558A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</w:t>
            </w:r>
            <w:r w:rsidR="008A7AA8">
              <w:rPr>
                <w:rFonts w:ascii="宋体" w:eastAsia="宋体" w:hAnsi="宋体" w:cs="宋体" w:hint="eastAsia"/>
                <w:b/>
                <w:bCs/>
                <w:szCs w:val="21"/>
              </w:rPr>
              <w:t>公司</w:t>
            </w:r>
            <w:r w:rsidR="00E4558A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三季度</w:t>
            </w:r>
            <w:r w:rsidR="008A7AA8">
              <w:rPr>
                <w:rFonts w:ascii="宋体" w:eastAsia="宋体" w:hAnsi="宋体" w:cs="宋体" w:hint="eastAsia"/>
                <w:b/>
                <w:bCs/>
                <w:szCs w:val="21"/>
              </w:rPr>
              <w:t>末在手订单同比增长的原因？</w:t>
            </w:r>
          </w:p>
          <w:p w14:paraId="33C6FDF5" w14:textId="1DA3FEA3" w:rsidR="00C6090E" w:rsidRDefault="00C6090E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截至三季度末，</w:t>
            </w:r>
            <w:r w:rsidRPr="00410495">
              <w:rPr>
                <w:rFonts w:ascii="宋体" w:eastAsia="宋体" w:hAnsi="宋体" w:cs="宋体" w:hint="eastAsia"/>
                <w:szCs w:val="21"/>
              </w:rPr>
              <w:t>公司累计在手订单</w:t>
            </w:r>
            <w:r>
              <w:rPr>
                <w:rFonts w:ascii="宋体" w:eastAsia="宋体" w:hAnsi="宋体" w:cs="宋体"/>
                <w:szCs w:val="21"/>
              </w:rPr>
              <w:t>114.13</w:t>
            </w:r>
            <w:r w:rsidRPr="00410495">
              <w:rPr>
                <w:rFonts w:ascii="宋体" w:eastAsia="宋体" w:hAnsi="宋体" w:cs="宋体" w:hint="eastAsia"/>
                <w:szCs w:val="21"/>
              </w:rPr>
              <w:t>亿元，同比增长</w:t>
            </w:r>
            <w:r w:rsidRPr="00410495">
              <w:rPr>
                <w:rFonts w:ascii="宋体" w:eastAsia="宋体" w:hAnsi="宋体" w:cs="宋体"/>
                <w:szCs w:val="21"/>
              </w:rPr>
              <w:t>29.74%。国内累计在手订单69.02亿元，同比增长20.73%，海外累计在手订单45.11亿元，同比增长46.46%。</w:t>
            </w:r>
          </w:p>
          <w:p w14:paraId="557B73F1" w14:textId="77777777" w:rsidR="00095D64" w:rsidRDefault="00F11274" w:rsidP="00095D64">
            <w:pPr>
              <w:spacing w:beforeLines="50" w:before="156" w:line="360" w:lineRule="auto"/>
              <w:ind w:firstLineChars="200" w:firstLine="420"/>
              <w:jc w:val="left"/>
            </w:pPr>
            <w:r>
              <w:t>就国内市场而言，</w:t>
            </w:r>
            <w:r>
              <w:t>“</w:t>
            </w:r>
            <w:r>
              <w:t>十四五</w:t>
            </w:r>
            <w:r>
              <w:t>”</w:t>
            </w:r>
            <w:r>
              <w:t>期间全国电网总投资预计近</w:t>
            </w:r>
            <w:r>
              <w:t>3</w:t>
            </w:r>
            <w:proofErr w:type="gramStart"/>
            <w:r>
              <w:t>万亿</w:t>
            </w:r>
            <w:proofErr w:type="gramEnd"/>
            <w:r>
              <w:t>元，相较于</w:t>
            </w:r>
            <w:r>
              <w:t>“</w:t>
            </w:r>
            <w:r>
              <w:t>十三五</w:t>
            </w:r>
            <w:r>
              <w:t>”</w:t>
            </w:r>
            <w:r>
              <w:t>期间全国电网总投资</w:t>
            </w:r>
            <w:r>
              <w:t>2.57</w:t>
            </w:r>
            <w:proofErr w:type="gramStart"/>
            <w:r>
              <w:t>万亿</w:t>
            </w:r>
            <w:proofErr w:type="gramEnd"/>
            <w:r>
              <w:t>元，增长约</w:t>
            </w:r>
            <w:r>
              <w:t>16.73%</w:t>
            </w:r>
            <w:r>
              <w:t>。公司</w:t>
            </w:r>
            <w:r>
              <w:rPr>
                <w:rFonts w:hint="eastAsia"/>
              </w:rPr>
              <w:t>在</w:t>
            </w:r>
            <w:r>
              <w:t>持续巩固电网客户优势</w:t>
            </w:r>
            <w:r>
              <w:rPr>
                <w:rFonts w:hint="eastAsia"/>
              </w:rPr>
              <w:t>的基础上</w:t>
            </w:r>
            <w:r>
              <w:t>，大力开发非电网客户与行业大客户，实现客户结构的多元化。</w:t>
            </w:r>
          </w:p>
          <w:p w14:paraId="27FF93CC" w14:textId="7E530211" w:rsidR="00095D64" w:rsidRDefault="008A550F" w:rsidP="00095D64">
            <w:pPr>
              <w:spacing w:beforeLines="50" w:before="156"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>在产品</w:t>
            </w:r>
            <w:r w:rsidR="00D046B0">
              <w:rPr>
                <w:rFonts w:hint="eastAsia"/>
              </w:rPr>
              <w:t>端</w:t>
            </w:r>
            <w:r>
              <w:rPr>
                <w:rFonts w:hint="eastAsia"/>
              </w:rPr>
              <w:t>，</w:t>
            </w:r>
            <w:r w:rsidR="00D046B0">
              <w:rPr>
                <w:rFonts w:hint="eastAsia"/>
              </w:rPr>
              <w:t>在原有智能</w:t>
            </w:r>
            <w:r w:rsidR="00095D64">
              <w:rPr>
                <w:rFonts w:hint="eastAsia"/>
              </w:rPr>
              <w:t>电表</w:t>
            </w:r>
            <w:r w:rsidR="00D046B0">
              <w:rPr>
                <w:rFonts w:hint="eastAsia"/>
              </w:rPr>
              <w:t>的基础上，</w:t>
            </w:r>
            <w:r w:rsidR="00D046B0">
              <w:t>公司聚焦</w:t>
            </w:r>
            <w:r w:rsidR="00D046B0">
              <w:t>“</w:t>
            </w:r>
            <w:r w:rsidR="00D046B0">
              <w:t>绿色用电</w:t>
            </w:r>
            <w:r w:rsidR="00D046B0">
              <w:t>”</w:t>
            </w:r>
            <w:r w:rsidR="00D046B0">
              <w:t>和</w:t>
            </w:r>
            <w:r w:rsidR="00D046B0">
              <w:t>“</w:t>
            </w:r>
            <w:r w:rsidR="00D046B0">
              <w:t>碳计量</w:t>
            </w:r>
            <w:r w:rsidR="00D046B0">
              <w:t>”</w:t>
            </w:r>
            <w:r w:rsidR="00D046B0">
              <w:t>需求，自主研发新能效节能变压器、小型化环网柜、环保气体柜和核心部件，前置布局大容量箱变、大电流中置柜、低压柜等</w:t>
            </w:r>
            <w:r w:rsidR="00D046B0">
              <w:rPr>
                <w:rFonts w:hint="eastAsia"/>
              </w:rPr>
              <w:t>配电产品</w:t>
            </w:r>
            <w:r w:rsidR="00095D64">
              <w:rPr>
                <w:rFonts w:hint="eastAsia"/>
              </w:rPr>
              <w:t>。</w:t>
            </w:r>
          </w:p>
          <w:p w14:paraId="3957D821" w14:textId="3E87E7EC" w:rsidR="00175079" w:rsidRDefault="00095D64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在销售端，</w:t>
            </w:r>
            <w:r w:rsidR="00F11274">
              <w:t>公司紧抓全球智能电网改造机会，依托</w:t>
            </w:r>
            <w:r w:rsidR="00F11274">
              <w:t>20</w:t>
            </w:r>
            <w:r w:rsidR="00F11274">
              <w:t>余年</w:t>
            </w:r>
            <w:r w:rsidR="0059796E">
              <w:rPr>
                <w:rFonts w:hint="eastAsia"/>
              </w:rPr>
              <w:t>的</w:t>
            </w:r>
            <w:r w:rsidR="00F11274">
              <w:t>智能配</w:t>
            </w:r>
            <w:r w:rsidR="0059796E">
              <w:rPr>
                <w:rFonts w:hint="eastAsia"/>
              </w:rPr>
              <w:t>用</w:t>
            </w:r>
            <w:r w:rsidR="00F11274">
              <w:t>电产品研发制造经验以及</w:t>
            </w:r>
            <w:r w:rsidR="0059796E">
              <w:rPr>
                <w:rFonts w:hint="eastAsia"/>
              </w:rPr>
              <w:t>近年来</w:t>
            </w:r>
            <w:r w:rsidR="00F11274">
              <w:t>积累的全球化</w:t>
            </w:r>
            <w:r w:rsidR="0059796E">
              <w:rPr>
                <w:rFonts w:hint="eastAsia"/>
              </w:rPr>
              <w:t>渠道</w:t>
            </w:r>
            <w:r w:rsidR="00F11274">
              <w:t>资源，逐步将智能配电业务导入海外销售网络，推进智能配电业务出海。</w:t>
            </w:r>
          </w:p>
          <w:p w14:paraId="295BE6A6" w14:textId="383EDE5E" w:rsidR="00E4558A" w:rsidRPr="00410495" w:rsidRDefault="00BB37BC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10</w:t>
            </w:r>
            <w:r w:rsidR="00E4558A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、电力</w:t>
            </w:r>
            <w:r w:rsidR="00FE6175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行业的</w:t>
            </w:r>
            <w:r w:rsidR="00E4558A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周期性对公司业务开展有什么影响？</w:t>
            </w:r>
          </w:p>
          <w:p w14:paraId="1DEEDDFB" w14:textId="20DADD26" w:rsidR="00BB37BC" w:rsidRDefault="00095D64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095D64">
              <w:rPr>
                <w:rFonts w:ascii="宋体" w:eastAsia="宋体" w:hAnsi="宋体" w:cs="宋体" w:hint="eastAsia"/>
                <w:szCs w:val="21"/>
              </w:rPr>
              <w:t>伴随着中国、欧盟智能电表大规模轮换，形成了较强的示范效应，世界各国相继制定轮换计划，全球智能化电表更换需求持续增长。</w:t>
            </w:r>
            <w:r w:rsidR="00E4558A" w:rsidRPr="00410495">
              <w:rPr>
                <w:rFonts w:ascii="宋体" w:eastAsia="宋体" w:hAnsi="宋体" w:cs="宋体" w:hint="eastAsia"/>
                <w:szCs w:val="21"/>
              </w:rPr>
              <w:t>不同国家所处发展阶段不同，</w:t>
            </w:r>
            <w:r w:rsidR="00FE6175">
              <w:rPr>
                <w:rFonts w:ascii="宋体" w:eastAsia="宋体" w:hAnsi="宋体" w:cs="宋体" w:hint="eastAsia"/>
                <w:szCs w:val="21"/>
              </w:rPr>
              <w:t>其电表轮换节奏也不同</w:t>
            </w:r>
            <w:r w:rsidR="009C7CF5">
              <w:rPr>
                <w:rFonts w:ascii="宋体" w:eastAsia="宋体" w:hAnsi="宋体" w:cs="宋体" w:hint="eastAsia"/>
                <w:szCs w:val="21"/>
              </w:rPr>
              <w:t>。</w:t>
            </w:r>
            <w:r w:rsidR="00E4558A" w:rsidRPr="00410495">
              <w:rPr>
                <w:rFonts w:ascii="宋体" w:eastAsia="宋体" w:hAnsi="宋体" w:cs="宋体" w:hint="eastAsia"/>
                <w:szCs w:val="21"/>
              </w:rPr>
              <w:t>欧洲</w:t>
            </w:r>
            <w:r w:rsidR="009C7CF5">
              <w:rPr>
                <w:rFonts w:ascii="宋体" w:eastAsia="宋体" w:hAnsi="宋体" w:cs="宋体" w:hint="eastAsia"/>
                <w:szCs w:val="21"/>
              </w:rPr>
              <w:t>大多国家处于</w:t>
            </w:r>
            <w:r w:rsidR="00E4558A" w:rsidRPr="00410495">
              <w:rPr>
                <w:rFonts w:ascii="宋体" w:eastAsia="宋体" w:hAnsi="宋体" w:cs="宋体" w:hint="eastAsia"/>
                <w:szCs w:val="21"/>
              </w:rPr>
              <w:t>第二</w:t>
            </w:r>
            <w:r w:rsidR="00E4558A" w:rsidRPr="00410495">
              <w:rPr>
                <w:rFonts w:ascii="宋体" w:eastAsia="宋体" w:hAnsi="宋体" w:cs="宋体"/>
                <w:szCs w:val="21"/>
              </w:rPr>
              <w:t>/</w:t>
            </w:r>
            <w:r w:rsidR="00E4558A" w:rsidRPr="00410495">
              <w:rPr>
                <w:rFonts w:ascii="宋体" w:eastAsia="宋体" w:hAnsi="宋体" w:cs="宋体" w:hint="eastAsia"/>
                <w:szCs w:val="21"/>
              </w:rPr>
              <w:t>三轮智能电表轮换周期</w:t>
            </w:r>
            <w:r w:rsidR="009C7CF5">
              <w:rPr>
                <w:rFonts w:ascii="宋体" w:eastAsia="宋体" w:hAnsi="宋体" w:cs="宋体" w:hint="eastAsia"/>
                <w:szCs w:val="21"/>
              </w:rPr>
              <w:t>，如</w:t>
            </w:r>
            <w:r w:rsidR="00E4558A" w:rsidRPr="00410495">
              <w:rPr>
                <w:rFonts w:ascii="宋体" w:eastAsia="宋体" w:hAnsi="宋体" w:cs="宋体" w:hint="eastAsia"/>
                <w:szCs w:val="21"/>
              </w:rPr>
              <w:t>德国颁发法案，</w:t>
            </w:r>
            <w:r w:rsidR="009C7CF5">
              <w:rPr>
                <w:rFonts w:ascii="宋体" w:eastAsia="宋体" w:hAnsi="宋体" w:cs="宋体" w:hint="eastAsia"/>
                <w:szCs w:val="21"/>
              </w:rPr>
              <w:t>计划</w:t>
            </w:r>
            <w:r w:rsidR="00E4558A" w:rsidRPr="00410495">
              <w:rPr>
                <w:rFonts w:ascii="宋体" w:eastAsia="宋体" w:hAnsi="宋体" w:cs="宋体" w:hint="eastAsia"/>
                <w:szCs w:val="21"/>
              </w:rPr>
              <w:t>进行第三轮的电表轮换；拉美</w:t>
            </w:r>
            <w:r w:rsidR="009C7CF5">
              <w:rPr>
                <w:rFonts w:ascii="宋体" w:eastAsia="宋体" w:hAnsi="宋体" w:cs="宋体" w:hint="eastAsia"/>
                <w:szCs w:val="21"/>
              </w:rPr>
              <w:t>、亚太等区域</w:t>
            </w:r>
            <w:r w:rsidR="00E4558A" w:rsidRPr="00410495">
              <w:rPr>
                <w:rFonts w:ascii="宋体" w:eastAsia="宋体" w:hAnsi="宋体" w:cs="宋体" w:hint="eastAsia"/>
                <w:szCs w:val="21"/>
              </w:rPr>
              <w:t>也开始了第一轮电表轮换，全球智能化改造需求较大。</w:t>
            </w:r>
            <w:r w:rsidR="00E4558A">
              <w:rPr>
                <w:rFonts w:ascii="宋体" w:eastAsia="宋体" w:hAnsi="宋体" w:cs="宋体" w:hint="eastAsia"/>
                <w:szCs w:val="21"/>
              </w:rPr>
              <w:t>公司海</w:t>
            </w:r>
            <w:r w:rsidR="00E4558A">
              <w:rPr>
                <w:rFonts w:ascii="宋体" w:eastAsia="宋体" w:hAnsi="宋体" w:cs="宋体" w:hint="eastAsia"/>
                <w:szCs w:val="21"/>
              </w:rPr>
              <w:lastRenderedPageBreak/>
              <w:t>外销售网络</w:t>
            </w:r>
            <w:r w:rsidR="009C7CF5">
              <w:rPr>
                <w:rFonts w:ascii="宋体" w:eastAsia="宋体" w:hAnsi="宋体" w:cs="宋体" w:hint="eastAsia"/>
                <w:szCs w:val="21"/>
              </w:rPr>
              <w:t>目前</w:t>
            </w:r>
            <w:r w:rsidR="00E4558A">
              <w:rPr>
                <w:rFonts w:ascii="宋体" w:eastAsia="宋体" w:hAnsi="宋体" w:cs="宋体" w:hint="eastAsia"/>
                <w:szCs w:val="21"/>
              </w:rPr>
              <w:t>已覆盖全球70多个国家和地区，</w:t>
            </w:r>
            <w:r w:rsidR="009C7CF5">
              <w:rPr>
                <w:rFonts w:ascii="宋体" w:eastAsia="宋体" w:hAnsi="宋体" w:cs="宋体" w:hint="eastAsia"/>
                <w:szCs w:val="21"/>
              </w:rPr>
              <w:t>针对不同区域的客户需求和发展特点，制定差异化的经营策略。</w:t>
            </w:r>
          </w:p>
          <w:p w14:paraId="2094B389" w14:textId="6F5484DC" w:rsidR="00BB37BC" w:rsidRPr="00410495" w:rsidRDefault="00BB37BC" w:rsidP="00410495">
            <w:pPr>
              <w:numPr>
                <w:ilvl w:val="255"/>
                <w:numId w:val="0"/>
              </w:num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11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</w:t>
            </w:r>
            <w:r w:rsidR="00FE6175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公司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医疗</w:t>
            </w:r>
            <w:r w:rsidR="00FE6175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服务板块的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发展目标？</w:t>
            </w:r>
          </w:p>
          <w:p w14:paraId="4B974A92" w14:textId="77CC6B7F" w:rsidR="00BB37BC" w:rsidRDefault="00BB37BC" w:rsidP="00410495">
            <w:pPr>
              <w:numPr>
                <w:ilvl w:val="255"/>
                <w:numId w:val="0"/>
              </w:num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公司围绕实体医疗机构的建设、运营、投资并购，专注于为社会大众提供优质的医疗服务，致力成为中国领先的医疗服务管理集团。</w:t>
            </w:r>
          </w:p>
          <w:p w14:paraId="63566A8D" w14:textId="7844D354" w:rsidR="009C7CF5" w:rsidRPr="00410495" w:rsidRDefault="00BB37BC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12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、医院的经营定位是怎样的？</w:t>
            </w:r>
          </w:p>
          <w:p w14:paraId="507BA96B" w14:textId="700F3171" w:rsidR="00BB37BC" w:rsidRDefault="00BB37BC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5772ED">
              <w:rPr>
                <w:rFonts w:ascii="宋体" w:eastAsia="宋体" w:hAnsi="宋体" w:cs="宋体" w:hint="eastAsia"/>
                <w:szCs w:val="21"/>
              </w:rPr>
              <w:t>公司</w:t>
            </w:r>
            <w:r w:rsidR="009C7CF5">
              <w:rPr>
                <w:rFonts w:ascii="宋体" w:eastAsia="宋体" w:hAnsi="宋体" w:cs="宋体" w:hint="eastAsia"/>
                <w:szCs w:val="21"/>
              </w:rPr>
              <w:t>持续</w:t>
            </w:r>
            <w:r w:rsidRPr="005772ED">
              <w:rPr>
                <w:rFonts w:ascii="宋体" w:eastAsia="宋体" w:hAnsi="宋体" w:cs="宋体" w:hint="eastAsia"/>
                <w:szCs w:val="21"/>
              </w:rPr>
              <w:t>提升</w:t>
            </w:r>
            <w:r w:rsidR="009C7CF5">
              <w:rPr>
                <w:rFonts w:ascii="宋体" w:eastAsia="宋体" w:hAnsi="宋体" w:cs="宋体" w:hint="eastAsia"/>
                <w:szCs w:val="21"/>
              </w:rPr>
              <w:t>医疗</w:t>
            </w:r>
            <w:r w:rsidRPr="005772ED">
              <w:rPr>
                <w:rFonts w:ascii="宋体" w:eastAsia="宋体" w:hAnsi="宋体" w:cs="宋体" w:hint="eastAsia"/>
                <w:szCs w:val="21"/>
              </w:rPr>
              <w:t>专业能力与服务水平，</w:t>
            </w:r>
            <w:r w:rsidR="009C7CF5" w:rsidRPr="009C7CF5">
              <w:rPr>
                <w:rFonts w:ascii="宋体" w:eastAsia="宋体" w:hAnsi="宋体" w:cs="宋体" w:hint="eastAsia"/>
                <w:szCs w:val="21"/>
              </w:rPr>
              <w:t>重点打造以重症康复为特色，神经康复与功能康复为核心，老年康复为基础的高品质康复连锁专科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r w:rsidR="009C7CF5">
              <w:rPr>
                <w:rFonts w:ascii="宋体" w:eastAsia="宋体" w:hAnsi="宋体" w:cs="宋体" w:hint="eastAsia"/>
                <w:szCs w:val="21"/>
              </w:rPr>
              <w:t>同时</w:t>
            </w:r>
            <w:r>
              <w:rPr>
                <w:rFonts w:ascii="宋体" w:eastAsia="宋体" w:hAnsi="宋体" w:cs="宋体" w:hint="eastAsia"/>
                <w:szCs w:val="21"/>
              </w:rPr>
              <w:t>，通过学科建设、校企合作与人才引进，加强品牌宣传，提升医疗服务质量，得到了</w:t>
            </w:r>
            <w:r w:rsidR="00FE6175">
              <w:rPr>
                <w:rFonts w:ascii="宋体" w:eastAsia="宋体" w:hAnsi="宋体" w:cs="宋体" w:hint="eastAsia"/>
                <w:szCs w:val="21"/>
              </w:rPr>
              <w:t>行业和患者</w:t>
            </w:r>
            <w:r>
              <w:rPr>
                <w:rFonts w:ascii="宋体" w:eastAsia="宋体" w:hAnsi="宋体" w:cs="宋体" w:hint="eastAsia"/>
                <w:szCs w:val="21"/>
              </w:rPr>
              <w:t>的广泛认可。</w:t>
            </w:r>
          </w:p>
          <w:p w14:paraId="57A400F5" w14:textId="1D72ED80" w:rsidR="00235644" w:rsidRPr="00410495" w:rsidRDefault="00BB37BC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13</w:t>
            </w:r>
            <w:r w:rsidR="00235644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、医疗服务</w:t>
            </w:r>
            <w:r w:rsidR="00FE6175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板块发展</w:t>
            </w:r>
            <w:r w:rsidR="00235644"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规划如何？</w:t>
            </w:r>
          </w:p>
          <w:p w14:paraId="3C7D72B1" w14:textId="5D0E05D7" w:rsidR="00235644" w:rsidRDefault="00235644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康复医疗是公司重点发展的业务领域，在国内，康复医疗行业尚处于发展前期，同时，在老龄化趋势下，康复医疗需求持续增长</w:t>
            </w:r>
            <w:r w:rsidR="00FE6175">
              <w:rPr>
                <w:rFonts w:ascii="宋体" w:eastAsia="宋体" w:hAnsi="宋体" w:cs="宋体" w:hint="eastAsia"/>
                <w:szCs w:val="21"/>
              </w:rPr>
              <w:t>，发展前景广阔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  <w:r w:rsidR="00FE6175">
              <w:rPr>
                <w:rFonts w:ascii="宋体" w:eastAsia="宋体" w:hAnsi="宋体" w:cs="宋体" w:hint="eastAsia"/>
                <w:szCs w:val="21"/>
              </w:rPr>
              <w:t>根据公司的股权激励计划目标，在2022-2024年，公司每年新增医院数量不低于10家。</w:t>
            </w:r>
            <w:r>
              <w:rPr>
                <w:rFonts w:ascii="宋体" w:eastAsia="宋体" w:hAnsi="宋体" w:cs="宋体" w:hint="eastAsia"/>
                <w:szCs w:val="21"/>
              </w:rPr>
              <w:t>公司将持续深耕康复医疗领域，推进股权激励目标实施落地。</w:t>
            </w:r>
          </w:p>
          <w:p w14:paraId="6AA9BE0E" w14:textId="5A161763" w:rsidR="00F03101" w:rsidRPr="00410495" w:rsidRDefault="00F03101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1</w:t>
            </w:r>
            <w:r w:rsidR="00BB37BC" w:rsidRPr="00410495">
              <w:rPr>
                <w:rFonts w:ascii="宋体" w:eastAsia="宋体" w:hAnsi="宋体" w:cs="宋体"/>
                <w:b/>
                <w:bCs/>
                <w:szCs w:val="21"/>
              </w:rPr>
              <w:t>4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、康复医院区域发展规划？</w:t>
            </w:r>
          </w:p>
          <w:p w14:paraId="5CACC260" w14:textId="59D7F306" w:rsidR="00F03101" w:rsidRDefault="00F03101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5772ED">
              <w:rPr>
                <w:rFonts w:ascii="宋体" w:eastAsia="宋体" w:hAnsi="宋体" w:cs="宋体" w:hint="eastAsia"/>
                <w:szCs w:val="21"/>
              </w:rPr>
              <w:t>公司</w:t>
            </w:r>
            <w:r w:rsidR="00B54DD7" w:rsidRPr="005772ED">
              <w:rPr>
                <w:rFonts w:ascii="宋体" w:eastAsia="宋体" w:hAnsi="宋体" w:cs="宋体" w:hint="eastAsia"/>
                <w:szCs w:val="21"/>
              </w:rPr>
              <w:t>康复</w:t>
            </w:r>
            <w:r w:rsidRPr="005772ED">
              <w:rPr>
                <w:rFonts w:ascii="宋体" w:eastAsia="宋体" w:hAnsi="宋体" w:cs="宋体" w:hint="eastAsia"/>
                <w:szCs w:val="21"/>
              </w:rPr>
              <w:t>布局聚焦在华东、华中和华南地区，以省会城市、核心地级市为主，</w:t>
            </w:r>
            <w:r>
              <w:rPr>
                <w:rFonts w:ascii="宋体" w:eastAsia="宋体" w:hAnsi="宋体" w:cs="宋体" w:hint="eastAsia"/>
                <w:szCs w:val="21"/>
              </w:rPr>
              <w:t>同时</w:t>
            </w:r>
            <w:r w:rsidRPr="005772ED">
              <w:rPr>
                <w:rFonts w:ascii="宋体" w:eastAsia="宋体" w:hAnsi="宋体" w:cs="宋体" w:hint="eastAsia"/>
                <w:szCs w:val="21"/>
              </w:rPr>
              <w:t>在已布局的城市进行深耕。</w:t>
            </w:r>
          </w:p>
          <w:p w14:paraId="285DE7F4" w14:textId="3F6CFD65" w:rsidR="00D93516" w:rsidRPr="00410495" w:rsidRDefault="00E4558A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1</w:t>
            </w:r>
            <w:r w:rsidR="00BB37BC" w:rsidRPr="00410495">
              <w:rPr>
                <w:rFonts w:ascii="宋体" w:eastAsia="宋体" w:hAnsi="宋体" w:cs="宋体"/>
                <w:b/>
                <w:bCs/>
                <w:szCs w:val="21"/>
              </w:rPr>
              <w:t>5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、公司下属连锁医院的管理模式是怎样的？</w:t>
            </w:r>
          </w:p>
          <w:p w14:paraId="153EFC1E" w14:textId="78EA2932" w:rsidR="008137BD" w:rsidRDefault="00D93516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</w:t>
            </w:r>
            <w:r w:rsidRPr="00D93516">
              <w:rPr>
                <w:rFonts w:ascii="宋体" w:eastAsia="宋体" w:hAnsi="宋体" w:cs="宋体" w:hint="eastAsia"/>
                <w:szCs w:val="21"/>
              </w:rPr>
              <w:t>借助过往积累的单店运营管理全流程经验，通过外延并购和体内自建并行的策略，逐渐形成标准化可复制的康复医院模板，打造以重症康复为特色的康复医疗服务连锁体系。</w:t>
            </w:r>
            <w:r w:rsidR="00E4558A">
              <w:rPr>
                <w:rFonts w:ascii="宋体" w:eastAsia="宋体" w:hAnsi="宋体" w:cs="宋体" w:hint="eastAsia"/>
                <w:szCs w:val="21"/>
              </w:rPr>
              <w:t>公司</w:t>
            </w:r>
            <w:r w:rsidR="001009FC">
              <w:rPr>
                <w:rFonts w:ascii="宋体" w:eastAsia="宋体" w:hAnsi="宋体" w:cs="宋体" w:hint="eastAsia"/>
                <w:szCs w:val="21"/>
              </w:rPr>
              <w:t>已</w:t>
            </w:r>
            <w:r w:rsidR="00E4558A">
              <w:rPr>
                <w:rFonts w:ascii="宋体" w:eastAsia="宋体" w:hAnsi="宋体" w:cs="宋体" w:hint="eastAsia"/>
                <w:szCs w:val="21"/>
              </w:rPr>
              <w:t>建立医务人员质量管理及教培等规范体系，加强医疗品质规范化、标准化、流程IT化建设，整合全国范围内优秀医疗人才与专家资源，引进院长及学科带头人，增加人才厚重度，与专业人才共同打造事业发展平台。</w:t>
            </w:r>
          </w:p>
          <w:p w14:paraId="7F0C469B" w14:textId="32E486E6" w:rsidR="008137BD" w:rsidRPr="00410495" w:rsidRDefault="008137BD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lastRenderedPageBreak/>
              <w:t>1</w:t>
            </w:r>
            <w:r w:rsidR="00BB37BC" w:rsidRPr="00410495">
              <w:rPr>
                <w:rFonts w:ascii="宋体" w:eastAsia="宋体" w:hAnsi="宋体" w:cs="宋体"/>
                <w:b/>
                <w:bCs/>
                <w:szCs w:val="21"/>
              </w:rPr>
              <w:t>6</w:t>
            </w:r>
            <w:r w:rsidRPr="00410495">
              <w:rPr>
                <w:rFonts w:ascii="宋体" w:eastAsia="宋体" w:hAnsi="宋体" w:cs="宋体" w:hint="eastAsia"/>
                <w:b/>
                <w:bCs/>
                <w:szCs w:val="21"/>
              </w:rPr>
              <w:t>、公司如何展望四季度和明年利润？</w:t>
            </w:r>
          </w:p>
          <w:p w14:paraId="1848C035" w14:textId="73E787DF" w:rsidR="008137BD" w:rsidRPr="00235644" w:rsidRDefault="008137BD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第四期、第五期股权激励计划分别就智能配用电、医疗服务两大板块设置了全年业绩实现目标。针对全年目标，公司内部也设置了过程指标，前置管控，支撑全年目标达成。从2023年前三季度来看，各项工作都在稳步推进，过程指标达成度符合公司预期。</w:t>
            </w:r>
          </w:p>
          <w:p w14:paraId="3A02767D" w14:textId="77777777" w:rsidR="008137BD" w:rsidRPr="00410495" w:rsidRDefault="008137BD" w:rsidP="00410495">
            <w:pPr>
              <w:spacing w:beforeLines="50" w:before="156" w:line="360" w:lineRule="auto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410495">
              <w:rPr>
                <w:rFonts w:ascii="宋体" w:eastAsia="宋体" w:hAnsi="宋体" w:cs="宋体"/>
                <w:b/>
                <w:bCs/>
                <w:szCs w:val="21"/>
              </w:rPr>
              <w:t>17、今年分红是否有较大提升？</w:t>
            </w:r>
          </w:p>
          <w:p w14:paraId="7B9096D8" w14:textId="31201367" w:rsidR="00613B7F" w:rsidRDefault="008137BD" w:rsidP="00410495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一直以来都非常重视分红，注重提升投资者回报水平。近三年，每年现金分红比例都在50%以上。未来，公司也将综合考虑经营情况、战略规划、资金需求及投资回报水平等各类因素，审慎考虑分红比例，并提交股东大会进行决策。</w:t>
            </w:r>
          </w:p>
        </w:tc>
      </w:tr>
      <w:tr w:rsidR="00613B7F" w14:paraId="69B5DCEE" w14:textId="77777777">
        <w:trPr>
          <w:trHeight w:val="549"/>
        </w:trPr>
        <w:tc>
          <w:tcPr>
            <w:tcW w:w="1775" w:type="dxa"/>
            <w:vAlign w:val="center"/>
          </w:tcPr>
          <w:p w14:paraId="611943FD" w14:textId="77777777" w:rsidR="00613B7F" w:rsidRDefault="008C7E27" w:rsidP="0087160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6996" w:type="dxa"/>
            <w:vAlign w:val="center"/>
          </w:tcPr>
          <w:p w14:paraId="21523487" w14:textId="77777777" w:rsidR="00613B7F" w:rsidRDefault="008C7E27" w:rsidP="00871602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</w:tbl>
    <w:p w14:paraId="00E99804" w14:textId="77777777" w:rsidR="00613B7F" w:rsidRDefault="00613B7F" w:rsidP="00410495">
      <w:pPr>
        <w:spacing w:line="360" w:lineRule="auto"/>
        <w:rPr>
          <w:rFonts w:ascii="宋体" w:eastAsia="宋体" w:hAnsi="宋体" w:cs="宋体"/>
        </w:rPr>
      </w:pPr>
    </w:p>
    <w:sectPr w:rsidR="0061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CC98" w14:textId="77777777" w:rsidR="00076EEF" w:rsidRDefault="00076EEF" w:rsidP="00076EEF">
      <w:r>
        <w:separator/>
      </w:r>
    </w:p>
  </w:endnote>
  <w:endnote w:type="continuationSeparator" w:id="0">
    <w:p w14:paraId="5FFBE74A" w14:textId="77777777" w:rsidR="00076EEF" w:rsidRDefault="00076EEF" w:rsidP="0007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C080" w14:textId="77777777" w:rsidR="00076EEF" w:rsidRDefault="00076EEF" w:rsidP="00076EEF">
      <w:r>
        <w:separator/>
      </w:r>
    </w:p>
  </w:footnote>
  <w:footnote w:type="continuationSeparator" w:id="0">
    <w:p w14:paraId="53734E84" w14:textId="77777777" w:rsidR="00076EEF" w:rsidRDefault="00076EEF" w:rsidP="0007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RlMTgwNWQ5ZjEwNmM2NjA5YTUwMzk2NWFjM2Y2OWQifQ=="/>
  </w:docVars>
  <w:rsids>
    <w:rsidRoot w:val="00EE6814"/>
    <w:rsid w:val="00003D6D"/>
    <w:rsid w:val="000107D8"/>
    <w:rsid w:val="00012466"/>
    <w:rsid w:val="00012974"/>
    <w:rsid w:val="000136F4"/>
    <w:rsid w:val="00020ECF"/>
    <w:rsid w:val="0002295D"/>
    <w:rsid w:val="00024851"/>
    <w:rsid w:val="00024A0F"/>
    <w:rsid w:val="00025D03"/>
    <w:rsid w:val="00026FDD"/>
    <w:rsid w:val="000275F0"/>
    <w:rsid w:val="00030760"/>
    <w:rsid w:val="00030915"/>
    <w:rsid w:val="00032062"/>
    <w:rsid w:val="00033BA5"/>
    <w:rsid w:val="00035075"/>
    <w:rsid w:val="000372FF"/>
    <w:rsid w:val="00042BEB"/>
    <w:rsid w:val="00044214"/>
    <w:rsid w:val="00046547"/>
    <w:rsid w:val="0004700E"/>
    <w:rsid w:val="00051F1F"/>
    <w:rsid w:val="00051F96"/>
    <w:rsid w:val="000524B9"/>
    <w:rsid w:val="00052AC7"/>
    <w:rsid w:val="00052CED"/>
    <w:rsid w:val="00055045"/>
    <w:rsid w:val="00062F13"/>
    <w:rsid w:val="00062F60"/>
    <w:rsid w:val="00064750"/>
    <w:rsid w:val="000657B9"/>
    <w:rsid w:val="00070455"/>
    <w:rsid w:val="00070C60"/>
    <w:rsid w:val="0007202E"/>
    <w:rsid w:val="00075ED5"/>
    <w:rsid w:val="00076EEF"/>
    <w:rsid w:val="00080728"/>
    <w:rsid w:val="000821A4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4595"/>
    <w:rsid w:val="000D5847"/>
    <w:rsid w:val="000D656E"/>
    <w:rsid w:val="000D66E4"/>
    <w:rsid w:val="000D7D1F"/>
    <w:rsid w:val="000E43B2"/>
    <w:rsid w:val="000F2963"/>
    <w:rsid w:val="000F3050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25EE8"/>
    <w:rsid w:val="00126B23"/>
    <w:rsid w:val="00127571"/>
    <w:rsid w:val="001331CE"/>
    <w:rsid w:val="0014326A"/>
    <w:rsid w:val="00147978"/>
    <w:rsid w:val="00151175"/>
    <w:rsid w:val="00152313"/>
    <w:rsid w:val="00156398"/>
    <w:rsid w:val="00160338"/>
    <w:rsid w:val="00164714"/>
    <w:rsid w:val="001656AC"/>
    <w:rsid w:val="00166A19"/>
    <w:rsid w:val="00170088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7912"/>
    <w:rsid w:val="001B20C2"/>
    <w:rsid w:val="001B3AE7"/>
    <w:rsid w:val="001B403B"/>
    <w:rsid w:val="001C0437"/>
    <w:rsid w:val="001C7C5C"/>
    <w:rsid w:val="001D299C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6FE5"/>
    <w:rsid w:val="002100AF"/>
    <w:rsid w:val="00217648"/>
    <w:rsid w:val="00220A35"/>
    <w:rsid w:val="00221119"/>
    <w:rsid w:val="00222F5E"/>
    <w:rsid w:val="00223AA3"/>
    <w:rsid w:val="00226C91"/>
    <w:rsid w:val="00230DDC"/>
    <w:rsid w:val="002316D6"/>
    <w:rsid w:val="002330D6"/>
    <w:rsid w:val="00233375"/>
    <w:rsid w:val="0023361E"/>
    <w:rsid w:val="00233E87"/>
    <w:rsid w:val="00235644"/>
    <w:rsid w:val="002364D7"/>
    <w:rsid w:val="00236B3B"/>
    <w:rsid w:val="002425FB"/>
    <w:rsid w:val="00247387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6CF7"/>
    <w:rsid w:val="00273169"/>
    <w:rsid w:val="00274B34"/>
    <w:rsid w:val="0027593E"/>
    <w:rsid w:val="00277759"/>
    <w:rsid w:val="00281E4D"/>
    <w:rsid w:val="00282115"/>
    <w:rsid w:val="002823C6"/>
    <w:rsid w:val="00283749"/>
    <w:rsid w:val="00284696"/>
    <w:rsid w:val="00286807"/>
    <w:rsid w:val="00287CB5"/>
    <w:rsid w:val="00287E74"/>
    <w:rsid w:val="002915B6"/>
    <w:rsid w:val="00291EEF"/>
    <w:rsid w:val="00294A14"/>
    <w:rsid w:val="002A1E09"/>
    <w:rsid w:val="002A1FD1"/>
    <w:rsid w:val="002A2774"/>
    <w:rsid w:val="002A2A31"/>
    <w:rsid w:val="002A57DE"/>
    <w:rsid w:val="002A673D"/>
    <w:rsid w:val="002A7C17"/>
    <w:rsid w:val="002B19E5"/>
    <w:rsid w:val="002B2F53"/>
    <w:rsid w:val="002B41E6"/>
    <w:rsid w:val="002B46AA"/>
    <w:rsid w:val="002B47C8"/>
    <w:rsid w:val="002B6B48"/>
    <w:rsid w:val="002C391E"/>
    <w:rsid w:val="002C5904"/>
    <w:rsid w:val="002C7061"/>
    <w:rsid w:val="002D0AA0"/>
    <w:rsid w:val="002D3869"/>
    <w:rsid w:val="002D4DFC"/>
    <w:rsid w:val="002D5AB5"/>
    <w:rsid w:val="002D5B14"/>
    <w:rsid w:val="002D7382"/>
    <w:rsid w:val="002D792C"/>
    <w:rsid w:val="002E0E9E"/>
    <w:rsid w:val="002E1491"/>
    <w:rsid w:val="002E5261"/>
    <w:rsid w:val="002E634C"/>
    <w:rsid w:val="002E7ADE"/>
    <w:rsid w:val="002F15C0"/>
    <w:rsid w:val="002F2626"/>
    <w:rsid w:val="002F60FE"/>
    <w:rsid w:val="00303A1A"/>
    <w:rsid w:val="003078A0"/>
    <w:rsid w:val="00310091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6415"/>
    <w:rsid w:val="00326B90"/>
    <w:rsid w:val="00330FC9"/>
    <w:rsid w:val="003312F4"/>
    <w:rsid w:val="00333B38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70147"/>
    <w:rsid w:val="00374EA0"/>
    <w:rsid w:val="00377273"/>
    <w:rsid w:val="00377328"/>
    <w:rsid w:val="003814E0"/>
    <w:rsid w:val="003821C2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F58"/>
    <w:rsid w:val="003B2B65"/>
    <w:rsid w:val="003B3C32"/>
    <w:rsid w:val="003B6824"/>
    <w:rsid w:val="003C1439"/>
    <w:rsid w:val="003C2C6C"/>
    <w:rsid w:val="003C2FFA"/>
    <w:rsid w:val="003C351C"/>
    <w:rsid w:val="003D42AF"/>
    <w:rsid w:val="003D7B80"/>
    <w:rsid w:val="003E2764"/>
    <w:rsid w:val="003E50D2"/>
    <w:rsid w:val="003E5141"/>
    <w:rsid w:val="003E5C83"/>
    <w:rsid w:val="003E7D45"/>
    <w:rsid w:val="003F2491"/>
    <w:rsid w:val="003F43BE"/>
    <w:rsid w:val="003F5B13"/>
    <w:rsid w:val="003F7331"/>
    <w:rsid w:val="004013A8"/>
    <w:rsid w:val="0040141F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60DC"/>
    <w:rsid w:val="004324E0"/>
    <w:rsid w:val="004336C2"/>
    <w:rsid w:val="00441BC7"/>
    <w:rsid w:val="004423B8"/>
    <w:rsid w:val="0044254B"/>
    <w:rsid w:val="00444C36"/>
    <w:rsid w:val="00444E93"/>
    <w:rsid w:val="00447184"/>
    <w:rsid w:val="00447DCD"/>
    <w:rsid w:val="00450453"/>
    <w:rsid w:val="004507F4"/>
    <w:rsid w:val="00450A74"/>
    <w:rsid w:val="004528B9"/>
    <w:rsid w:val="00463AFE"/>
    <w:rsid w:val="004642BD"/>
    <w:rsid w:val="00465A69"/>
    <w:rsid w:val="00466708"/>
    <w:rsid w:val="004731EF"/>
    <w:rsid w:val="00473E5F"/>
    <w:rsid w:val="004757E4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FFC"/>
    <w:rsid w:val="00497994"/>
    <w:rsid w:val="004A03D1"/>
    <w:rsid w:val="004A0E23"/>
    <w:rsid w:val="004A10E0"/>
    <w:rsid w:val="004A5C69"/>
    <w:rsid w:val="004A6E88"/>
    <w:rsid w:val="004B105A"/>
    <w:rsid w:val="004B6A87"/>
    <w:rsid w:val="004B7BB2"/>
    <w:rsid w:val="004C2B0D"/>
    <w:rsid w:val="004C38FA"/>
    <w:rsid w:val="004C3C76"/>
    <w:rsid w:val="004C40EE"/>
    <w:rsid w:val="004D29EB"/>
    <w:rsid w:val="004D497C"/>
    <w:rsid w:val="004D4A98"/>
    <w:rsid w:val="004E1FCE"/>
    <w:rsid w:val="004E2E6B"/>
    <w:rsid w:val="004E3C4F"/>
    <w:rsid w:val="004E4AE0"/>
    <w:rsid w:val="004E63F2"/>
    <w:rsid w:val="004E711F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20D1E"/>
    <w:rsid w:val="00522036"/>
    <w:rsid w:val="00522A17"/>
    <w:rsid w:val="00525770"/>
    <w:rsid w:val="00527745"/>
    <w:rsid w:val="005308C8"/>
    <w:rsid w:val="00531D52"/>
    <w:rsid w:val="005347F9"/>
    <w:rsid w:val="005349C3"/>
    <w:rsid w:val="0053693D"/>
    <w:rsid w:val="00537707"/>
    <w:rsid w:val="0054070F"/>
    <w:rsid w:val="005413DB"/>
    <w:rsid w:val="00544068"/>
    <w:rsid w:val="00544BAE"/>
    <w:rsid w:val="00545A1C"/>
    <w:rsid w:val="0054678A"/>
    <w:rsid w:val="005467C3"/>
    <w:rsid w:val="00551CBF"/>
    <w:rsid w:val="00555BA1"/>
    <w:rsid w:val="0055714F"/>
    <w:rsid w:val="00557204"/>
    <w:rsid w:val="005678D7"/>
    <w:rsid w:val="00567F04"/>
    <w:rsid w:val="00575137"/>
    <w:rsid w:val="005772ED"/>
    <w:rsid w:val="0058015B"/>
    <w:rsid w:val="00582868"/>
    <w:rsid w:val="00584053"/>
    <w:rsid w:val="00586987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7C4"/>
    <w:rsid w:val="005B7F69"/>
    <w:rsid w:val="005C0753"/>
    <w:rsid w:val="005C0F56"/>
    <w:rsid w:val="005C591A"/>
    <w:rsid w:val="005D5462"/>
    <w:rsid w:val="005E1BBC"/>
    <w:rsid w:val="005E2239"/>
    <w:rsid w:val="005E31AA"/>
    <w:rsid w:val="005E45C7"/>
    <w:rsid w:val="005F161B"/>
    <w:rsid w:val="005F3433"/>
    <w:rsid w:val="005F37A4"/>
    <w:rsid w:val="005F4088"/>
    <w:rsid w:val="005F44A1"/>
    <w:rsid w:val="005F5A81"/>
    <w:rsid w:val="00605F47"/>
    <w:rsid w:val="0060671D"/>
    <w:rsid w:val="0060688C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38F9"/>
    <w:rsid w:val="00625264"/>
    <w:rsid w:val="00630DE7"/>
    <w:rsid w:val="006313A0"/>
    <w:rsid w:val="00631E58"/>
    <w:rsid w:val="00632C2D"/>
    <w:rsid w:val="006342EA"/>
    <w:rsid w:val="006351D0"/>
    <w:rsid w:val="0063758E"/>
    <w:rsid w:val="00642A0C"/>
    <w:rsid w:val="00643CF4"/>
    <w:rsid w:val="00645F9A"/>
    <w:rsid w:val="00647146"/>
    <w:rsid w:val="0065242C"/>
    <w:rsid w:val="00653EDE"/>
    <w:rsid w:val="0066077F"/>
    <w:rsid w:val="00661722"/>
    <w:rsid w:val="00661803"/>
    <w:rsid w:val="00662810"/>
    <w:rsid w:val="00665174"/>
    <w:rsid w:val="00666547"/>
    <w:rsid w:val="00671243"/>
    <w:rsid w:val="0067127A"/>
    <w:rsid w:val="006714EC"/>
    <w:rsid w:val="006809D6"/>
    <w:rsid w:val="00681985"/>
    <w:rsid w:val="0068407F"/>
    <w:rsid w:val="00685536"/>
    <w:rsid w:val="0068728F"/>
    <w:rsid w:val="006956C9"/>
    <w:rsid w:val="006A17AF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622F"/>
    <w:rsid w:val="006F6B84"/>
    <w:rsid w:val="007009D1"/>
    <w:rsid w:val="00702383"/>
    <w:rsid w:val="00703B1C"/>
    <w:rsid w:val="007130B2"/>
    <w:rsid w:val="0071390A"/>
    <w:rsid w:val="00720703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50538"/>
    <w:rsid w:val="0075141F"/>
    <w:rsid w:val="007564E7"/>
    <w:rsid w:val="00756822"/>
    <w:rsid w:val="00757EBA"/>
    <w:rsid w:val="00760082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918"/>
    <w:rsid w:val="007A2F73"/>
    <w:rsid w:val="007A322F"/>
    <w:rsid w:val="007A5825"/>
    <w:rsid w:val="007A784A"/>
    <w:rsid w:val="007B2D85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38BF"/>
    <w:rsid w:val="007D58B0"/>
    <w:rsid w:val="007E07C4"/>
    <w:rsid w:val="007E20C6"/>
    <w:rsid w:val="007E22FA"/>
    <w:rsid w:val="007E580F"/>
    <w:rsid w:val="007E5AF6"/>
    <w:rsid w:val="007F3188"/>
    <w:rsid w:val="007F3E52"/>
    <w:rsid w:val="007F51E8"/>
    <w:rsid w:val="00802563"/>
    <w:rsid w:val="0080489F"/>
    <w:rsid w:val="00805E35"/>
    <w:rsid w:val="008075CF"/>
    <w:rsid w:val="008076E0"/>
    <w:rsid w:val="008137BD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E03"/>
    <w:rsid w:val="00853424"/>
    <w:rsid w:val="00853463"/>
    <w:rsid w:val="0085406D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7AA8"/>
    <w:rsid w:val="008B300B"/>
    <w:rsid w:val="008B7AE2"/>
    <w:rsid w:val="008C1A1F"/>
    <w:rsid w:val="008C30C3"/>
    <w:rsid w:val="008C37FC"/>
    <w:rsid w:val="008C3A0E"/>
    <w:rsid w:val="008C7241"/>
    <w:rsid w:val="008C7E27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24C6"/>
    <w:rsid w:val="008F3534"/>
    <w:rsid w:val="008F4E07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3189E"/>
    <w:rsid w:val="00934B10"/>
    <w:rsid w:val="00941268"/>
    <w:rsid w:val="00942BF7"/>
    <w:rsid w:val="009446B0"/>
    <w:rsid w:val="009531BF"/>
    <w:rsid w:val="00954171"/>
    <w:rsid w:val="009578E9"/>
    <w:rsid w:val="009632DE"/>
    <w:rsid w:val="009635E5"/>
    <w:rsid w:val="0097020B"/>
    <w:rsid w:val="009714A5"/>
    <w:rsid w:val="00971625"/>
    <w:rsid w:val="009737C0"/>
    <w:rsid w:val="0097542F"/>
    <w:rsid w:val="009803AE"/>
    <w:rsid w:val="00980F8D"/>
    <w:rsid w:val="00983037"/>
    <w:rsid w:val="00984CAC"/>
    <w:rsid w:val="00986EB6"/>
    <w:rsid w:val="00991B58"/>
    <w:rsid w:val="00991C53"/>
    <w:rsid w:val="00991E65"/>
    <w:rsid w:val="009927CA"/>
    <w:rsid w:val="00994314"/>
    <w:rsid w:val="0099587F"/>
    <w:rsid w:val="00997235"/>
    <w:rsid w:val="009A0E41"/>
    <w:rsid w:val="009A14A7"/>
    <w:rsid w:val="009A384D"/>
    <w:rsid w:val="009A7505"/>
    <w:rsid w:val="009B2943"/>
    <w:rsid w:val="009B6ABD"/>
    <w:rsid w:val="009C3CBB"/>
    <w:rsid w:val="009C3D7B"/>
    <w:rsid w:val="009C666C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F0EF2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A46"/>
    <w:rsid w:val="00A8388F"/>
    <w:rsid w:val="00A85BDD"/>
    <w:rsid w:val="00A85DD0"/>
    <w:rsid w:val="00A86603"/>
    <w:rsid w:val="00A90642"/>
    <w:rsid w:val="00A9249C"/>
    <w:rsid w:val="00A932D9"/>
    <w:rsid w:val="00AA18E8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4130"/>
    <w:rsid w:val="00AC4ADA"/>
    <w:rsid w:val="00AC6310"/>
    <w:rsid w:val="00AD1861"/>
    <w:rsid w:val="00AD5CF9"/>
    <w:rsid w:val="00AD65A3"/>
    <w:rsid w:val="00AE1D67"/>
    <w:rsid w:val="00AE2A05"/>
    <w:rsid w:val="00AE5097"/>
    <w:rsid w:val="00AE79D5"/>
    <w:rsid w:val="00AE7F7F"/>
    <w:rsid w:val="00AF23F8"/>
    <w:rsid w:val="00AF565C"/>
    <w:rsid w:val="00AF6A20"/>
    <w:rsid w:val="00AF7962"/>
    <w:rsid w:val="00B00F0B"/>
    <w:rsid w:val="00B04739"/>
    <w:rsid w:val="00B0770B"/>
    <w:rsid w:val="00B07DEC"/>
    <w:rsid w:val="00B118F0"/>
    <w:rsid w:val="00B12E02"/>
    <w:rsid w:val="00B13BD5"/>
    <w:rsid w:val="00B14783"/>
    <w:rsid w:val="00B1768B"/>
    <w:rsid w:val="00B176C5"/>
    <w:rsid w:val="00B219E4"/>
    <w:rsid w:val="00B2668F"/>
    <w:rsid w:val="00B26D93"/>
    <w:rsid w:val="00B31AEC"/>
    <w:rsid w:val="00B32286"/>
    <w:rsid w:val="00B337E4"/>
    <w:rsid w:val="00B370A6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3034"/>
    <w:rsid w:val="00B77597"/>
    <w:rsid w:val="00B77BB7"/>
    <w:rsid w:val="00B80831"/>
    <w:rsid w:val="00B81FB1"/>
    <w:rsid w:val="00B85EA5"/>
    <w:rsid w:val="00B86107"/>
    <w:rsid w:val="00B90519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1ACA"/>
    <w:rsid w:val="00BE1DC7"/>
    <w:rsid w:val="00BE36E9"/>
    <w:rsid w:val="00BE3BF1"/>
    <w:rsid w:val="00BE63CD"/>
    <w:rsid w:val="00BE6B5E"/>
    <w:rsid w:val="00BE7F6B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3BB5"/>
    <w:rsid w:val="00C0793C"/>
    <w:rsid w:val="00C15DF2"/>
    <w:rsid w:val="00C16B99"/>
    <w:rsid w:val="00C20EFB"/>
    <w:rsid w:val="00C2187D"/>
    <w:rsid w:val="00C239CA"/>
    <w:rsid w:val="00C2427C"/>
    <w:rsid w:val="00C26C54"/>
    <w:rsid w:val="00C26E40"/>
    <w:rsid w:val="00C3200C"/>
    <w:rsid w:val="00C326AB"/>
    <w:rsid w:val="00C34C9C"/>
    <w:rsid w:val="00C34CC2"/>
    <w:rsid w:val="00C35E90"/>
    <w:rsid w:val="00C3648C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813FF"/>
    <w:rsid w:val="00C81823"/>
    <w:rsid w:val="00C872A7"/>
    <w:rsid w:val="00C94488"/>
    <w:rsid w:val="00CA0717"/>
    <w:rsid w:val="00CA0C74"/>
    <w:rsid w:val="00CA1179"/>
    <w:rsid w:val="00CA125A"/>
    <w:rsid w:val="00CA1352"/>
    <w:rsid w:val="00CA29B9"/>
    <w:rsid w:val="00CA486D"/>
    <w:rsid w:val="00CA48BE"/>
    <w:rsid w:val="00CA5036"/>
    <w:rsid w:val="00CA7509"/>
    <w:rsid w:val="00CB0C90"/>
    <w:rsid w:val="00CB692D"/>
    <w:rsid w:val="00CC0784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F2844"/>
    <w:rsid w:val="00CF474E"/>
    <w:rsid w:val="00D02D30"/>
    <w:rsid w:val="00D046B0"/>
    <w:rsid w:val="00D04CAC"/>
    <w:rsid w:val="00D05EC7"/>
    <w:rsid w:val="00D06D07"/>
    <w:rsid w:val="00D10DA0"/>
    <w:rsid w:val="00D1210A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5A9"/>
    <w:rsid w:val="00D34970"/>
    <w:rsid w:val="00D34CAA"/>
    <w:rsid w:val="00D35693"/>
    <w:rsid w:val="00D40730"/>
    <w:rsid w:val="00D44C2F"/>
    <w:rsid w:val="00D50EFD"/>
    <w:rsid w:val="00D533DC"/>
    <w:rsid w:val="00D5459B"/>
    <w:rsid w:val="00D548FC"/>
    <w:rsid w:val="00D56A2D"/>
    <w:rsid w:val="00D571F3"/>
    <w:rsid w:val="00D607AE"/>
    <w:rsid w:val="00D614DE"/>
    <w:rsid w:val="00D62339"/>
    <w:rsid w:val="00D6300D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53B2"/>
    <w:rsid w:val="00D96A00"/>
    <w:rsid w:val="00D971D6"/>
    <w:rsid w:val="00DA0917"/>
    <w:rsid w:val="00DA12E3"/>
    <w:rsid w:val="00DA4334"/>
    <w:rsid w:val="00DA7E93"/>
    <w:rsid w:val="00DB4AD6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D02B7"/>
    <w:rsid w:val="00DD381D"/>
    <w:rsid w:val="00DD4FC2"/>
    <w:rsid w:val="00DD6391"/>
    <w:rsid w:val="00DE3625"/>
    <w:rsid w:val="00DE698D"/>
    <w:rsid w:val="00DE6CF9"/>
    <w:rsid w:val="00DE6E69"/>
    <w:rsid w:val="00DF242E"/>
    <w:rsid w:val="00DF5480"/>
    <w:rsid w:val="00DF78C2"/>
    <w:rsid w:val="00E058C0"/>
    <w:rsid w:val="00E05F4A"/>
    <w:rsid w:val="00E0786D"/>
    <w:rsid w:val="00E07F00"/>
    <w:rsid w:val="00E13D0B"/>
    <w:rsid w:val="00E13F68"/>
    <w:rsid w:val="00E145E9"/>
    <w:rsid w:val="00E15829"/>
    <w:rsid w:val="00E167BD"/>
    <w:rsid w:val="00E22B43"/>
    <w:rsid w:val="00E235D2"/>
    <w:rsid w:val="00E31300"/>
    <w:rsid w:val="00E34420"/>
    <w:rsid w:val="00E34824"/>
    <w:rsid w:val="00E3548C"/>
    <w:rsid w:val="00E3639A"/>
    <w:rsid w:val="00E428FE"/>
    <w:rsid w:val="00E43A0F"/>
    <w:rsid w:val="00E4558A"/>
    <w:rsid w:val="00E5129F"/>
    <w:rsid w:val="00E664D3"/>
    <w:rsid w:val="00E668FE"/>
    <w:rsid w:val="00E67148"/>
    <w:rsid w:val="00E752C5"/>
    <w:rsid w:val="00E769D3"/>
    <w:rsid w:val="00E81EDF"/>
    <w:rsid w:val="00E82CE4"/>
    <w:rsid w:val="00E846C3"/>
    <w:rsid w:val="00E85A04"/>
    <w:rsid w:val="00E86BB4"/>
    <w:rsid w:val="00E87A7C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C73E8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219B"/>
    <w:rsid w:val="00EE50F8"/>
    <w:rsid w:val="00EE6814"/>
    <w:rsid w:val="00EF0963"/>
    <w:rsid w:val="00EF0EEB"/>
    <w:rsid w:val="00EF51FB"/>
    <w:rsid w:val="00EF6504"/>
    <w:rsid w:val="00EF7734"/>
    <w:rsid w:val="00EF7846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21F7"/>
    <w:rsid w:val="00F43113"/>
    <w:rsid w:val="00F437F5"/>
    <w:rsid w:val="00F44305"/>
    <w:rsid w:val="00F45141"/>
    <w:rsid w:val="00F46106"/>
    <w:rsid w:val="00F46ABB"/>
    <w:rsid w:val="00F51CC6"/>
    <w:rsid w:val="00F52789"/>
    <w:rsid w:val="00F5326B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4D6E"/>
    <w:rsid w:val="00F95356"/>
    <w:rsid w:val="00F95C0A"/>
    <w:rsid w:val="00F9625A"/>
    <w:rsid w:val="00FA2447"/>
    <w:rsid w:val="00FA3765"/>
    <w:rsid w:val="00FA4887"/>
    <w:rsid w:val="00FA5797"/>
    <w:rsid w:val="00FA5F9A"/>
    <w:rsid w:val="00FB1CA6"/>
    <w:rsid w:val="00FB29DA"/>
    <w:rsid w:val="00FB2FAE"/>
    <w:rsid w:val="00FB7EC1"/>
    <w:rsid w:val="00FC6CF0"/>
    <w:rsid w:val="00FC7879"/>
    <w:rsid w:val="00FD1732"/>
    <w:rsid w:val="00FE379D"/>
    <w:rsid w:val="00FE6175"/>
    <w:rsid w:val="00FE6978"/>
    <w:rsid w:val="00FF138A"/>
    <w:rsid w:val="00FF251D"/>
    <w:rsid w:val="00FF340F"/>
    <w:rsid w:val="00FF60CA"/>
    <w:rsid w:val="00FF6F63"/>
    <w:rsid w:val="07370BBC"/>
    <w:rsid w:val="100E314C"/>
    <w:rsid w:val="43264826"/>
    <w:rsid w:val="49AF3992"/>
    <w:rsid w:val="511431BE"/>
    <w:rsid w:val="568261D7"/>
    <w:rsid w:val="5B8F75B4"/>
    <w:rsid w:val="7B53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40CC61"/>
  <w15:docId w15:val="{761048E2-8083-4E2E-B235-73EF5E91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Revision"/>
    <w:hidden/>
    <w:uiPriority w:val="99"/>
    <w:unhideWhenUsed/>
    <w:rsid w:val="00052AC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9249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924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76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76E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76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76E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587</Words>
  <Characters>3349</Characters>
  <Application>Microsoft Office Word</Application>
  <DocSecurity>0</DocSecurity>
  <Lines>27</Lines>
  <Paragraphs>7</Paragraphs>
  <ScaleCrop>false</ScaleCrop>
  <Company>AUX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贾雪莲</cp:lastModifiedBy>
  <cp:revision>52</cp:revision>
  <cp:lastPrinted>2023-10-31T08:50:00Z</cp:lastPrinted>
  <dcterms:created xsi:type="dcterms:W3CDTF">2019-09-19T08:26:00Z</dcterms:created>
  <dcterms:modified xsi:type="dcterms:W3CDTF">2023-11-01T09:32:00Z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7141361812AF46C28E340C80EB4EE1C6_12</vt:lpwstr>
  </property>
</Properties>
</file>