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998" w14:textId="77777777" w:rsidR="00E372C4" w:rsidRPr="006725A7" w:rsidRDefault="00E372C4" w:rsidP="00E372C4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 w:rsidRPr="006725A7">
        <w:rPr>
          <w:rFonts w:ascii="黑体" w:eastAsia="黑体" w:cs="黑体" w:hint="eastAsia"/>
          <w:b/>
          <w:color w:val="FF0000"/>
          <w:sz w:val="36"/>
          <w:szCs w:val="36"/>
        </w:rPr>
        <w:t>广东丸美生物技术股份有限公司</w:t>
      </w:r>
    </w:p>
    <w:p w14:paraId="54991F44" w14:textId="77777777" w:rsidR="00E372C4" w:rsidRDefault="00E372C4" w:rsidP="00E372C4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 w:rsidRPr="00241843">
        <w:rPr>
          <w:rFonts w:ascii="黑体" w:eastAsia="黑体" w:cs="黑体" w:hint="eastAsia"/>
          <w:b/>
          <w:color w:val="FF0000"/>
          <w:sz w:val="36"/>
          <w:szCs w:val="36"/>
        </w:rPr>
        <w:t>202</w:t>
      </w:r>
      <w:r>
        <w:rPr>
          <w:rFonts w:ascii="黑体" w:eastAsia="黑体" w:cs="黑体"/>
          <w:b/>
          <w:color w:val="FF0000"/>
          <w:sz w:val="36"/>
          <w:szCs w:val="36"/>
        </w:rPr>
        <w:t>3</w:t>
      </w:r>
      <w:r w:rsidRPr="00241843">
        <w:rPr>
          <w:rFonts w:ascii="黑体" w:eastAsia="黑体" w:cs="黑体" w:hint="eastAsia"/>
          <w:b/>
          <w:color w:val="FF0000"/>
          <w:sz w:val="36"/>
          <w:szCs w:val="36"/>
        </w:rPr>
        <w:t>年三季度</w:t>
      </w:r>
      <w:r w:rsidRPr="00241843">
        <w:rPr>
          <w:rFonts w:ascii="黑体" w:eastAsia="黑体" w:cs="黑体"/>
          <w:b/>
          <w:color w:val="FF0000"/>
          <w:sz w:val="36"/>
          <w:szCs w:val="36"/>
        </w:rPr>
        <w:t>业绩交流会会议纪要</w:t>
      </w:r>
    </w:p>
    <w:p w14:paraId="11516812" w14:textId="77777777" w:rsidR="00E372C4" w:rsidRDefault="00E372C4" w:rsidP="00E372C4">
      <w:pPr>
        <w:adjustRightInd w:val="0"/>
        <w:snapToGrid w:val="0"/>
        <w:spacing w:afterLines="50" w:after="120" w:line="430" w:lineRule="exact"/>
        <w:ind w:firstLineChars="200" w:firstLine="482"/>
        <w:rPr>
          <w:rFonts w:ascii="宋体" w:eastAsia="宋体" w:hAnsi="宋体" w:cs="Arial"/>
          <w:b/>
          <w:sz w:val="24"/>
          <w:szCs w:val="21"/>
        </w:rPr>
      </w:pPr>
    </w:p>
    <w:p w14:paraId="7B123162" w14:textId="77777777" w:rsidR="00E372C4" w:rsidRDefault="00E372C4" w:rsidP="00E372C4">
      <w:pPr>
        <w:adjustRightInd w:val="0"/>
        <w:snapToGrid w:val="0"/>
        <w:spacing w:afterLines="50" w:after="120" w:line="430" w:lineRule="exact"/>
        <w:rPr>
          <w:rFonts w:ascii="宋体" w:eastAsia="宋体" w:hAnsi="宋体" w:cs="Arial"/>
          <w:b/>
          <w:sz w:val="24"/>
          <w:szCs w:val="21"/>
        </w:rPr>
      </w:pPr>
      <w:r w:rsidRPr="00E06D5E">
        <w:rPr>
          <w:rFonts w:ascii="宋体" w:eastAsia="宋体" w:hAnsi="宋体" w:cs="Arial" w:hint="eastAsia"/>
          <w:b/>
          <w:sz w:val="24"/>
          <w:szCs w:val="21"/>
        </w:rPr>
        <w:t>一、</w:t>
      </w:r>
      <w:r>
        <w:rPr>
          <w:rFonts w:ascii="宋体" w:eastAsia="宋体" w:hAnsi="宋体" w:cs="Arial" w:hint="eastAsia"/>
          <w:b/>
          <w:sz w:val="24"/>
          <w:szCs w:val="21"/>
        </w:rPr>
        <w:t>会议召开情况</w:t>
      </w:r>
      <w:r w:rsidRPr="00E06D5E">
        <w:rPr>
          <w:rFonts w:ascii="宋体" w:eastAsia="宋体" w:hAnsi="宋体" w:cs="Arial" w:hint="eastAsia"/>
          <w:b/>
          <w:sz w:val="24"/>
          <w:szCs w:val="21"/>
        </w:rPr>
        <w:t xml:space="preserve"> </w:t>
      </w:r>
    </w:p>
    <w:p w14:paraId="03FD7B4F" w14:textId="77777777" w:rsidR="00E372C4" w:rsidRPr="00B24395" w:rsidRDefault="00E372C4" w:rsidP="00E372C4">
      <w:pPr>
        <w:adjustRightInd w:val="0"/>
        <w:snapToGrid w:val="0"/>
        <w:spacing w:afterLines="50" w:after="120" w:line="430" w:lineRule="exact"/>
        <w:ind w:firstLineChars="200" w:firstLine="480"/>
        <w:rPr>
          <w:rFonts w:ascii="宋体" w:eastAsia="宋体" w:hAnsi="宋体" w:cs="Arial"/>
          <w:sz w:val="24"/>
          <w:szCs w:val="21"/>
        </w:rPr>
      </w:pPr>
      <w:r w:rsidRPr="00B24395">
        <w:rPr>
          <w:rFonts w:ascii="宋体" w:eastAsia="宋体" w:hAnsi="宋体" w:cs="Arial" w:hint="eastAsia"/>
          <w:sz w:val="24"/>
          <w:szCs w:val="21"/>
        </w:rPr>
        <w:t>时间：20</w:t>
      </w:r>
      <w:r>
        <w:rPr>
          <w:rFonts w:ascii="宋体" w:eastAsia="宋体" w:hAnsi="宋体" w:cs="Arial"/>
          <w:sz w:val="24"/>
          <w:szCs w:val="21"/>
        </w:rPr>
        <w:t>23</w:t>
      </w:r>
      <w:r w:rsidRPr="00B24395">
        <w:rPr>
          <w:rFonts w:ascii="宋体" w:eastAsia="宋体" w:hAnsi="宋体" w:cs="Arial" w:hint="eastAsia"/>
          <w:sz w:val="24"/>
          <w:szCs w:val="21"/>
        </w:rPr>
        <w:t xml:space="preserve">年 </w:t>
      </w:r>
      <w:r>
        <w:rPr>
          <w:rFonts w:ascii="宋体" w:eastAsia="宋体" w:hAnsi="宋体" w:cs="Arial" w:hint="eastAsia"/>
          <w:sz w:val="24"/>
          <w:szCs w:val="21"/>
        </w:rPr>
        <w:t>1</w:t>
      </w:r>
      <w:r>
        <w:rPr>
          <w:rFonts w:ascii="宋体" w:eastAsia="宋体" w:hAnsi="宋体" w:cs="Arial"/>
          <w:sz w:val="24"/>
          <w:szCs w:val="21"/>
        </w:rPr>
        <w:t>0</w:t>
      </w:r>
      <w:r w:rsidRPr="00B24395">
        <w:rPr>
          <w:rFonts w:ascii="宋体" w:eastAsia="宋体" w:hAnsi="宋体" w:cs="Arial" w:hint="eastAsia"/>
          <w:sz w:val="24"/>
          <w:szCs w:val="21"/>
        </w:rPr>
        <w:t xml:space="preserve"> 月</w:t>
      </w:r>
      <w:r>
        <w:rPr>
          <w:rFonts w:ascii="宋体" w:eastAsia="宋体" w:hAnsi="宋体" w:cs="Arial"/>
          <w:sz w:val="24"/>
          <w:szCs w:val="21"/>
        </w:rPr>
        <w:t>31</w:t>
      </w:r>
      <w:r w:rsidRPr="00B24395">
        <w:rPr>
          <w:rFonts w:ascii="宋体" w:eastAsia="宋体" w:hAnsi="宋体" w:cs="Arial" w:hint="eastAsia"/>
          <w:sz w:val="24"/>
          <w:szCs w:val="21"/>
        </w:rPr>
        <w:t>日  15:</w:t>
      </w:r>
      <w:r>
        <w:rPr>
          <w:rFonts w:ascii="宋体" w:eastAsia="宋体" w:hAnsi="宋体" w:cs="Arial" w:hint="eastAsia"/>
          <w:sz w:val="24"/>
          <w:szCs w:val="21"/>
        </w:rPr>
        <w:t>05</w:t>
      </w:r>
      <w:r w:rsidRPr="00B24395">
        <w:rPr>
          <w:rFonts w:ascii="宋体" w:eastAsia="宋体" w:hAnsi="宋体" w:cs="Arial" w:hint="eastAsia"/>
          <w:sz w:val="24"/>
          <w:szCs w:val="21"/>
        </w:rPr>
        <w:t>-16:</w:t>
      </w:r>
      <w:r>
        <w:rPr>
          <w:rFonts w:ascii="宋体" w:eastAsia="宋体" w:hAnsi="宋体" w:cs="Arial" w:hint="eastAsia"/>
          <w:sz w:val="24"/>
          <w:szCs w:val="21"/>
        </w:rPr>
        <w:t>05</w:t>
      </w:r>
      <w:r w:rsidRPr="00B24395">
        <w:rPr>
          <w:rFonts w:ascii="宋体" w:eastAsia="宋体" w:hAnsi="宋体" w:cs="Arial" w:hint="eastAsia"/>
          <w:sz w:val="24"/>
          <w:szCs w:val="21"/>
        </w:rPr>
        <w:t xml:space="preserve">  </w:t>
      </w:r>
    </w:p>
    <w:p w14:paraId="2E703F2C" w14:textId="77777777" w:rsidR="00E372C4" w:rsidRPr="00B24395" w:rsidRDefault="00E372C4" w:rsidP="00E372C4">
      <w:pPr>
        <w:adjustRightInd w:val="0"/>
        <w:snapToGrid w:val="0"/>
        <w:spacing w:afterLines="50" w:after="120" w:line="430" w:lineRule="exact"/>
        <w:ind w:firstLineChars="200" w:firstLine="480"/>
        <w:rPr>
          <w:rFonts w:ascii="宋体" w:eastAsia="宋体" w:hAnsi="宋体" w:cs="Arial"/>
          <w:sz w:val="24"/>
          <w:szCs w:val="21"/>
        </w:rPr>
      </w:pPr>
      <w:r>
        <w:rPr>
          <w:rFonts w:ascii="宋体" w:eastAsia="宋体" w:hAnsi="宋体" w:cs="Arial" w:hint="eastAsia"/>
          <w:sz w:val="24"/>
          <w:szCs w:val="21"/>
        </w:rPr>
        <w:t>召开方式</w:t>
      </w:r>
      <w:r w:rsidRPr="00B24395">
        <w:rPr>
          <w:rFonts w:ascii="宋体" w:eastAsia="宋体" w:hAnsi="宋体" w:cs="Arial" w:hint="eastAsia"/>
          <w:sz w:val="24"/>
          <w:szCs w:val="21"/>
        </w:rPr>
        <w:t>：</w:t>
      </w:r>
      <w:r>
        <w:rPr>
          <w:rFonts w:ascii="宋体" w:eastAsia="宋体" w:hAnsi="宋体" w:cs="Arial" w:hint="eastAsia"/>
          <w:sz w:val="24"/>
          <w:szCs w:val="21"/>
        </w:rPr>
        <w:t>线上</w:t>
      </w:r>
    </w:p>
    <w:p w14:paraId="23343AAD" w14:textId="77777777" w:rsidR="00E372C4" w:rsidRPr="00B24395" w:rsidRDefault="00E372C4" w:rsidP="00E372C4">
      <w:pPr>
        <w:adjustRightInd w:val="0"/>
        <w:snapToGrid w:val="0"/>
        <w:spacing w:afterLines="50" w:after="120" w:line="430" w:lineRule="exact"/>
        <w:ind w:firstLineChars="200" w:firstLine="480"/>
        <w:rPr>
          <w:rFonts w:ascii="宋体" w:eastAsia="宋体" w:hAnsi="宋体" w:cs="Arial"/>
          <w:sz w:val="24"/>
          <w:szCs w:val="21"/>
        </w:rPr>
      </w:pPr>
      <w:r w:rsidRPr="00B24395">
        <w:rPr>
          <w:rFonts w:ascii="宋体" w:eastAsia="宋体" w:hAnsi="宋体" w:cs="Arial" w:hint="eastAsia"/>
          <w:sz w:val="24"/>
          <w:szCs w:val="21"/>
        </w:rPr>
        <w:t>参会人员：董事长兼CEO孙怀庆、</w:t>
      </w:r>
      <w:r w:rsidRPr="00CB1B31">
        <w:rPr>
          <w:rFonts w:ascii="宋体" w:eastAsia="宋体" w:hAnsi="宋体" w:cs="Arial"/>
          <w:sz w:val="24"/>
          <w:szCs w:val="21"/>
        </w:rPr>
        <w:t xml:space="preserve">董事兼 CFO </w:t>
      </w:r>
      <w:r w:rsidRPr="00B24395">
        <w:rPr>
          <w:rFonts w:ascii="宋体" w:eastAsia="宋体" w:hAnsi="宋体" w:cs="Arial" w:hint="eastAsia"/>
          <w:sz w:val="24"/>
          <w:szCs w:val="21"/>
        </w:rPr>
        <w:t>王开慧、</w:t>
      </w:r>
      <w:r w:rsidRPr="00CB1B31">
        <w:rPr>
          <w:rFonts w:ascii="宋体" w:eastAsia="宋体" w:hAnsi="宋体" w:cs="Arial"/>
          <w:sz w:val="24"/>
          <w:szCs w:val="21"/>
        </w:rPr>
        <w:t>董事会秘书程迪</w:t>
      </w:r>
    </w:p>
    <w:p w14:paraId="25BBC176" w14:textId="77777777" w:rsidR="00E372C4" w:rsidRPr="00B24395" w:rsidRDefault="00E372C4" w:rsidP="00E372C4">
      <w:pPr>
        <w:adjustRightInd w:val="0"/>
        <w:snapToGrid w:val="0"/>
        <w:spacing w:afterLines="50" w:after="120" w:line="430" w:lineRule="exact"/>
        <w:ind w:firstLineChars="200" w:firstLine="480"/>
        <w:rPr>
          <w:rFonts w:ascii="宋体" w:eastAsia="宋体" w:hAnsi="宋体" w:cs="Arial"/>
          <w:sz w:val="24"/>
          <w:szCs w:val="21"/>
        </w:rPr>
      </w:pPr>
      <w:r w:rsidRPr="00B24395">
        <w:rPr>
          <w:rFonts w:ascii="宋体" w:eastAsia="宋体" w:hAnsi="宋体" w:cs="Arial" w:hint="eastAsia"/>
          <w:sz w:val="24"/>
          <w:szCs w:val="21"/>
        </w:rPr>
        <w:t>主要参会机构：详见“附件：参会机构清单”</w:t>
      </w:r>
    </w:p>
    <w:p w14:paraId="2EF991B4" w14:textId="77777777" w:rsidR="00E372C4" w:rsidRDefault="00E372C4" w:rsidP="00E372C4">
      <w:pPr>
        <w:adjustRightInd w:val="0"/>
        <w:snapToGrid w:val="0"/>
        <w:spacing w:afterLines="50" w:after="120" w:line="430" w:lineRule="exact"/>
        <w:ind w:firstLineChars="200" w:firstLine="482"/>
        <w:rPr>
          <w:rFonts w:ascii="宋体" w:eastAsia="宋体" w:hAnsi="宋体" w:cs="Arial"/>
          <w:b/>
          <w:sz w:val="24"/>
          <w:szCs w:val="21"/>
        </w:rPr>
      </w:pPr>
    </w:p>
    <w:p w14:paraId="375764F5" w14:textId="77777777" w:rsidR="00E372C4" w:rsidRDefault="00E372C4" w:rsidP="00E372C4">
      <w:pPr>
        <w:spacing w:line="480" w:lineRule="auto"/>
        <w:rPr>
          <w:rFonts w:ascii="宋体" w:eastAsia="宋体" w:hAnsi="宋体" w:cs="Arial"/>
          <w:b/>
          <w:sz w:val="24"/>
          <w:szCs w:val="21"/>
        </w:rPr>
      </w:pPr>
      <w:r w:rsidRPr="007810A5">
        <w:rPr>
          <w:rFonts w:ascii="宋体" w:eastAsia="宋体" w:hAnsi="宋体" w:cs="Arial"/>
          <w:b/>
          <w:sz w:val="24"/>
          <w:szCs w:val="21"/>
        </w:rPr>
        <w:t>二、会议纪要</w:t>
      </w:r>
    </w:p>
    <w:p w14:paraId="2EC8D82E" w14:textId="77777777" w:rsidR="00E372C4" w:rsidRPr="007810A5" w:rsidRDefault="00E372C4" w:rsidP="00E372C4">
      <w:pPr>
        <w:adjustRightInd w:val="0"/>
        <w:snapToGrid w:val="0"/>
        <w:spacing w:afterLines="50" w:after="120" w:line="430" w:lineRule="exact"/>
        <w:ind w:firstLineChars="147" w:firstLine="354"/>
        <w:rPr>
          <w:rFonts w:ascii="宋体" w:eastAsia="宋体" w:hAnsi="宋体" w:cs="Arial"/>
          <w:b/>
          <w:sz w:val="24"/>
          <w:szCs w:val="21"/>
        </w:rPr>
      </w:pPr>
      <w:r w:rsidRPr="00E06D5E">
        <w:rPr>
          <w:rFonts w:ascii="宋体" w:eastAsia="宋体" w:hAnsi="宋体" w:cs="Arial" w:hint="eastAsia"/>
          <w:b/>
          <w:sz w:val="24"/>
          <w:szCs w:val="21"/>
        </w:rPr>
        <w:t>（一）</w:t>
      </w:r>
      <w:r>
        <w:rPr>
          <w:rFonts w:ascii="宋体" w:eastAsia="宋体" w:hAnsi="宋体" w:cs="Arial" w:hint="eastAsia"/>
          <w:b/>
          <w:sz w:val="24"/>
          <w:szCs w:val="21"/>
        </w:rPr>
        <w:t>管理层</w:t>
      </w:r>
      <w:r w:rsidRPr="00E06D5E">
        <w:rPr>
          <w:rFonts w:ascii="宋体" w:eastAsia="宋体" w:hAnsi="宋体" w:cs="Arial" w:hint="eastAsia"/>
          <w:b/>
          <w:sz w:val="24"/>
          <w:szCs w:val="21"/>
        </w:rPr>
        <w:t>介绍202</w:t>
      </w:r>
      <w:r>
        <w:rPr>
          <w:rFonts w:ascii="宋体" w:eastAsia="宋体" w:hAnsi="宋体" w:cs="Arial"/>
          <w:b/>
          <w:sz w:val="24"/>
          <w:szCs w:val="21"/>
        </w:rPr>
        <w:t>3</w:t>
      </w:r>
      <w:r>
        <w:rPr>
          <w:rFonts w:ascii="宋体" w:eastAsia="宋体" w:hAnsi="宋体" w:cs="Arial" w:hint="eastAsia"/>
          <w:b/>
          <w:sz w:val="24"/>
          <w:szCs w:val="21"/>
        </w:rPr>
        <w:t>年三季度财务情况</w:t>
      </w:r>
    </w:p>
    <w:p w14:paraId="6A1A39FF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9B4C78">
        <w:rPr>
          <w:rFonts w:ascii="宋体" w:eastAsia="宋体" w:hAnsi="宋体" w:hint="eastAsia"/>
          <w:b/>
          <w:sz w:val="24"/>
          <w:szCs w:val="24"/>
        </w:rPr>
        <w:t>营业收入方面：</w:t>
      </w:r>
    </w:p>
    <w:p w14:paraId="0B2FCAF3" w14:textId="237CF4CA" w:rsidR="00E372C4" w:rsidRPr="001C10E8" w:rsidRDefault="00E372C4" w:rsidP="00E372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10E8">
        <w:rPr>
          <w:rFonts w:ascii="宋体" w:eastAsia="宋体" w:hAnsi="宋体" w:hint="eastAsia"/>
          <w:sz w:val="24"/>
          <w:szCs w:val="24"/>
        </w:rPr>
        <w:t>2023年前三季度公司实现营业收入15.36亿元，同比上升34.34%，</w:t>
      </w:r>
      <w:r>
        <w:rPr>
          <w:rFonts w:ascii="宋体" w:eastAsia="宋体" w:hAnsi="宋体" w:hint="eastAsia"/>
          <w:sz w:val="24"/>
          <w:szCs w:val="24"/>
        </w:rPr>
        <w:t>其中线上占比、直营占比情况较</w:t>
      </w:r>
      <w:r w:rsidRPr="0072089D">
        <w:rPr>
          <w:rFonts w:ascii="宋体" w:eastAsia="宋体" w:hAnsi="宋体" w:hint="eastAsia"/>
          <w:sz w:val="24"/>
          <w:szCs w:val="24"/>
        </w:rPr>
        <w:t>今年上半年基本保持</w:t>
      </w:r>
      <w:r w:rsidRPr="001C10E8">
        <w:rPr>
          <w:rFonts w:ascii="宋体" w:eastAsia="宋体" w:hAnsi="宋体" w:hint="eastAsia"/>
          <w:sz w:val="24"/>
          <w:szCs w:val="24"/>
        </w:rPr>
        <w:t>。增长主要原因</w:t>
      </w:r>
      <w:r>
        <w:rPr>
          <w:rFonts w:ascii="宋体" w:eastAsia="宋体" w:hAnsi="宋体" w:hint="eastAsia"/>
          <w:sz w:val="24"/>
          <w:szCs w:val="24"/>
        </w:rPr>
        <w:t>：1、</w:t>
      </w:r>
      <w:r w:rsidRPr="001C10E8">
        <w:rPr>
          <w:rFonts w:ascii="宋体" w:eastAsia="宋体" w:hAnsi="宋体" w:hint="eastAsia"/>
          <w:sz w:val="24"/>
          <w:szCs w:val="24"/>
        </w:rPr>
        <w:t>主品牌丸美的抖音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C10E8">
        <w:rPr>
          <w:rFonts w:ascii="宋体" w:eastAsia="宋体" w:hAnsi="宋体" w:hint="eastAsia"/>
          <w:sz w:val="24"/>
          <w:szCs w:val="24"/>
        </w:rPr>
        <w:t>快手渠道同比</w:t>
      </w:r>
      <w:r>
        <w:rPr>
          <w:rFonts w:ascii="宋体" w:eastAsia="宋体" w:hAnsi="宋体" w:hint="eastAsia"/>
          <w:sz w:val="24"/>
          <w:szCs w:val="24"/>
        </w:rPr>
        <w:t>高速</w:t>
      </w:r>
      <w:r w:rsidRPr="001C10E8">
        <w:rPr>
          <w:rFonts w:ascii="宋体" w:eastAsia="宋体" w:hAnsi="宋体" w:hint="eastAsia"/>
          <w:sz w:val="24"/>
          <w:szCs w:val="24"/>
        </w:rPr>
        <w:t>增长</w:t>
      </w:r>
      <w:r>
        <w:rPr>
          <w:rFonts w:ascii="宋体" w:eastAsia="宋体" w:hAnsi="宋体" w:hint="eastAsia"/>
          <w:sz w:val="24"/>
          <w:szCs w:val="24"/>
        </w:rPr>
        <w:t>；2、</w:t>
      </w:r>
      <w:r w:rsidRPr="001C10E8">
        <w:rPr>
          <w:rFonts w:ascii="宋体" w:eastAsia="宋体" w:hAnsi="宋体" w:hint="eastAsia"/>
          <w:sz w:val="24"/>
          <w:szCs w:val="24"/>
        </w:rPr>
        <w:t>第二品牌</w:t>
      </w:r>
      <w:r>
        <w:rPr>
          <w:rFonts w:ascii="宋体" w:eastAsia="宋体" w:hAnsi="宋体" w:hint="eastAsia"/>
          <w:sz w:val="24"/>
          <w:szCs w:val="24"/>
        </w:rPr>
        <w:t>PL恋火</w:t>
      </w:r>
      <w:r w:rsidR="00C43294">
        <w:rPr>
          <w:rFonts w:ascii="宋体" w:eastAsia="宋体" w:hAnsi="宋体" w:hint="eastAsia"/>
          <w:sz w:val="24"/>
          <w:szCs w:val="24"/>
        </w:rPr>
        <w:t>同比</w:t>
      </w:r>
      <w:r>
        <w:rPr>
          <w:rFonts w:ascii="宋体" w:eastAsia="宋体" w:hAnsi="宋体" w:hint="eastAsia"/>
          <w:sz w:val="24"/>
          <w:szCs w:val="24"/>
        </w:rPr>
        <w:t>高速增长</w:t>
      </w:r>
      <w:r w:rsidRPr="001C10E8">
        <w:rPr>
          <w:rFonts w:ascii="宋体" w:eastAsia="宋体" w:hAnsi="宋体" w:hint="eastAsia"/>
          <w:sz w:val="24"/>
          <w:szCs w:val="24"/>
        </w:rPr>
        <w:t>。</w:t>
      </w:r>
    </w:p>
    <w:p w14:paraId="4389818D" w14:textId="77777777" w:rsidR="00E372C4" w:rsidRPr="001C10E8" w:rsidRDefault="00E372C4" w:rsidP="00E372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公司一季度、二季度、三季度营业</w:t>
      </w:r>
      <w:r w:rsidRPr="001C10E8">
        <w:rPr>
          <w:rFonts w:ascii="宋体" w:eastAsia="宋体" w:hAnsi="宋体" w:hint="eastAsia"/>
          <w:sz w:val="24"/>
          <w:szCs w:val="24"/>
        </w:rPr>
        <w:t>收入分别为4.77亿元、5.83亿元、4.77亿元，同比增长分别为24.58%、34.1</w:t>
      </w:r>
      <w:r w:rsidRPr="001C10E8">
        <w:rPr>
          <w:rFonts w:ascii="宋体" w:eastAsia="宋体" w:hAnsi="宋体"/>
          <w:sz w:val="24"/>
          <w:szCs w:val="24"/>
        </w:rPr>
        <w:t>0</w:t>
      </w:r>
      <w:r w:rsidRPr="001C10E8">
        <w:rPr>
          <w:rFonts w:ascii="宋体" w:eastAsia="宋体" w:hAnsi="宋体" w:hint="eastAsia"/>
          <w:sz w:val="24"/>
          <w:szCs w:val="24"/>
        </w:rPr>
        <w:t>% 、46.1</w:t>
      </w:r>
      <w:r w:rsidRPr="001C10E8">
        <w:rPr>
          <w:rFonts w:ascii="宋体" w:eastAsia="宋体" w:hAnsi="宋体"/>
          <w:sz w:val="24"/>
          <w:szCs w:val="24"/>
        </w:rPr>
        <w:t>0</w:t>
      </w:r>
      <w:r w:rsidRPr="001C10E8">
        <w:rPr>
          <w:rFonts w:ascii="宋体" w:eastAsia="宋体" w:hAnsi="宋体" w:hint="eastAsia"/>
          <w:sz w:val="24"/>
          <w:szCs w:val="24"/>
        </w:rPr>
        <w:t>%. 公司从去年转型获得阶段性成果后，今年在销售端逐渐向好，单季度环比增速稳健提升，转型成果在持续固化。</w:t>
      </w:r>
    </w:p>
    <w:p w14:paraId="0D3BDDAF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9B4C78">
        <w:rPr>
          <w:rFonts w:ascii="宋体" w:eastAsia="宋体" w:hAnsi="宋体" w:hint="eastAsia"/>
          <w:b/>
          <w:bCs/>
          <w:sz w:val="24"/>
          <w:szCs w:val="24"/>
        </w:rPr>
        <w:t>毛利率方面：</w:t>
      </w:r>
    </w:p>
    <w:p w14:paraId="4CB445C9" w14:textId="77777777" w:rsidR="00E372C4" w:rsidRDefault="00E372C4" w:rsidP="00E372C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1C10E8">
        <w:rPr>
          <w:rFonts w:ascii="宋体" w:eastAsia="宋体" w:hAnsi="宋体" w:hint="eastAsia"/>
          <w:bCs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整体</w:t>
      </w:r>
      <w:r w:rsidRPr="001C10E8">
        <w:rPr>
          <w:rFonts w:ascii="宋体" w:eastAsia="宋体" w:hAnsi="宋体" w:hint="eastAsia"/>
          <w:bCs/>
          <w:sz w:val="24"/>
          <w:szCs w:val="24"/>
        </w:rPr>
        <w:t>毛利率为70.84%，同比增长2.87</w:t>
      </w:r>
      <w:r>
        <w:rPr>
          <w:rFonts w:ascii="宋体" w:eastAsia="宋体" w:hAnsi="宋体" w:hint="eastAsia"/>
          <w:bCs/>
          <w:sz w:val="24"/>
          <w:szCs w:val="24"/>
        </w:rPr>
        <w:t>个百分点</w:t>
      </w:r>
      <w:r w:rsidRPr="001C10E8">
        <w:rPr>
          <w:rFonts w:ascii="宋体" w:eastAsia="宋体" w:hAnsi="宋体" w:hint="eastAsia"/>
          <w:bCs/>
          <w:sz w:val="24"/>
          <w:szCs w:val="24"/>
        </w:rPr>
        <w:t>。</w:t>
      </w:r>
      <w:r w:rsidRPr="00F45700">
        <w:rPr>
          <w:rFonts w:ascii="宋体" w:eastAsia="宋体" w:hAnsi="宋体" w:hint="eastAsia"/>
          <w:bCs/>
          <w:sz w:val="24"/>
          <w:szCs w:val="24"/>
        </w:rPr>
        <w:t>自去年以来，公司持续推进货品结构的系统梳理、调整和优化，积极推进大单品策略，减少非心智品和低价品，同时加强产销协同，优化供应链流程降本增效，严控促销和配赠力度。</w:t>
      </w:r>
    </w:p>
    <w:p w14:paraId="3AE6073D" w14:textId="77777777" w:rsidR="00E372C4" w:rsidRPr="001C10E8" w:rsidRDefault="00E372C4" w:rsidP="00E372C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公司2</w:t>
      </w:r>
      <w:r>
        <w:rPr>
          <w:rFonts w:ascii="宋体" w:eastAsia="宋体" w:hAnsi="宋体"/>
          <w:bCs/>
          <w:sz w:val="24"/>
          <w:szCs w:val="24"/>
        </w:rPr>
        <w:t>022</w:t>
      </w:r>
      <w:r>
        <w:rPr>
          <w:rFonts w:ascii="宋体" w:eastAsia="宋体" w:hAnsi="宋体" w:hint="eastAsia"/>
          <w:bCs/>
          <w:sz w:val="24"/>
          <w:szCs w:val="24"/>
        </w:rPr>
        <w:t>年度、2</w:t>
      </w:r>
      <w:r>
        <w:rPr>
          <w:rFonts w:ascii="宋体" w:eastAsia="宋体" w:hAnsi="宋体"/>
          <w:bCs/>
          <w:sz w:val="24"/>
          <w:szCs w:val="24"/>
        </w:rPr>
        <w:t>023</w:t>
      </w:r>
      <w:r>
        <w:rPr>
          <w:rFonts w:ascii="宋体" w:eastAsia="宋体" w:hAnsi="宋体" w:hint="eastAsia"/>
          <w:bCs/>
          <w:sz w:val="24"/>
          <w:szCs w:val="24"/>
        </w:rPr>
        <w:t>年一季度、2</w:t>
      </w:r>
      <w:r>
        <w:rPr>
          <w:rFonts w:ascii="宋体" w:eastAsia="宋体" w:hAnsi="宋体"/>
          <w:bCs/>
          <w:sz w:val="24"/>
          <w:szCs w:val="24"/>
        </w:rPr>
        <w:t>023</w:t>
      </w:r>
      <w:r>
        <w:rPr>
          <w:rFonts w:ascii="宋体" w:eastAsia="宋体" w:hAnsi="宋体" w:hint="eastAsia"/>
          <w:bCs/>
          <w:sz w:val="24"/>
          <w:szCs w:val="24"/>
        </w:rPr>
        <w:t>年上半年、2</w:t>
      </w:r>
      <w:r>
        <w:rPr>
          <w:rFonts w:ascii="宋体" w:eastAsia="宋体" w:hAnsi="宋体"/>
          <w:bCs/>
          <w:sz w:val="24"/>
          <w:szCs w:val="24"/>
        </w:rPr>
        <w:t>023</w:t>
      </w:r>
      <w:r>
        <w:rPr>
          <w:rFonts w:ascii="宋体" w:eastAsia="宋体" w:hAnsi="宋体" w:hint="eastAsia"/>
          <w:bCs/>
          <w:sz w:val="24"/>
          <w:szCs w:val="24"/>
        </w:rPr>
        <w:t>年前三季度的毛利率分别为</w:t>
      </w:r>
      <w:r w:rsidRPr="001C10E8">
        <w:rPr>
          <w:rFonts w:ascii="宋体" w:eastAsia="宋体" w:hAnsi="宋体" w:hint="eastAsia"/>
          <w:sz w:val="24"/>
          <w:szCs w:val="24"/>
        </w:rPr>
        <w:t>68.4</w:t>
      </w:r>
      <w:r w:rsidRPr="001C10E8">
        <w:rPr>
          <w:rFonts w:ascii="宋体" w:eastAsia="宋体" w:hAnsi="宋体"/>
          <w:sz w:val="24"/>
          <w:szCs w:val="24"/>
        </w:rPr>
        <w:t>0</w:t>
      </w:r>
      <w:r w:rsidRPr="001C10E8">
        <w:rPr>
          <w:rFonts w:ascii="宋体" w:eastAsia="宋体" w:hAnsi="宋体" w:hint="eastAsia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C10E8">
        <w:rPr>
          <w:rFonts w:ascii="宋体" w:eastAsia="宋体" w:hAnsi="宋体" w:hint="eastAsia"/>
          <w:sz w:val="24"/>
          <w:szCs w:val="24"/>
        </w:rPr>
        <w:t>68.68%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C10E8">
        <w:rPr>
          <w:rFonts w:ascii="宋体" w:eastAsia="宋体" w:hAnsi="宋体" w:hint="eastAsia"/>
          <w:sz w:val="24"/>
          <w:szCs w:val="24"/>
        </w:rPr>
        <w:t>70.12%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C10E8">
        <w:rPr>
          <w:rFonts w:ascii="宋体" w:eastAsia="宋体" w:hAnsi="宋体" w:hint="eastAsia"/>
          <w:sz w:val="24"/>
          <w:szCs w:val="24"/>
        </w:rPr>
        <w:t>70.84%</w:t>
      </w:r>
      <w:r w:rsidRPr="001C10E8">
        <w:rPr>
          <w:rFonts w:ascii="宋体" w:eastAsia="宋体" w:hAnsi="宋体" w:hint="eastAsia"/>
          <w:bCs/>
          <w:sz w:val="24"/>
          <w:szCs w:val="24"/>
        </w:rPr>
        <w:t>，</w:t>
      </w:r>
      <w:r w:rsidRPr="001C10E8">
        <w:rPr>
          <w:rFonts w:ascii="宋体" w:eastAsia="宋体" w:hAnsi="宋体" w:hint="eastAsia"/>
          <w:sz w:val="24"/>
          <w:szCs w:val="24"/>
        </w:rPr>
        <w:t>公司的毛利率</w:t>
      </w:r>
      <w:r>
        <w:rPr>
          <w:rFonts w:ascii="宋体" w:eastAsia="宋体" w:hAnsi="宋体" w:hint="eastAsia"/>
          <w:sz w:val="24"/>
          <w:szCs w:val="24"/>
        </w:rPr>
        <w:t>水平</w:t>
      </w:r>
      <w:r w:rsidRPr="00F45700">
        <w:rPr>
          <w:rFonts w:ascii="宋体" w:eastAsia="宋体" w:hAnsi="宋体" w:hint="eastAsia"/>
          <w:sz w:val="24"/>
          <w:szCs w:val="24"/>
        </w:rPr>
        <w:t>保持稳健维持向好。</w:t>
      </w:r>
    </w:p>
    <w:p w14:paraId="25B0731F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9B4C78">
        <w:rPr>
          <w:rFonts w:ascii="宋体" w:eastAsia="宋体" w:hAnsi="宋体" w:hint="eastAsia"/>
          <w:b/>
          <w:sz w:val="24"/>
          <w:szCs w:val="24"/>
        </w:rPr>
        <w:t>净利润方面：</w:t>
      </w:r>
    </w:p>
    <w:p w14:paraId="7D3D3C6E" w14:textId="77777777" w:rsidR="00E372C4" w:rsidRDefault="00E372C4" w:rsidP="00E372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</w:t>
      </w:r>
      <w:r w:rsidRPr="001C10E8">
        <w:rPr>
          <w:rFonts w:ascii="宋体" w:eastAsia="宋体" w:hAnsi="宋体" w:hint="eastAsia"/>
          <w:sz w:val="24"/>
          <w:szCs w:val="24"/>
        </w:rPr>
        <w:t>2</w:t>
      </w:r>
      <w:r w:rsidRPr="001C10E8">
        <w:rPr>
          <w:rFonts w:ascii="宋体" w:eastAsia="宋体" w:hAnsi="宋体"/>
          <w:sz w:val="24"/>
          <w:szCs w:val="24"/>
        </w:rPr>
        <w:t>023年</w:t>
      </w:r>
      <w:r w:rsidRPr="001C10E8">
        <w:rPr>
          <w:rFonts w:ascii="宋体" w:eastAsia="宋体" w:hAnsi="宋体" w:hint="eastAsia"/>
          <w:sz w:val="24"/>
          <w:szCs w:val="24"/>
        </w:rPr>
        <w:t>前三季度归属于上市公司股东的净利润为1.74亿元，同比上升</w:t>
      </w:r>
      <w:r w:rsidRPr="001C10E8">
        <w:rPr>
          <w:rFonts w:ascii="宋体" w:eastAsia="宋体" w:hAnsi="宋体" w:hint="eastAsia"/>
          <w:sz w:val="24"/>
          <w:szCs w:val="24"/>
        </w:rPr>
        <w:lastRenderedPageBreak/>
        <w:t>44.84%，归属于上市公司股东扣除非经营性损益后的净利润为1.57亿元，同比上升</w:t>
      </w:r>
      <w:r w:rsidRPr="001C10E8">
        <w:rPr>
          <w:rFonts w:ascii="宋体" w:eastAsia="宋体" w:hAnsi="宋体"/>
          <w:sz w:val="24"/>
          <w:szCs w:val="24"/>
        </w:rPr>
        <w:t>75.99%</w:t>
      </w:r>
      <w:r w:rsidRPr="001C10E8">
        <w:rPr>
          <w:rFonts w:ascii="宋体" w:eastAsia="宋体" w:hAnsi="宋体" w:hint="eastAsia"/>
          <w:sz w:val="24"/>
          <w:szCs w:val="24"/>
        </w:rPr>
        <w:t>,主要是因为营业收入增长</w:t>
      </w:r>
      <w:r>
        <w:rPr>
          <w:rFonts w:ascii="宋体" w:eastAsia="宋体" w:hAnsi="宋体" w:hint="eastAsia"/>
          <w:sz w:val="24"/>
          <w:szCs w:val="24"/>
        </w:rPr>
        <w:t>、</w:t>
      </w:r>
      <w:r w:rsidRPr="001C10E8">
        <w:rPr>
          <w:rFonts w:ascii="宋体" w:eastAsia="宋体" w:hAnsi="宋体" w:hint="eastAsia"/>
          <w:sz w:val="24"/>
          <w:szCs w:val="24"/>
        </w:rPr>
        <w:t>产品结构优化从而毛利率提高所致。</w:t>
      </w:r>
    </w:p>
    <w:p w14:paraId="314455CD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9B4C78">
        <w:rPr>
          <w:rFonts w:ascii="宋体" w:eastAsia="宋体" w:hAnsi="宋体" w:hint="eastAsia"/>
          <w:b/>
          <w:sz w:val="24"/>
          <w:szCs w:val="24"/>
        </w:rPr>
        <w:t>净利率方面：</w:t>
      </w:r>
    </w:p>
    <w:p w14:paraId="259C6D78" w14:textId="77777777" w:rsidR="00E372C4" w:rsidRPr="001C10E8" w:rsidRDefault="00E372C4" w:rsidP="00E372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</w:t>
      </w:r>
      <w:r w:rsidRPr="001C10E8">
        <w:rPr>
          <w:rFonts w:ascii="宋体" w:eastAsia="宋体" w:hAnsi="宋体" w:hint="eastAsia"/>
          <w:sz w:val="24"/>
          <w:szCs w:val="24"/>
        </w:rPr>
        <w:t>2</w:t>
      </w:r>
      <w:r w:rsidRPr="001C10E8">
        <w:rPr>
          <w:rFonts w:ascii="宋体" w:eastAsia="宋体" w:hAnsi="宋体"/>
          <w:sz w:val="24"/>
          <w:szCs w:val="24"/>
        </w:rPr>
        <w:t>023年</w:t>
      </w:r>
      <w:r w:rsidRPr="001C10E8">
        <w:rPr>
          <w:rFonts w:ascii="宋体" w:eastAsia="宋体" w:hAnsi="宋体" w:hint="eastAsia"/>
          <w:sz w:val="24"/>
          <w:szCs w:val="24"/>
        </w:rPr>
        <w:t>前三季度归属于上市公司股东的净利率为11.31%，同比上升0.8</w:t>
      </w:r>
      <w:r w:rsidRPr="001C10E8">
        <w:rPr>
          <w:rFonts w:ascii="宋体" w:eastAsia="宋体" w:hAnsi="宋体"/>
          <w:sz w:val="24"/>
          <w:szCs w:val="24"/>
        </w:rPr>
        <w:t>2</w:t>
      </w:r>
      <w:r w:rsidRPr="001C10E8">
        <w:rPr>
          <w:rFonts w:ascii="宋体" w:eastAsia="宋体" w:hAnsi="宋体" w:hint="eastAsia"/>
          <w:sz w:val="24"/>
          <w:szCs w:val="24"/>
        </w:rPr>
        <w:t>个百分点，整体处于行业中等水平。今年线上竞争进一步加剧，特别是抖音</w:t>
      </w:r>
      <w:r>
        <w:rPr>
          <w:rFonts w:ascii="宋体" w:eastAsia="宋体" w:hAnsi="宋体" w:hint="eastAsia"/>
          <w:sz w:val="24"/>
          <w:szCs w:val="24"/>
        </w:rPr>
        <w:t>类</w:t>
      </w:r>
      <w:r w:rsidRPr="001C10E8">
        <w:rPr>
          <w:rFonts w:ascii="宋体" w:eastAsia="宋体" w:hAnsi="宋体" w:hint="eastAsia"/>
          <w:sz w:val="24"/>
          <w:szCs w:val="24"/>
        </w:rPr>
        <w:t>渠道流量创新高，</w:t>
      </w:r>
      <w:r w:rsidRPr="00157694">
        <w:rPr>
          <w:rFonts w:ascii="宋体" w:eastAsia="宋体" w:hAnsi="宋体" w:hint="eastAsia"/>
          <w:sz w:val="24"/>
          <w:szCs w:val="24"/>
        </w:rPr>
        <w:t>公司兼顾当下收益和未来发展，平衡费用和投放，为公司长期可持续稳健发展蓄势蓄能。</w:t>
      </w:r>
    </w:p>
    <w:p w14:paraId="7D205FD1" w14:textId="77777777" w:rsidR="00E372C4" w:rsidRPr="009B4C78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9B4C78">
        <w:rPr>
          <w:rFonts w:ascii="宋体" w:eastAsia="宋体" w:hAnsi="宋体" w:hint="eastAsia"/>
          <w:b/>
          <w:sz w:val="24"/>
          <w:szCs w:val="24"/>
        </w:rPr>
        <w:t>产品平均售价：</w:t>
      </w:r>
    </w:p>
    <w:p w14:paraId="5E08E337" w14:textId="77777777" w:rsidR="00E372C4" w:rsidRPr="001C10E8" w:rsidRDefault="00E372C4" w:rsidP="00E372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10E8">
        <w:rPr>
          <w:rFonts w:ascii="宋体" w:eastAsia="宋体" w:hAnsi="宋体" w:hint="eastAsia"/>
          <w:sz w:val="24"/>
          <w:szCs w:val="24"/>
        </w:rPr>
        <w:t>2023年第三季度</w:t>
      </w:r>
      <w:r>
        <w:rPr>
          <w:rFonts w:ascii="宋体" w:eastAsia="宋体" w:hAnsi="宋体" w:hint="eastAsia"/>
          <w:sz w:val="24"/>
          <w:szCs w:val="24"/>
        </w:rPr>
        <w:t>公司</w:t>
      </w:r>
      <w:r w:rsidRPr="001C10E8">
        <w:rPr>
          <w:rFonts w:ascii="宋体" w:eastAsia="宋体" w:hAnsi="宋体" w:hint="eastAsia"/>
          <w:sz w:val="24"/>
          <w:szCs w:val="24"/>
        </w:rPr>
        <w:t>眼部类、护肤类、洁肤类、美容类产品均价较2022年第三季度分别提升7.71%、35%、31.6%、28.78%。公司持续调整产品结构，优化销售策略，</w:t>
      </w:r>
      <w:r w:rsidRPr="002E041E">
        <w:rPr>
          <w:rFonts w:ascii="宋体" w:eastAsia="宋体" w:hAnsi="宋体" w:hint="eastAsia"/>
          <w:sz w:val="24"/>
          <w:szCs w:val="24"/>
        </w:rPr>
        <w:t>推进大单品策略，各品类产品均价持续提升。</w:t>
      </w:r>
      <w:r w:rsidRPr="00295D25">
        <w:rPr>
          <w:rFonts w:ascii="宋体" w:eastAsia="宋体" w:hAnsi="宋体" w:hint="eastAsia"/>
          <w:sz w:val="24"/>
          <w:szCs w:val="24"/>
        </w:rPr>
        <w:t>单从丸美品牌来看，眼霜品类维持在</w:t>
      </w:r>
      <w:r w:rsidRPr="00295D25">
        <w:rPr>
          <w:rFonts w:ascii="宋体" w:eastAsia="宋体" w:hAnsi="宋体"/>
          <w:sz w:val="24"/>
          <w:szCs w:val="24"/>
        </w:rPr>
        <w:t>30%收入占比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16018C6D" w14:textId="77777777" w:rsidR="00E372C4" w:rsidRPr="001F179D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F179D">
        <w:rPr>
          <w:rFonts w:ascii="宋体" w:eastAsia="宋体" w:hAnsi="宋体" w:hint="eastAsia"/>
          <w:b/>
          <w:sz w:val="24"/>
          <w:szCs w:val="24"/>
        </w:rPr>
        <w:t>营运指标：</w:t>
      </w:r>
    </w:p>
    <w:p w14:paraId="5474E419" w14:textId="1AA24A9E" w:rsidR="00E372C4" w:rsidRPr="001C10E8" w:rsidRDefault="00E372C4" w:rsidP="00E372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公司应收账款周转率及存</w:t>
      </w:r>
      <w:r w:rsidR="00015E22">
        <w:rPr>
          <w:rFonts w:ascii="宋体" w:eastAsia="宋体" w:hAnsi="宋体" w:hint="eastAsia"/>
          <w:sz w:val="24"/>
          <w:szCs w:val="24"/>
        </w:rPr>
        <w:t>货</w:t>
      </w:r>
      <w:r>
        <w:rPr>
          <w:rFonts w:ascii="宋体" w:eastAsia="宋体" w:hAnsi="宋体" w:hint="eastAsia"/>
          <w:sz w:val="24"/>
          <w:szCs w:val="24"/>
        </w:rPr>
        <w:t>周转率等营运指标健康良性且在持续优化。</w:t>
      </w:r>
    </w:p>
    <w:p w14:paraId="235F7D42" w14:textId="77777777" w:rsidR="00E372C4" w:rsidRDefault="00E372C4" w:rsidP="00E372C4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14:paraId="21550F37" w14:textId="77777777" w:rsidR="00E372C4" w:rsidRPr="00C0758D" w:rsidRDefault="00E372C4" w:rsidP="00E372C4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0758D">
        <w:rPr>
          <w:rFonts w:ascii="宋体" w:eastAsia="宋体" w:hAnsi="宋体" w:hint="eastAsia"/>
          <w:b/>
          <w:bCs/>
          <w:sz w:val="24"/>
          <w:szCs w:val="24"/>
        </w:rPr>
        <w:t>（二）管理层回答投资者提问</w:t>
      </w:r>
    </w:p>
    <w:p w14:paraId="57357A56" w14:textId="77777777" w:rsidR="00E372C4" w:rsidRPr="001116B6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1116B6">
        <w:rPr>
          <w:rFonts w:ascii="宋体" w:eastAsia="宋体" w:hAnsi="宋体"/>
          <w:b/>
          <w:bCs/>
          <w:sz w:val="24"/>
          <w:szCs w:val="24"/>
        </w:rPr>
        <w:t>Q：毛利率提升的主要原因？</w:t>
      </w:r>
    </w:p>
    <w:p w14:paraId="39A3086A" w14:textId="6159B32B" w:rsidR="00E372C4" w:rsidRPr="001116B6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bookmarkStart w:id="0" w:name="wFUw-1698748341246"/>
      <w:bookmarkEnd w:id="0"/>
      <w:r w:rsidRPr="001116B6">
        <w:rPr>
          <w:rFonts w:ascii="宋体" w:eastAsia="宋体" w:hAnsi="宋体"/>
          <w:b/>
          <w:bCs/>
          <w:sz w:val="24"/>
          <w:szCs w:val="24"/>
        </w:rPr>
        <w:t>A：</w:t>
      </w:r>
      <w:r w:rsidRPr="001116B6">
        <w:rPr>
          <w:rFonts w:ascii="宋体" w:eastAsia="宋体" w:hAnsi="宋体"/>
          <w:bCs/>
          <w:sz w:val="24"/>
          <w:szCs w:val="24"/>
        </w:rPr>
        <w:t>毛利率</w:t>
      </w:r>
      <w:r w:rsidRPr="001116B6">
        <w:rPr>
          <w:rFonts w:ascii="宋体" w:eastAsia="宋体" w:hAnsi="宋体" w:hint="eastAsia"/>
          <w:bCs/>
          <w:sz w:val="24"/>
          <w:szCs w:val="24"/>
        </w:rPr>
        <w:t>持续</w:t>
      </w:r>
      <w:r w:rsidRPr="001116B6">
        <w:rPr>
          <w:rFonts w:ascii="宋体" w:eastAsia="宋体" w:hAnsi="宋体"/>
          <w:bCs/>
          <w:sz w:val="24"/>
          <w:szCs w:val="24"/>
        </w:rPr>
        <w:t>提升，主因两点：一是大单品聚焦的能力</w:t>
      </w:r>
      <w:r w:rsidRPr="001116B6">
        <w:rPr>
          <w:rFonts w:ascii="宋体" w:eastAsia="宋体" w:hAnsi="宋体" w:hint="eastAsia"/>
          <w:bCs/>
          <w:sz w:val="24"/>
          <w:szCs w:val="24"/>
        </w:rPr>
        <w:t>提升。</w:t>
      </w:r>
      <w:r w:rsidRPr="001116B6">
        <w:rPr>
          <w:rFonts w:ascii="宋体" w:eastAsia="宋体" w:hAnsi="宋体"/>
          <w:bCs/>
          <w:sz w:val="24"/>
          <w:szCs w:val="24"/>
        </w:rPr>
        <w:t>举例，小红笔300</w:t>
      </w:r>
      <w:r>
        <w:rPr>
          <w:rFonts w:ascii="宋体" w:eastAsia="宋体" w:hAnsi="宋体" w:hint="eastAsia"/>
          <w:bCs/>
          <w:sz w:val="24"/>
          <w:szCs w:val="24"/>
        </w:rPr>
        <w:t>元</w:t>
      </w:r>
      <w:r w:rsidRPr="001116B6">
        <w:rPr>
          <w:rFonts w:ascii="宋体" w:eastAsia="宋体" w:hAnsi="宋体"/>
          <w:bCs/>
          <w:sz w:val="24"/>
          <w:szCs w:val="24"/>
        </w:rPr>
        <w:t>左右</w:t>
      </w:r>
      <w:r w:rsidRPr="001116B6">
        <w:rPr>
          <w:rFonts w:ascii="宋体" w:eastAsia="宋体" w:hAnsi="宋体" w:hint="eastAsia"/>
          <w:bCs/>
          <w:sz w:val="24"/>
          <w:szCs w:val="24"/>
        </w:rPr>
        <w:t>、</w:t>
      </w:r>
      <w:r w:rsidRPr="001116B6">
        <w:rPr>
          <w:rFonts w:ascii="宋体" w:eastAsia="宋体" w:hAnsi="宋体"/>
          <w:bCs/>
          <w:sz w:val="24"/>
          <w:szCs w:val="24"/>
        </w:rPr>
        <w:t>小金针380</w:t>
      </w:r>
      <w:r>
        <w:rPr>
          <w:rFonts w:ascii="宋体" w:eastAsia="宋体" w:hAnsi="宋体" w:hint="eastAsia"/>
          <w:bCs/>
          <w:sz w:val="24"/>
          <w:szCs w:val="24"/>
        </w:rPr>
        <w:t>元</w:t>
      </w:r>
      <w:r w:rsidRPr="001116B6">
        <w:rPr>
          <w:rFonts w:ascii="宋体" w:eastAsia="宋体" w:hAnsi="宋体"/>
          <w:bCs/>
          <w:sz w:val="24"/>
          <w:szCs w:val="24"/>
        </w:rPr>
        <w:t>左右，</w:t>
      </w:r>
      <w:r w:rsidRPr="001116B6">
        <w:rPr>
          <w:rFonts w:ascii="宋体" w:eastAsia="宋体" w:hAnsi="宋体" w:hint="eastAsia"/>
          <w:bCs/>
          <w:sz w:val="24"/>
          <w:szCs w:val="24"/>
        </w:rPr>
        <w:t>较高</w:t>
      </w:r>
      <w:r w:rsidRPr="001116B6">
        <w:rPr>
          <w:rFonts w:ascii="宋体" w:eastAsia="宋体" w:hAnsi="宋体"/>
          <w:bCs/>
          <w:sz w:val="24"/>
          <w:szCs w:val="24"/>
        </w:rPr>
        <w:t>客单价；二是进行了大量SKU精简</w:t>
      </w:r>
      <w:r w:rsidRPr="001116B6">
        <w:rPr>
          <w:rFonts w:ascii="宋体" w:eastAsia="宋体" w:hAnsi="宋体" w:hint="eastAsia"/>
          <w:bCs/>
          <w:sz w:val="24"/>
          <w:szCs w:val="24"/>
        </w:rPr>
        <w:t>，</w:t>
      </w:r>
      <w:r w:rsidRPr="001116B6">
        <w:rPr>
          <w:rFonts w:ascii="宋体" w:eastAsia="宋体" w:hAnsi="宋体"/>
          <w:bCs/>
          <w:sz w:val="24"/>
          <w:szCs w:val="24"/>
        </w:rPr>
        <w:t>淘汰了透支品牌的低价产品。毛利率提升反映了</w:t>
      </w:r>
      <w:r w:rsidR="00237C37">
        <w:rPr>
          <w:rFonts w:ascii="宋体" w:eastAsia="宋体" w:hAnsi="宋体" w:hint="eastAsia"/>
          <w:bCs/>
          <w:sz w:val="24"/>
          <w:szCs w:val="24"/>
        </w:rPr>
        <w:t>货盘的优化和</w:t>
      </w:r>
      <w:r w:rsidRPr="001116B6">
        <w:rPr>
          <w:rFonts w:ascii="宋体" w:eastAsia="宋体" w:hAnsi="宋体"/>
          <w:bCs/>
          <w:sz w:val="24"/>
          <w:szCs w:val="24"/>
        </w:rPr>
        <w:t>大单品</w:t>
      </w:r>
      <w:r w:rsidRPr="001116B6">
        <w:rPr>
          <w:rFonts w:ascii="宋体" w:eastAsia="宋体" w:hAnsi="宋体" w:hint="eastAsia"/>
          <w:bCs/>
          <w:sz w:val="24"/>
          <w:szCs w:val="24"/>
        </w:rPr>
        <w:t>策略</w:t>
      </w:r>
      <w:r w:rsidRPr="001116B6">
        <w:rPr>
          <w:rFonts w:ascii="宋体" w:eastAsia="宋体" w:hAnsi="宋体"/>
          <w:bCs/>
          <w:sz w:val="24"/>
          <w:szCs w:val="24"/>
        </w:rPr>
        <w:t>的成功。</w:t>
      </w:r>
    </w:p>
    <w:p w14:paraId="3E8695D0" w14:textId="77777777" w:rsidR="00E372C4" w:rsidRPr="001116B6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4C2E1518" w14:textId="77777777" w:rsidR="00E372C4" w:rsidRPr="001116B6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1116B6">
        <w:rPr>
          <w:rFonts w:ascii="宋体" w:eastAsia="宋体" w:hAnsi="宋体"/>
          <w:b/>
          <w:bCs/>
          <w:sz w:val="24"/>
          <w:szCs w:val="24"/>
        </w:rPr>
        <w:t>Q</w:t>
      </w:r>
      <w:r w:rsidRPr="001116B6">
        <w:rPr>
          <w:rFonts w:ascii="宋体" w:eastAsia="宋体" w:hAnsi="宋体" w:hint="eastAsia"/>
          <w:b/>
          <w:bCs/>
          <w:sz w:val="24"/>
          <w:szCs w:val="24"/>
        </w:rPr>
        <w:t>：公司明年产品发展规划？</w:t>
      </w:r>
      <w:r w:rsidRPr="001116B6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1EEC0CF7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1116B6">
        <w:rPr>
          <w:rFonts w:ascii="宋体" w:eastAsia="宋体" w:hAnsi="宋体"/>
          <w:b/>
          <w:bCs/>
          <w:sz w:val="24"/>
          <w:szCs w:val="24"/>
        </w:rPr>
        <w:t>A：</w:t>
      </w:r>
      <w:bookmarkStart w:id="1" w:name="odNm-1698748341247"/>
      <w:bookmarkEnd w:id="1"/>
      <w:r w:rsidRPr="001116B6">
        <w:rPr>
          <w:rFonts w:ascii="宋体" w:eastAsia="宋体" w:hAnsi="宋体" w:hint="eastAsia"/>
          <w:bCs/>
          <w:sz w:val="24"/>
          <w:szCs w:val="24"/>
        </w:rPr>
        <w:t>坚定推行大单品策略。今年大单品在线上取得了一定的成功，</w:t>
      </w:r>
      <w:r w:rsidRPr="001116B6">
        <w:rPr>
          <w:rFonts w:ascii="宋体" w:eastAsia="宋体" w:hAnsi="宋体"/>
          <w:bCs/>
          <w:sz w:val="24"/>
          <w:szCs w:val="24"/>
        </w:rPr>
        <w:t>进步是和自己比，</w:t>
      </w:r>
      <w:r w:rsidRPr="001116B6">
        <w:rPr>
          <w:rFonts w:ascii="宋体" w:eastAsia="宋体" w:hAnsi="宋体" w:hint="eastAsia"/>
          <w:bCs/>
          <w:sz w:val="24"/>
          <w:szCs w:val="24"/>
        </w:rPr>
        <w:t>要努力做到类目第一，</w:t>
      </w:r>
      <w:r w:rsidRPr="001116B6">
        <w:rPr>
          <w:rFonts w:ascii="宋体" w:eastAsia="宋体" w:hAnsi="宋体"/>
          <w:bCs/>
          <w:sz w:val="24"/>
          <w:szCs w:val="24"/>
        </w:rPr>
        <w:t>大单品还有很大潜力</w:t>
      </w:r>
      <w:r w:rsidRPr="001116B6">
        <w:rPr>
          <w:rFonts w:ascii="宋体" w:eastAsia="宋体" w:hAnsi="宋体" w:hint="eastAsia"/>
          <w:bCs/>
          <w:sz w:val="24"/>
          <w:szCs w:val="24"/>
        </w:rPr>
        <w:t>和进步空间，</w:t>
      </w:r>
      <w:r w:rsidRPr="001116B6">
        <w:rPr>
          <w:rFonts w:ascii="宋体" w:eastAsia="宋体" w:hAnsi="宋体"/>
          <w:bCs/>
          <w:sz w:val="24"/>
          <w:szCs w:val="24"/>
        </w:rPr>
        <w:t>任重道远。</w:t>
      </w:r>
      <w:r w:rsidRPr="001116B6">
        <w:rPr>
          <w:rFonts w:ascii="宋体" w:eastAsia="宋体" w:hAnsi="宋体" w:hint="eastAsia"/>
          <w:bCs/>
          <w:sz w:val="24"/>
          <w:szCs w:val="24"/>
        </w:rPr>
        <w:t>努力做到今年四季度大单品的持续突破，明年在大单品上要更进一步发力和深化。</w:t>
      </w:r>
    </w:p>
    <w:p w14:paraId="60BA3200" w14:textId="77777777" w:rsidR="00E372C4" w:rsidRPr="001116B6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</w:p>
    <w:p w14:paraId="621D14C5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C0758D">
        <w:rPr>
          <w:rFonts w:ascii="宋体" w:eastAsia="宋体" w:hAnsi="宋体"/>
          <w:b/>
          <w:bCs/>
          <w:sz w:val="24"/>
          <w:szCs w:val="24"/>
        </w:rPr>
        <w:t>Q：</w:t>
      </w:r>
      <w:r>
        <w:rPr>
          <w:rFonts w:ascii="宋体" w:eastAsia="宋体" w:hAnsi="宋体" w:hint="eastAsia"/>
          <w:b/>
          <w:bCs/>
          <w:sz w:val="24"/>
          <w:szCs w:val="24"/>
        </w:rPr>
        <w:t>关于抖快渠道的运营策略？</w:t>
      </w:r>
    </w:p>
    <w:p w14:paraId="10B2C38E" w14:textId="69B317D5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5B5902">
        <w:rPr>
          <w:rFonts w:ascii="宋体" w:eastAsia="宋体" w:hAnsi="宋体" w:hint="eastAsia"/>
          <w:b/>
          <w:bCs/>
          <w:sz w:val="24"/>
          <w:szCs w:val="24"/>
        </w:rPr>
        <w:t>A</w:t>
      </w:r>
      <w:r w:rsidRPr="007F24BD">
        <w:rPr>
          <w:rFonts w:ascii="宋体" w:eastAsia="宋体" w:hAnsi="宋体"/>
          <w:b/>
          <w:bCs/>
          <w:sz w:val="24"/>
          <w:szCs w:val="24"/>
        </w:rPr>
        <w:t>：</w:t>
      </w:r>
      <w:r w:rsidRPr="005B5902">
        <w:rPr>
          <w:rFonts w:ascii="宋体" w:eastAsia="宋体" w:hAnsi="宋体" w:hint="eastAsia"/>
          <w:bCs/>
          <w:sz w:val="24"/>
          <w:szCs w:val="24"/>
        </w:rPr>
        <w:t>在202</w:t>
      </w:r>
      <w:r w:rsidRPr="005B5902">
        <w:rPr>
          <w:rFonts w:ascii="宋体" w:eastAsia="宋体" w:hAnsi="宋体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年前三</w:t>
      </w:r>
      <w:r w:rsidRPr="005B5902">
        <w:rPr>
          <w:rFonts w:ascii="宋体" w:eastAsia="宋体" w:hAnsi="宋体" w:hint="eastAsia"/>
          <w:bCs/>
          <w:sz w:val="24"/>
          <w:szCs w:val="24"/>
        </w:rPr>
        <w:t>季度，公司实现了</w:t>
      </w:r>
      <w:r>
        <w:rPr>
          <w:rFonts w:ascii="宋体" w:eastAsia="宋体" w:hAnsi="宋体" w:hint="eastAsia"/>
          <w:bCs/>
          <w:sz w:val="24"/>
          <w:szCs w:val="24"/>
        </w:rPr>
        <w:t>翻倍增长，成为</w:t>
      </w:r>
      <w:r w:rsidRPr="005B5902">
        <w:rPr>
          <w:rFonts w:ascii="宋体" w:eastAsia="宋体" w:hAnsi="宋体" w:hint="eastAsia"/>
          <w:bCs/>
          <w:sz w:val="24"/>
          <w:szCs w:val="24"/>
        </w:rPr>
        <w:t>整个线上业务发展的</w:t>
      </w:r>
      <w:r>
        <w:rPr>
          <w:rFonts w:ascii="宋体" w:eastAsia="宋体" w:hAnsi="宋体" w:hint="eastAsia"/>
          <w:bCs/>
          <w:sz w:val="24"/>
          <w:szCs w:val="24"/>
        </w:rPr>
        <w:t>发动</w:t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机，更重要的是</w:t>
      </w:r>
      <w:r w:rsidR="00DB4454">
        <w:rPr>
          <w:rFonts w:ascii="宋体" w:eastAsia="宋体" w:hAnsi="宋体" w:hint="eastAsia"/>
          <w:bCs/>
          <w:sz w:val="24"/>
          <w:szCs w:val="24"/>
        </w:rPr>
        <w:t>，</w:t>
      </w:r>
      <w:r>
        <w:rPr>
          <w:rFonts w:ascii="宋体" w:eastAsia="宋体" w:hAnsi="宋体" w:hint="eastAsia"/>
          <w:bCs/>
          <w:sz w:val="24"/>
          <w:szCs w:val="24"/>
        </w:rPr>
        <w:t>丸美在抖音5A人群资产上已发生了量级的突破，这是未来持续增长的重要基础</w:t>
      </w:r>
      <w:r w:rsidRPr="005B5902">
        <w:rPr>
          <w:rFonts w:ascii="宋体" w:eastAsia="宋体" w:hAnsi="宋体" w:hint="eastAsia"/>
          <w:bCs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今年公司对线上电商团队进行了重大调整，</w:t>
      </w:r>
      <w:r w:rsidRPr="005B5902">
        <w:rPr>
          <w:rFonts w:ascii="宋体" w:eastAsia="宋体" w:hAnsi="宋体" w:hint="eastAsia"/>
          <w:bCs/>
          <w:sz w:val="24"/>
          <w:szCs w:val="24"/>
        </w:rPr>
        <w:t>将原来的</w:t>
      </w:r>
      <w:r>
        <w:rPr>
          <w:rFonts w:ascii="宋体" w:eastAsia="宋体" w:hAnsi="宋体" w:hint="eastAsia"/>
          <w:bCs/>
          <w:sz w:val="24"/>
          <w:szCs w:val="24"/>
        </w:rPr>
        <w:t>大</w:t>
      </w:r>
      <w:r w:rsidRPr="005B5902">
        <w:rPr>
          <w:rFonts w:ascii="宋体" w:eastAsia="宋体" w:hAnsi="宋体" w:hint="eastAsia"/>
          <w:bCs/>
          <w:sz w:val="24"/>
          <w:szCs w:val="24"/>
        </w:rPr>
        <w:t>电商部分</w:t>
      </w:r>
      <w:r>
        <w:rPr>
          <w:rFonts w:ascii="宋体" w:eastAsia="宋体" w:hAnsi="宋体" w:hint="eastAsia"/>
          <w:bCs/>
          <w:sz w:val="24"/>
          <w:szCs w:val="24"/>
        </w:rPr>
        <w:t>拆</w:t>
      </w:r>
      <w:r w:rsidRPr="005B5902">
        <w:rPr>
          <w:rFonts w:ascii="宋体" w:eastAsia="宋体" w:hAnsi="宋体" w:hint="eastAsia"/>
          <w:bCs/>
          <w:sz w:val="24"/>
          <w:szCs w:val="24"/>
        </w:rPr>
        <w:t>为电子商务部、达播电商部和直播电商部。这些部门分别负责不同类型</w:t>
      </w:r>
      <w:r>
        <w:rPr>
          <w:rFonts w:ascii="宋体" w:eastAsia="宋体" w:hAnsi="宋体" w:hint="eastAsia"/>
          <w:bCs/>
          <w:sz w:val="24"/>
          <w:szCs w:val="24"/>
        </w:rPr>
        <w:t>不同属性</w:t>
      </w:r>
      <w:r w:rsidRPr="005B5902">
        <w:rPr>
          <w:rFonts w:ascii="宋体" w:eastAsia="宋体" w:hAnsi="宋体" w:hint="eastAsia"/>
          <w:bCs/>
          <w:sz w:val="24"/>
          <w:szCs w:val="24"/>
        </w:rPr>
        <w:t>的电商平台，这种组织变革有助于提高公司的线上业务效率和竞争力。</w:t>
      </w:r>
      <w:r>
        <w:rPr>
          <w:rFonts w:ascii="宋体" w:eastAsia="宋体" w:hAnsi="宋体" w:hint="eastAsia"/>
          <w:bCs/>
          <w:sz w:val="24"/>
          <w:szCs w:val="24"/>
        </w:rPr>
        <w:t>电商团队非常年轻，平均年龄28岁，对电商平台的变化非常敏锐也能很好把握。</w:t>
      </w:r>
    </w:p>
    <w:p w14:paraId="3504C6F9" w14:textId="77777777" w:rsidR="00E372C4" w:rsidRPr="00936A95" w:rsidRDefault="00E372C4" w:rsidP="00E372C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现在内容电商非常卷，增量很大但不赚钱。怎</w:t>
      </w:r>
      <w:r w:rsidRPr="000428CD">
        <w:rPr>
          <w:rFonts w:ascii="宋体" w:eastAsia="宋体" w:hAnsi="宋体" w:hint="eastAsia"/>
          <w:bCs/>
          <w:sz w:val="24"/>
          <w:szCs w:val="24"/>
        </w:rPr>
        <w:t>样在增量很大的平台上获得增量的同时，还拿到合理的利润，这是对我们团队的挑战。相信我们团队能够接受这个挑战，我们能够实现火中取栗，仍然拿到合理的利润率。</w:t>
      </w:r>
    </w:p>
    <w:p w14:paraId="135214A1" w14:textId="77777777" w:rsidR="00E372C4" w:rsidRDefault="00E372C4" w:rsidP="00E372C4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14:paraId="4EEE139E" w14:textId="77777777" w:rsidR="00E372C4" w:rsidRPr="007F24BD" w:rsidRDefault="00E372C4" w:rsidP="00E372C4">
      <w:pPr>
        <w:spacing w:line="360" w:lineRule="auto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  <w:r w:rsidRPr="007F24BD">
        <w:rPr>
          <w:rFonts w:ascii="宋体" w:eastAsia="宋体" w:hAnsi="宋体"/>
          <w:b/>
          <w:bCs/>
          <w:sz w:val="24"/>
          <w:szCs w:val="24"/>
        </w:rPr>
        <w:t>Q：对线下渠道的判断？</w:t>
      </w:r>
    </w:p>
    <w:p w14:paraId="1E7377E8" w14:textId="3C36D505" w:rsidR="00E372C4" w:rsidRDefault="00E372C4" w:rsidP="00E372C4">
      <w:pPr>
        <w:spacing w:line="360" w:lineRule="auto"/>
        <w:ind w:firstLineChars="196" w:firstLine="472"/>
        <w:rPr>
          <w:rFonts w:ascii="宋体" w:eastAsia="宋体" w:hAnsi="宋体"/>
          <w:bCs/>
          <w:sz w:val="24"/>
          <w:szCs w:val="24"/>
        </w:rPr>
      </w:pPr>
      <w:r w:rsidRPr="007F24BD">
        <w:rPr>
          <w:rFonts w:ascii="宋体" w:eastAsia="宋体" w:hAnsi="宋体"/>
          <w:b/>
          <w:bCs/>
          <w:sz w:val="24"/>
          <w:szCs w:val="24"/>
        </w:rPr>
        <w:t>A：</w:t>
      </w:r>
      <w:r w:rsidRPr="007F24BD">
        <w:rPr>
          <w:rFonts w:ascii="宋体" w:eastAsia="宋体" w:hAnsi="宋体"/>
          <w:bCs/>
          <w:sz w:val="24"/>
          <w:szCs w:val="24"/>
        </w:rPr>
        <w:t>由于大环境原因，线下渠道受到了严重影响。今年对于线下很不容易，但我们会和线下的合作伙伴一起</w:t>
      </w:r>
      <w:r>
        <w:rPr>
          <w:rFonts w:ascii="宋体" w:eastAsia="宋体" w:hAnsi="宋体" w:hint="eastAsia"/>
          <w:bCs/>
          <w:sz w:val="24"/>
          <w:szCs w:val="24"/>
        </w:rPr>
        <w:t>努力</w:t>
      </w:r>
      <w:r w:rsidRPr="007F24BD">
        <w:rPr>
          <w:rFonts w:ascii="宋体" w:eastAsia="宋体" w:hAnsi="宋体"/>
          <w:bCs/>
          <w:sz w:val="24"/>
          <w:szCs w:val="24"/>
        </w:rPr>
        <w:t>。我们</w:t>
      </w:r>
      <w:r>
        <w:rPr>
          <w:rFonts w:ascii="宋体" w:eastAsia="宋体" w:hAnsi="宋体" w:hint="eastAsia"/>
          <w:bCs/>
          <w:sz w:val="24"/>
          <w:szCs w:val="24"/>
        </w:rPr>
        <w:t>认为</w:t>
      </w:r>
      <w:r w:rsidRPr="007F24BD">
        <w:rPr>
          <w:rFonts w:ascii="宋体" w:eastAsia="宋体" w:hAnsi="宋体"/>
          <w:bCs/>
          <w:sz w:val="24"/>
          <w:szCs w:val="24"/>
        </w:rPr>
        <w:t>线下在社会零售总额中具有重要地位。</w:t>
      </w:r>
      <w:r w:rsidR="00E02E71">
        <w:rPr>
          <w:rFonts w:ascii="宋体" w:eastAsia="宋体" w:hAnsi="宋体"/>
          <w:bCs/>
          <w:sz w:val="24"/>
          <w:szCs w:val="24"/>
        </w:rPr>
        <w:t xml:space="preserve">D </w:t>
      </w:r>
      <w:r w:rsidR="00E02E71">
        <w:rPr>
          <w:rFonts w:ascii="宋体" w:eastAsia="宋体" w:hAnsi="宋体" w:hint="eastAsia"/>
          <w:bCs/>
          <w:sz w:val="24"/>
          <w:szCs w:val="24"/>
        </w:rPr>
        <w:t>在打造线上竞争力的同时，</w:t>
      </w:r>
      <w:r w:rsidRPr="007F24BD">
        <w:rPr>
          <w:rFonts w:ascii="宋体" w:eastAsia="宋体" w:hAnsi="宋体"/>
          <w:bCs/>
          <w:sz w:val="24"/>
          <w:szCs w:val="24"/>
        </w:rPr>
        <w:t>我们不会丧失原有的线下竞争力，有信心明年实现恢复性增长，成为线下复苏增长品牌中的佼佼者。</w:t>
      </w:r>
    </w:p>
    <w:p w14:paraId="4ECBBB26" w14:textId="77777777" w:rsidR="00E372C4" w:rsidRPr="007F24BD" w:rsidRDefault="00E372C4" w:rsidP="00E372C4">
      <w:pPr>
        <w:spacing w:line="360" w:lineRule="auto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</w:p>
    <w:p w14:paraId="78D77FA9" w14:textId="77777777" w:rsidR="00E372C4" w:rsidRPr="00445AE5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445AE5">
        <w:rPr>
          <w:rFonts w:ascii="宋体" w:eastAsia="宋体" w:hAnsi="宋体"/>
          <w:b/>
          <w:bCs/>
          <w:sz w:val="24"/>
          <w:szCs w:val="24"/>
        </w:rPr>
        <w:t>Q：如何应对双十一平台流量的争夺？</w:t>
      </w:r>
    </w:p>
    <w:p w14:paraId="7E4974F2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bCs/>
          <w:sz w:val="24"/>
          <w:szCs w:val="24"/>
        </w:rPr>
      </w:pPr>
      <w:r w:rsidRPr="00445AE5">
        <w:rPr>
          <w:rFonts w:ascii="宋体" w:eastAsia="宋体" w:hAnsi="宋体"/>
          <w:b/>
          <w:bCs/>
          <w:sz w:val="24"/>
          <w:szCs w:val="24"/>
        </w:rPr>
        <w:t>A：</w:t>
      </w:r>
      <w:r w:rsidRPr="00445AE5">
        <w:rPr>
          <w:rFonts w:ascii="宋体" w:eastAsia="宋体" w:hAnsi="宋体"/>
          <w:bCs/>
          <w:sz w:val="24"/>
          <w:szCs w:val="24"/>
        </w:rPr>
        <w:t>今年双11平台政策力度空前。公司内部严格要求：绝不允许任何部门，在任何平台，以任何理由破价、内卷，如果发生一定严肃处理。我们不是只有这一个双十一，未来还有很多个双十一，不能也不会为当下做任何不计后果的动作</w:t>
      </w:r>
      <w:r>
        <w:rPr>
          <w:rFonts w:ascii="宋体" w:eastAsia="宋体" w:hAnsi="宋体"/>
          <w:bCs/>
          <w:sz w:val="24"/>
          <w:szCs w:val="24"/>
        </w:rPr>
        <w:t>。我们要健康和良性，不要破坏透支行为，这也是团队的共识。我们已基本掌握平台玩法并开始创新玩法，</w:t>
      </w:r>
      <w:r w:rsidRPr="00445AE5">
        <w:rPr>
          <w:rFonts w:ascii="宋体" w:eastAsia="宋体" w:hAnsi="宋体"/>
          <w:bCs/>
          <w:sz w:val="24"/>
          <w:szCs w:val="24"/>
        </w:rPr>
        <w:t>已初见成效。做品牌不能只看当下，要有自己内心的坚持。</w:t>
      </w:r>
    </w:p>
    <w:p w14:paraId="6318602C" w14:textId="77777777" w:rsidR="00E372C4" w:rsidRPr="00040E38" w:rsidRDefault="00E372C4" w:rsidP="00E372C4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</w:p>
    <w:p w14:paraId="392E665B" w14:textId="77777777" w:rsidR="00E372C4" w:rsidRPr="00773591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773591">
        <w:rPr>
          <w:rFonts w:ascii="宋体" w:eastAsia="宋体" w:hAnsi="宋体" w:hint="eastAsia"/>
          <w:b/>
          <w:bCs/>
          <w:sz w:val="24"/>
          <w:szCs w:val="24"/>
        </w:rPr>
        <w:t>Q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b/>
          <w:bCs/>
          <w:sz w:val="24"/>
          <w:szCs w:val="24"/>
        </w:rPr>
        <w:t>公司</w:t>
      </w:r>
      <w:r w:rsidRPr="00773591">
        <w:rPr>
          <w:rFonts w:ascii="宋体" w:eastAsia="宋体" w:hAnsi="宋体" w:hint="eastAsia"/>
          <w:b/>
          <w:bCs/>
          <w:sz w:val="24"/>
          <w:szCs w:val="24"/>
        </w:rPr>
        <w:t>在重组胶原蛋白领域有什么规划?</w:t>
      </w:r>
    </w:p>
    <w:p w14:paraId="441979E4" w14:textId="77777777" w:rsidR="00E372C4" w:rsidRDefault="00E372C4" w:rsidP="00E372C4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B5902">
        <w:rPr>
          <w:rFonts w:ascii="宋体" w:eastAsia="宋体" w:hAnsi="宋体" w:hint="eastAsia"/>
          <w:b/>
          <w:bCs/>
          <w:sz w:val="24"/>
          <w:szCs w:val="24"/>
        </w:rPr>
        <w:t>A</w:t>
      </w:r>
      <w:r w:rsidRPr="005B5902">
        <w:rPr>
          <w:rFonts w:ascii="宋体" w:eastAsia="宋体" w:hAnsi="宋体"/>
          <w:b/>
          <w:bCs/>
          <w:sz w:val="24"/>
          <w:szCs w:val="24"/>
        </w:rPr>
        <w:t>:</w:t>
      </w:r>
      <w:r w:rsidRPr="0095131E">
        <w:rPr>
          <w:rFonts w:hint="eastAsia"/>
        </w:rPr>
        <w:t xml:space="preserve"> </w:t>
      </w:r>
      <w:r w:rsidRPr="0095131E">
        <w:rPr>
          <w:rFonts w:ascii="宋体" w:eastAsia="宋体" w:hAnsi="宋体" w:hint="eastAsia"/>
          <w:bCs/>
          <w:sz w:val="24"/>
          <w:szCs w:val="24"/>
        </w:rPr>
        <w:t>重组胶原蛋白是</w:t>
      </w:r>
      <w:r>
        <w:rPr>
          <w:rFonts w:ascii="宋体" w:eastAsia="宋体" w:hAnsi="宋体" w:hint="eastAsia"/>
          <w:bCs/>
          <w:sz w:val="24"/>
          <w:szCs w:val="24"/>
        </w:rPr>
        <w:t>目前</w:t>
      </w:r>
      <w:r w:rsidRPr="0095131E">
        <w:rPr>
          <w:rFonts w:ascii="宋体" w:eastAsia="宋体" w:hAnsi="宋体" w:hint="eastAsia"/>
          <w:bCs/>
          <w:sz w:val="24"/>
          <w:szCs w:val="24"/>
        </w:rPr>
        <w:t>解决皮肤衰老</w:t>
      </w:r>
      <w:r>
        <w:rPr>
          <w:rFonts w:ascii="宋体" w:eastAsia="宋体" w:hAnsi="宋体" w:hint="eastAsia"/>
          <w:bCs/>
          <w:sz w:val="24"/>
          <w:szCs w:val="24"/>
        </w:rPr>
        <w:t>问题的最有效办法</w:t>
      </w:r>
      <w:r w:rsidRPr="0095131E">
        <w:rPr>
          <w:rFonts w:ascii="宋体" w:eastAsia="宋体" w:hAnsi="宋体" w:hint="eastAsia"/>
          <w:bCs/>
          <w:sz w:val="24"/>
          <w:szCs w:val="24"/>
        </w:rPr>
        <w:t>，未来是非常长的赛道。</w:t>
      </w:r>
      <w:r>
        <w:rPr>
          <w:rFonts w:ascii="宋体" w:eastAsia="宋体" w:hAnsi="宋体" w:hint="eastAsia"/>
          <w:bCs/>
          <w:sz w:val="24"/>
          <w:szCs w:val="24"/>
        </w:rPr>
        <w:t>公司</w:t>
      </w:r>
      <w:r w:rsidRPr="0095131E">
        <w:rPr>
          <w:rFonts w:ascii="宋体" w:eastAsia="宋体" w:hAnsi="宋体" w:hint="eastAsia"/>
          <w:bCs/>
          <w:sz w:val="24"/>
          <w:szCs w:val="24"/>
        </w:rPr>
        <w:t>未来重组胶原蛋白的核心竞争力要拉长来看，坚定研发、产品、营销等各维度都会持续投入力量，做大做强。爆发力很重要，但持久力是更为重要的。</w:t>
      </w:r>
    </w:p>
    <w:p w14:paraId="2065E896" w14:textId="7D8DB9FE" w:rsidR="00E372C4" w:rsidRPr="005B5902" w:rsidRDefault="00E372C4" w:rsidP="00E372C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5B5902">
        <w:rPr>
          <w:rFonts w:ascii="宋体" w:eastAsia="宋体" w:hAnsi="宋体" w:hint="eastAsia"/>
          <w:bCs/>
          <w:sz w:val="24"/>
          <w:szCs w:val="24"/>
        </w:rPr>
        <w:t>公司</w:t>
      </w:r>
      <w:r>
        <w:rPr>
          <w:rFonts w:ascii="宋体" w:eastAsia="宋体" w:hAnsi="宋体" w:hint="eastAsia"/>
          <w:bCs/>
          <w:sz w:val="24"/>
          <w:szCs w:val="24"/>
        </w:rPr>
        <w:t>今年9月</w:t>
      </w:r>
      <w:r w:rsidRPr="005B5902">
        <w:rPr>
          <w:rFonts w:ascii="宋体" w:eastAsia="宋体" w:hAnsi="宋体" w:hint="eastAsia"/>
          <w:bCs/>
          <w:sz w:val="24"/>
          <w:szCs w:val="24"/>
        </w:rPr>
        <w:t>举办了第三届丸美重组胶原蛋白年度科学家论坛，展示了在重组胶原蛋白领域的研究和成果</w:t>
      </w:r>
      <w:r>
        <w:rPr>
          <w:rFonts w:ascii="宋体" w:eastAsia="宋体" w:hAnsi="宋体" w:hint="eastAsia"/>
          <w:bCs/>
          <w:sz w:val="24"/>
          <w:szCs w:val="24"/>
        </w:rPr>
        <w:t>，也发布了</w:t>
      </w:r>
      <w:r w:rsidRPr="0095131E">
        <w:rPr>
          <w:rFonts w:ascii="宋体" w:eastAsia="宋体" w:hAnsi="宋体" w:hint="eastAsia"/>
          <w:bCs/>
          <w:sz w:val="24"/>
          <w:szCs w:val="24"/>
        </w:rPr>
        <w:t>重组胶原蛋白医美术后</w:t>
      </w:r>
      <w:r w:rsidRPr="0095131E">
        <w:rPr>
          <w:rFonts w:ascii="宋体" w:eastAsia="宋体" w:hAnsi="宋体"/>
          <w:bCs/>
          <w:sz w:val="24"/>
          <w:szCs w:val="24"/>
        </w:rPr>
        <w:t>面膜</w:t>
      </w:r>
      <w:r>
        <w:rPr>
          <w:rFonts w:ascii="宋体" w:eastAsia="宋体" w:hAnsi="宋体" w:hint="eastAsia"/>
          <w:bCs/>
          <w:sz w:val="24"/>
          <w:szCs w:val="24"/>
        </w:rPr>
        <w:t>和</w:t>
      </w:r>
      <w:r w:rsidR="00237C37">
        <w:rPr>
          <w:rFonts w:ascii="宋体" w:eastAsia="宋体" w:hAnsi="宋体" w:hint="eastAsia"/>
          <w:bCs/>
          <w:sz w:val="24"/>
          <w:szCs w:val="24"/>
        </w:rPr>
        <w:t>修复</w:t>
      </w:r>
      <w:r>
        <w:rPr>
          <w:rFonts w:ascii="宋体" w:eastAsia="宋体" w:hAnsi="宋体" w:hint="eastAsia"/>
          <w:bCs/>
          <w:sz w:val="24"/>
          <w:szCs w:val="24"/>
        </w:rPr>
        <w:t>精华（</w:t>
      </w:r>
      <w:r w:rsidRPr="0095131E">
        <w:rPr>
          <w:rFonts w:ascii="宋体" w:eastAsia="宋体" w:hAnsi="宋体"/>
          <w:bCs/>
          <w:sz w:val="24"/>
          <w:szCs w:val="24"/>
        </w:rPr>
        <w:t>二类医疗器械证</w:t>
      </w:r>
      <w:r w:rsidR="00237C37">
        <w:rPr>
          <w:rFonts w:ascii="宋体" w:eastAsia="宋体" w:hAnsi="宋体" w:hint="eastAsia"/>
          <w:bCs/>
          <w:sz w:val="24"/>
          <w:szCs w:val="24"/>
        </w:rPr>
        <w:t>产品</w:t>
      </w:r>
      <w:r>
        <w:rPr>
          <w:rFonts w:ascii="宋体" w:eastAsia="宋体" w:hAnsi="宋体" w:hint="eastAsia"/>
          <w:bCs/>
          <w:sz w:val="24"/>
          <w:szCs w:val="24"/>
        </w:rPr>
        <w:t>）</w:t>
      </w:r>
      <w:r w:rsidRPr="005B5902">
        <w:rPr>
          <w:rFonts w:ascii="宋体" w:eastAsia="宋体" w:hAnsi="宋体" w:hint="eastAsia"/>
          <w:bCs/>
          <w:sz w:val="24"/>
          <w:szCs w:val="24"/>
        </w:rPr>
        <w:t>。公司</w:t>
      </w:r>
      <w:r>
        <w:rPr>
          <w:rFonts w:ascii="宋体" w:eastAsia="宋体" w:hAnsi="宋体" w:hint="eastAsia"/>
          <w:bCs/>
          <w:sz w:val="24"/>
          <w:szCs w:val="24"/>
        </w:rPr>
        <w:t>有10年的重组胶原蛋白发展蓝图，研究开发等各项工作</w:t>
      </w:r>
      <w:r>
        <w:rPr>
          <w:rFonts w:ascii="宋体" w:eastAsia="宋体" w:hAnsi="宋体" w:hint="eastAsia"/>
          <w:bCs/>
          <w:sz w:val="24"/>
          <w:szCs w:val="24"/>
        </w:rPr>
        <w:lastRenderedPageBreak/>
        <w:t>正按照计划持续</w:t>
      </w:r>
      <w:r w:rsidRPr="005B5902">
        <w:rPr>
          <w:rFonts w:ascii="宋体" w:eastAsia="宋体" w:hAnsi="宋体" w:hint="eastAsia"/>
          <w:bCs/>
          <w:sz w:val="24"/>
          <w:szCs w:val="24"/>
        </w:rPr>
        <w:t>推进</w:t>
      </w:r>
      <w:r>
        <w:rPr>
          <w:rFonts w:ascii="宋体" w:eastAsia="宋体" w:hAnsi="宋体" w:hint="eastAsia"/>
          <w:bCs/>
          <w:sz w:val="24"/>
          <w:szCs w:val="24"/>
        </w:rPr>
        <w:t>。</w:t>
      </w:r>
    </w:p>
    <w:p w14:paraId="00988449" w14:textId="77777777" w:rsidR="00E372C4" w:rsidRPr="005B5902" w:rsidRDefault="00E372C4" w:rsidP="00E372C4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5B5902">
        <w:rPr>
          <w:rFonts w:ascii="宋体" w:eastAsia="宋体" w:hAnsi="宋体" w:hint="eastAsia"/>
          <w:bCs/>
          <w:sz w:val="24"/>
          <w:szCs w:val="24"/>
        </w:rPr>
        <w:t>公司还邀请了法国科学院院士穆里埃</w:t>
      </w:r>
      <w:r>
        <w:rPr>
          <w:rFonts w:ascii="宋体" w:eastAsia="宋体" w:hAnsi="宋体" w:hint="eastAsia"/>
          <w:bCs/>
          <w:sz w:val="24"/>
          <w:szCs w:val="24"/>
        </w:rPr>
        <w:t>先生</w:t>
      </w:r>
      <w:r w:rsidRPr="005B5902">
        <w:rPr>
          <w:rFonts w:ascii="宋体" w:eastAsia="宋体" w:hAnsi="宋体" w:hint="eastAsia"/>
          <w:bCs/>
          <w:sz w:val="24"/>
          <w:szCs w:val="24"/>
        </w:rPr>
        <w:t>作为</w:t>
      </w:r>
      <w:r>
        <w:rPr>
          <w:rFonts w:ascii="宋体" w:eastAsia="宋体" w:hAnsi="宋体" w:hint="eastAsia"/>
          <w:bCs/>
          <w:sz w:val="24"/>
          <w:szCs w:val="24"/>
        </w:rPr>
        <w:t>公司首席科学家，希望借助他</w:t>
      </w:r>
      <w:r w:rsidRPr="005B5902">
        <w:rPr>
          <w:rFonts w:ascii="宋体" w:eastAsia="宋体" w:hAnsi="宋体" w:hint="eastAsia"/>
          <w:bCs/>
          <w:sz w:val="24"/>
          <w:szCs w:val="24"/>
        </w:rPr>
        <w:t>成功</w:t>
      </w:r>
      <w:r>
        <w:rPr>
          <w:rFonts w:ascii="宋体" w:eastAsia="宋体" w:hAnsi="宋体" w:hint="eastAsia"/>
          <w:bCs/>
          <w:sz w:val="24"/>
          <w:szCs w:val="24"/>
        </w:rPr>
        <w:t>的</w:t>
      </w:r>
      <w:r w:rsidRPr="005B5902">
        <w:rPr>
          <w:rFonts w:ascii="宋体" w:eastAsia="宋体" w:hAnsi="宋体" w:hint="eastAsia"/>
          <w:bCs/>
          <w:sz w:val="24"/>
          <w:szCs w:val="24"/>
        </w:rPr>
        <w:t>科学研究方法来拓</w:t>
      </w:r>
      <w:r>
        <w:rPr>
          <w:rFonts w:ascii="宋体" w:eastAsia="宋体" w:hAnsi="宋体" w:hint="eastAsia"/>
          <w:bCs/>
          <w:sz w:val="24"/>
          <w:szCs w:val="24"/>
        </w:rPr>
        <w:t>宽公司的研发边界</w:t>
      </w:r>
      <w:r w:rsidRPr="005B5902">
        <w:rPr>
          <w:rFonts w:ascii="宋体" w:eastAsia="宋体" w:hAnsi="宋体" w:hint="eastAsia"/>
          <w:bCs/>
          <w:sz w:val="24"/>
          <w:szCs w:val="24"/>
        </w:rPr>
        <w:t>。</w:t>
      </w:r>
    </w:p>
    <w:p w14:paraId="76178410" w14:textId="77777777" w:rsidR="00E372C4" w:rsidRPr="00346B34" w:rsidRDefault="00E372C4" w:rsidP="00E372C4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14:paraId="7F3245B5" w14:textId="77777777" w:rsidR="00E372C4" w:rsidRPr="00531A02" w:rsidRDefault="00E372C4" w:rsidP="00E372C4">
      <w:pPr>
        <w:spacing w:line="360" w:lineRule="auto"/>
        <w:ind w:firstLineChars="196" w:firstLine="472"/>
        <w:rPr>
          <w:rFonts w:ascii="宋体" w:eastAsia="宋体" w:hAnsi="宋体"/>
          <w:b/>
          <w:bCs/>
          <w:sz w:val="24"/>
          <w:szCs w:val="24"/>
        </w:rPr>
      </w:pPr>
      <w:r w:rsidRPr="00531A02">
        <w:rPr>
          <w:rFonts w:ascii="宋体" w:eastAsia="宋体" w:hAnsi="宋体"/>
          <w:b/>
          <w:bCs/>
          <w:sz w:val="24"/>
          <w:szCs w:val="24"/>
        </w:rPr>
        <w:t>Q：PL</w:t>
      </w:r>
      <w:r>
        <w:rPr>
          <w:rFonts w:ascii="宋体" w:eastAsia="宋体" w:hAnsi="宋体" w:hint="eastAsia"/>
          <w:b/>
          <w:bCs/>
          <w:sz w:val="24"/>
          <w:szCs w:val="24"/>
        </w:rPr>
        <w:t>恋火的产品策略</w:t>
      </w:r>
      <w:r w:rsidRPr="00531A02">
        <w:rPr>
          <w:rFonts w:ascii="宋体" w:eastAsia="宋体" w:hAnsi="宋体"/>
          <w:b/>
          <w:bCs/>
          <w:sz w:val="24"/>
          <w:szCs w:val="24"/>
        </w:rPr>
        <w:t>？</w:t>
      </w:r>
    </w:p>
    <w:p w14:paraId="46A92BB6" w14:textId="2B078138" w:rsidR="00E372C4" w:rsidRPr="00531A02" w:rsidRDefault="00E372C4" w:rsidP="00E372C4">
      <w:pPr>
        <w:spacing w:line="360" w:lineRule="auto"/>
        <w:ind w:firstLineChars="196" w:firstLine="472"/>
        <w:rPr>
          <w:rFonts w:ascii="宋体" w:eastAsia="宋体" w:hAnsi="宋体"/>
          <w:bCs/>
          <w:sz w:val="24"/>
          <w:szCs w:val="24"/>
        </w:rPr>
      </w:pPr>
      <w:r w:rsidRPr="00531A02">
        <w:rPr>
          <w:rFonts w:ascii="宋体" w:eastAsia="宋体" w:hAnsi="宋体"/>
          <w:b/>
          <w:bCs/>
          <w:sz w:val="24"/>
          <w:szCs w:val="24"/>
        </w:rPr>
        <w:t>A：</w:t>
      </w:r>
      <w:r w:rsidRPr="00531A02">
        <w:rPr>
          <w:rFonts w:ascii="宋体" w:eastAsia="宋体" w:hAnsi="宋体"/>
          <w:bCs/>
          <w:sz w:val="24"/>
          <w:szCs w:val="24"/>
        </w:rPr>
        <w:t>现在PL两条产品线，针对干皮和油皮的看不见和蹭不掉系列，其中每个系列又分为粉底液、妆前乳、气垫、粉霜、遮瑕等等。这两个</w:t>
      </w:r>
      <w:r>
        <w:rPr>
          <w:rFonts w:ascii="宋体" w:eastAsia="宋体" w:hAnsi="宋体" w:hint="eastAsia"/>
          <w:bCs/>
          <w:sz w:val="24"/>
          <w:szCs w:val="24"/>
        </w:rPr>
        <w:t>系列</w:t>
      </w:r>
      <w:r w:rsidRPr="00531A02">
        <w:rPr>
          <w:rFonts w:ascii="宋体" w:eastAsia="宋体" w:hAnsi="宋体"/>
          <w:bCs/>
          <w:sz w:val="24"/>
          <w:szCs w:val="24"/>
        </w:rPr>
        <w:t>我们在今年都做了升级，我们认为底</w:t>
      </w:r>
      <w:r>
        <w:rPr>
          <w:rFonts w:ascii="宋体" w:eastAsia="宋体" w:hAnsi="宋体"/>
          <w:bCs/>
          <w:sz w:val="24"/>
          <w:szCs w:val="24"/>
        </w:rPr>
        <w:t>妆的市场空间很大。我们在每个单个类目只是名列前茅</w:t>
      </w:r>
      <w:r>
        <w:rPr>
          <w:rFonts w:ascii="宋体" w:eastAsia="宋体" w:hAnsi="宋体" w:hint="eastAsia"/>
          <w:bCs/>
          <w:sz w:val="24"/>
          <w:szCs w:val="24"/>
        </w:rPr>
        <w:t>，要努力做到</w:t>
      </w:r>
      <w:r w:rsidR="00DC6A19">
        <w:rPr>
          <w:rFonts w:ascii="宋体" w:eastAsia="宋体" w:hAnsi="宋体" w:hint="eastAsia"/>
          <w:bCs/>
          <w:sz w:val="24"/>
          <w:szCs w:val="24"/>
        </w:rPr>
        <w:t>每个</w:t>
      </w:r>
      <w:r>
        <w:rPr>
          <w:rFonts w:ascii="宋体" w:eastAsia="宋体" w:hAnsi="宋体" w:hint="eastAsia"/>
          <w:bCs/>
          <w:sz w:val="24"/>
          <w:szCs w:val="24"/>
        </w:rPr>
        <w:t>类目</w:t>
      </w:r>
      <w:r w:rsidR="00DC6A19">
        <w:rPr>
          <w:rFonts w:ascii="宋体" w:eastAsia="宋体" w:hAnsi="宋体" w:hint="eastAsia"/>
          <w:bCs/>
          <w:sz w:val="24"/>
          <w:szCs w:val="24"/>
        </w:rPr>
        <w:t>前三</w:t>
      </w:r>
      <w:r w:rsidRPr="00531A02">
        <w:rPr>
          <w:rFonts w:ascii="宋体" w:eastAsia="宋体" w:hAnsi="宋体"/>
          <w:bCs/>
          <w:sz w:val="24"/>
          <w:szCs w:val="24"/>
        </w:rPr>
        <w:t>。</w:t>
      </w:r>
      <w:r>
        <w:rPr>
          <w:rFonts w:ascii="宋体" w:eastAsia="宋体" w:hAnsi="宋体" w:hint="eastAsia"/>
          <w:bCs/>
          <w:sz w:val="24"/>
          <w:szCs w:val="24"/>
        </w:rPr>
        <w:t>品不在多而在</w:t>
      </w:r>
      <w:r w:rsidRPr="00531A02">
        <w:rPr>
          <w:rFonts w:ascii="宋体" w:eastAsia="宋体" w:hAnsi="宋体"/>
          <w:bCs/>
          <w:sz w:val="24"/>
          <w:szCs w:val="24"/>
        </w:rPr>
        <w:t>专精强。PL可能将推出</w:t>
      </w:r>
      <w:r>
        <w:rPr>
          <w:rFonts w:ascii="宋体" w:eastAsia="宋体" w:hAnsi="宋体"/>
          <w:bCs/>
          <w:sz w:val="24"/>
          <w:szCs w:val="24"/>
        </w:rPr>
        <w:t>色彩产品，但重心永远是底妆，</w:t>
      </w:r>
      <w:r>
        <w:rPr>
          <w:rFonts w:ascii="宋体" w:eastAsia="宋体" w:hAnsi="宋体" w:hint="eastAsia"/>
          <w:bCs/>
          <w:sz w:val="24"/>
          <w:szCs w:val="24"/>
        </w:rPr>
        <w:t>坚定</w:t>
      </w:r>
      <w:r w:rsidRPr="00531A02">
        <w:rPr>
          <w:rFonts w:ascii="宋体" w:eastAsia="宋体" w:hAnsi="宋体"/>
          <w:bCs/>
          <w:sz w:val="24"/>
          <w:szCs w:val="24"/>
        </w:rPr>
        <w:t>做底妆第一品牌。</w:t>
      </w:r>
    </w:p>
    <w:p w14:paraId="62FEC1CD" w14:textId="77777777" w:rsidR="00E372C4" w:rsidRDefault="00E372C4" w:rsidP="00E372C4">
      <w:pPr>
        <w:widowControl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625DC9C2" w14:textId="77777777" w:rsidR="00E372C4" w:rsidRDefault="00E372C4" w:rsidP="00E372C4">
      <w:pPr>
        <w:widowControl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br w:type="page"/>
      </w:r>
    </w:p>
    <w:p w14:paraId="43121415" w14:textId="77777777" w:rsidR="00E372C4" w:rsidRDefault="00E372C4" w:rsidP="00E372C4">
      <w:pPr>
        <w:pStyle w:val="Default"/>
        <w:spacing w:beforeLines="100" w:before="240" w:afterLines="50" w:after="120" w:line="360" w:lineRule="auto"/>
        <w:jc w:val="both"/>
      </w:pPr>
      <w:r w:rsidRPr="00880867">
        <w:rPr>
          <w:rFonts w:hint="eastAsia"/>
        </w:rPr>
        <w:lastRenderedPageBreak/>
        <w:t>附件：参会机构清单（排名不分先后）</w:t>
      </w:r>
    </w:p>
    <w:tbl>
      <w:tblPr>
        <w:tblW w:w="8804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3"/>
        <w:gridCol w:w="2087"/>
        <w:gridCol w:w="2714"/>
      </w:tblGrid>
      <w:tr w:rsidR="00E372C4" w:rsidRPr="008F1405" w14:paraId="71971D94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2799461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申万宏源证券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3E22BFB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首创证券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56229844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浙商证券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0838440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万联证券</w:t>
            </w:r>
          </w:p>
        </w:tc>
      </w:tr>
      <w:tr w:rsidR="00E372C4" w:rsidRPr="008F1405" w14:paraId="2684CB1D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4D56B0D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11CA647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西部证券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1C7C426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中泰证券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660D47B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中信证券</w:t>
            </w:r>
          </w:p>
        </w:tc>
      </w:tr>
      <w:tr w:rsidR="00E372C4" w:rsidRPr="008F1405" w14:paraId="58B65295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4F70E1A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国联证券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388D1CB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西南证券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1893143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中国国际金融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D7B27E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方正证券</w:t>
            </w:r>
          </w:p>
        </w:tc>
      </w:tr>
      <w:tr w:rsidR="00E372C4" w:rsidRPr="008F1405" w14:paraId="646774B6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658B088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开源证券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21D2FA30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华创证券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35D4C06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安信证券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3DE7104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中国银河证券</w:t>
            </w:r>
          </w:p>
        </w:tc>
      </w:tr>
      <w:tr w:rsidR="00E372C4" w:rsidRPr="008F1405" w14:paraId="149C2DD7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6FF567E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国盛证券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34A0A19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摩根士丹利证券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116454C2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长江证券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11458B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瑞银证券</w:t>
            </w:r>
          </w:p>
        </w:tc>
      </w:tr>
      <w:tr w:rsidR="00E372C4" w:rsidRPr="008F1405" w14:paraId="25A05F81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46973DE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东方证券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332F0550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东方财富证券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2DEB969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国泰君安证券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41FD1877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招商证券</w:t>
            </w:r>
          </w:p>
        </w:tc>
      </w:tr>
      <w:tr w:rsidR="00E372C4" w:rsidRPr="008F1405" w14:paraId="0E70331F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147C9C47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东亚前海证券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0B83FD0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财通证券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618FAA7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海通证券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F8BBA1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中邮证券</w:t>
            </w:r>
          </w:p>
        </w:tc>
      </w:tr>
      <w:tr w:rsidR="00E372C4" w:rsidRPr="008F1405" w14:paraId="286955D0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0165E96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东兴证券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3DB7F6A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东吴证券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557E1D2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兴业证券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6231B7E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天风证券</w:t>
            </w:r>
          </w:p>
        </w:tc>
      </w:tr>
      <w:tr w:rsidR="00E372C4" w:rsidRPr="008F1405" w14:paraId="6905F6AE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6C0DE32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华泰证券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6BD134A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国元证券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53DDB58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光大证券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7B899AD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国海证券</w:t>
            </w:r>
          </w:p>
        </w:tc>
      </w:tr>
      <w:tr w:rsidR="00E372C4" w:rsidRPr="008F1405" w14:paraId="149B119B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24D5637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东北证券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2956193C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国信证券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6712EB6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信达证券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BDEFCF4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国金证券</w:t>
            </w:r>
          </w:p>
        </w:tc>
      </w:tr>
      <w:tr w:rsidR="00E372C4" w:rsidRPr="008F1405" w14:paraId="61091501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1BFF2F8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民生证券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27CF9ED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深圳凯丰投资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630E8D67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上海涌乐私募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405391B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银河国际证券</w:t>
            </w:r>
          </w:p>
        </w:tc>
      </w:tr>
      <w:tr w:rsidR="00E372C4" w:rsidRPr="008F1405" w14:paraId="1CCFE062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3477C22C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广发证券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7160E0A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鸿运私募基金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2C97829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上海明河投资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4B79DAE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本营国际</w:t>
            </w:r>
          </w:p>
        </w:tc>
      </w:tr>
      <w:tr w:rsidR="00E372C4" w:rsidRPr="008F1405" w14:paraId="59571C66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6DDFCAD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甬兴证券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3D769A7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深圳兴亿投资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0A11803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珠海怀远基金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C704014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中国银河国际</w:t>
            </w:r>
          </w:p>
        </w:tc>
      </w:tr>
      <w:tr w:rsidR="00E372C4" w:rsidRPr="008F1405" w14:paraId="54A4D0A5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7DE96CC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华宝证券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7EFF6542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深圳瑞文私募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26DC9A20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理成资管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78118EE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中信期货</w:t>
            </w:r>
          </w:p>
        </w:tc>
      </w:tr>
      <w:tr w:rsidR="00E372C4" w:rsidRPr="008F1405" w14:paraId="6630F142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51E52CC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中信建投证券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5FF371C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华美国际投资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1961EFC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浙江沁源私募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D38C6D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汇百川基金</w:t>
            </w:r>
          </w:p>
        </w:tc>
      </w:tr>
      <w:tr w:rsidR="00E372C4" w:rsidRPr="008F1405" w14:paraId="5D25DBBC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hideMark/>
          </w:tcPr>
          <w:p w14:paraId="7EA451E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朱雀基金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14:paraId="00E8195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淡水泉</w:t>
            </w:r>
          </w:p>
        </w:tc>
        <w:tc>
          <w:tcPr>
            <w:tcW w:w="2087" w:type="dxa"/>
            <w:shd w:val="clear" w:color="auto" w:fill="auto"/>
            <w:noWrap/>
            <w:hideMark/>
          </w:tcPr>
          <w:p w14:paraId="631FE3A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上海摩旗投资</w:t>
            </w:r>
          </w:p>
        </w:tc>
        <w:tc>
          <w:tcPr>
            <w:tcW w:w="2714" w:type="dxa"/>
            <w:shd w:val="clear" w:color="auto" w:fill="auto"/>
            <w:noWrap/>
            <w:hideMark/>
          </w:tcPr>
          <w:p w14:paraId="596D9CD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深圳新高投资</w:t>
            </w:r>
          </w:p>
        </w:tc>
      </w:tr>
      <w:tr w:rsidR="00E372C4" w:rsidRPr="008F1405" w14:paraId="4C3C7F80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106BA50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中海基金</w:t>
            </w:r>
          </w:p>
        </w:tc>
        <w:tc>
          <w:tcPr>
            <w:tcW w:w="2003" w:type="dxa"/>
            <w:shd w:val="clear" w:color="auto" w:fill="auto"/>
            <w:noWrap/>
          </w:tcPr>
          <w:p w14:paraId="0CA695F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上海致畅投资</w:t>
            </w:r>
          </w:p>
        </w:tc>
        <w:tc>
          <w:tcPr>
            <w:tcW w:w="2087" w:type="dxa"/>
            <w:shd w:val="clear" w:color="auto" w:fill="auto"/>
            <w:noWrap/>
          </w:tcPr>
          <w:p w14:paraId="6DD42D2C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武汉山水私募基金</w:t>
            </w:r>
          </w:p>
        </w:tc>
        <w:tc>
          <w:tcPr>
            <w:tcW w:w="2714" w:type="dxa"/>
            <w:shd w:val="clear" w:color="auto" w:fill="auto"/>
            <w:noWrap/>
          </w:tcPr>
          <w:p w14:paraId="7FD5E844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上海顶天投资</w:t>
            </w:r>
          </w:p>
        </w:tc>
      </w:tr>
      <w:tr w:rsidR="00E372C4" w:rsidRPr="008F1405" w14:paraId="599CFACB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47F422A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新疆前海联合基金</w:t>
            </w:r>
          </w:p>
        </w:tc>
        <w:tc>
          <w:tcPr>
            <w:tcW w:w="2003" w:type="dxa"/>
            <w:shd w:val="clear" w:color="auto" w:fill="auto"/>
            <w:noWrap/>
          </w:tcPr>
          <w:p w14:paraId="7BE20947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健顺投资</w:t>
            </w:r>
          </w:p>
        </w:tc>
        <w:tc>
          <w:tcPr>
            <w:tcW w:w="2087" w:type="dxa"/>
            <w:shd w:val="clear" w:color="auto" w:fill="auto"/>
            <w:noWrap/>
          </w:tcPr>
          <w:p w14:paraId="298AD3D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名禹资管</w:t>
            </w:r>
          </w:p>
        </w:tc>
        <w:tc>
          <w:tcPr>
            <w:tcW w:w="2714" w:type="dxa"/>
            <w:shd w:val="clear" w:color="auto" w:fill="auto"/>
            <w:noWrap/>
          </w:tcPr>
          <w:p w14:paraId="4DEEB4D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郑州智子投资</w:t>
            </w:r>
          </w:p>
        </w:tc>
      </w:tr>
      <w:tr w:rsidR="00E372C4" w:rsidRPr="008F1405" w14:paraId="428C3F2A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764E114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路博迈基金</w:t>
            </w:r>
          </w:p>
        </w:tc>
        <w:tc>
          <w:tcPr>
            <w:tcW w:w="2003" w:type="dxa"/>
            <w:shd w:val="clear" w:color="auto" w:fill="auto"/>
            <w:noWrap/>
          </w:tcPr>
          <w:p w14:paraId="2BFA3207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鸿竹资管</w:t>
            </w:r>
          </w:p>
        </w:tc>
        <w:tc>
          <w:tcPr>
            <w:tcW w:w="2087" w:type="dxa"/>
            <w:shd w:val="clear" w:color="auto" w:fill="auto"/>
            <w:noWrap/>
          </w:tcPr>
          <w:p w14:paraId="385E10D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泾谷私募</w:t>
            </w:r>
          </w:p>
        </w:tc>
        <w:tc>
          <w:tcPr>
            <w:tcW w:w="2714" w:type="dxa"/>
            <w:shd w:val="clear" w:color="auto" w:fill="auto"/>
            <w:noWrap/>
          </w:tcPr>
          <w:p w14:paraId="0BB89080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长安汇通</w:t>
            </w:r>
            <w:r w:rsidRPr="008F1405">
              <w:rPr>
                <w:rFonts w:ascii="宋体" w:eastAsia="宋体" w:hAnsi="宋体"/>
                <w:szCs w:val="21"/>
              </w:rPr>
              <w:t>投资</w:t>
            </w:r>
          </w:p>
        </w:tc>
      </w:tr>
      <w:tr w:rsidR="00E372C4" w:rsidRPr="008F1405" w14:paraId="2613D0FC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195FFEBC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中航基金</w:t>
            </w:r>
          </w:p>
        </w:tc>
        <w:tc>
          <w:tcPr>
            <w:tcW w:w="2003" w:type="dxa"/>
            <w:shd w:val="clear" w:color="auto" w:fill="auto"/>
            <w:noWrap/>
          </w:tcPr>
          <w:p w14:paraId="12BC28EC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福建泽源资管</w:t>
            </w:r>
          </w:p>
        </w:tc>
        <w:tc>
          <w:tcPr>
            <w:tcW w:w="2087" w:type="dxa"/>
            <w:shd w:val="clear" w:color="auto" w:fill="auto"/>
            <w:noWrap/>
          </w:tcPr>
          <w:p w14:paraId="577AA92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天贝合资管</w:t>
            </w:r>
          </w:p>
        </w:tc>
        <w:tc>
          <w:tcPr>
            <w:tcW w:w="2714" w:type="dxa"/>
            <w:shd w:val="clear" w:color="auto" w:fill="auto"/>
            <w:noWrap/>
          </w:tcPr>
          <w:p w14:paraId="17B8C2B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高腾国际</w:t>
            </w:r>
          </w:p>
        </w:tc>
      </w:tr>
      <w:tr w:rsidR="00E372C4" w:rsidRPr="008F1405" w14:paraId="11514976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614524D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大成基金</w:t>
            </w:r>
          </w:p>
        </w:tc>
        <w:tc>
          <w:tcPr>
            <w:tcW w:w="2003" w:type="dxa"/>
            <w:shd w:val="clear" w:color="auto" w:fill="auto"/>
            <w:noWrap/>
          </w:tcPr>
          <w:p w14:paraId="34A34F6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相生资管</w:t>
            </w:r>
          </w:p>
        </w:tc>
        <w:tc>
          <w:tcPr>
            <w:tcW w:w="2087" w:type="dxa"/>
            <w:shd w:val="clear" w:color="auto" w:fill="auto"/>
            <w:noWrap/>
          </w:tcPr>
          <w:p w14:paraId="78291F1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泰康资管</w:t>
            </w:r>
          </w:p>
        </w:tc>
        <w:tc>
          <w:tcPr>
            <w:tcW w:w="2714" w:type="dxa"/>
            <w:shd w:val="clear" w:color="auto" w:fill="auto"/>
            <w:noWrap/>
          </w:tcPr>
          <w:p w14:paraId="5C99BF6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广东佳润实业</w:t>
            </w:r>
          </w:p>
        </w:tc>
      </w:tr>
      <w:tr w:rsidR="00E372C4" w:rsidRPr="008F1405" w14:paraId="3EBEA1B6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767BE252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西部利得基金</w:t>
            </w:r>
          </w:p>
        </w:tc>
        <w:tc>
          <w:tcPr>
            <w:tcW w:w="2003" w:type="dxa"/>
            <w:shd w:val="clear" w:color="auto" w:fill="auto"/>
            <w:noWrap/>
          </w:tcPr>
          <w:p w14:paraId="09A6554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尚诚资管</w:t>
            </w:r>
          </w:p>
        </w:tc>
        <w:tc>
          <w:tcPr>
            <w:tcW w:w="2087" w:type="dxa"/>
            <w:shd w:val="clear" w:color="auto" w:fill="auto"/>
            <w:noWrap/>
          </w:tcPr>
          <w:p w14:paraId="4D23725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中银三星保险</w:t>
            </w:r>
          </w:p>
        </w:tc>
        <w:tc>
          <w:tcPr>
            <w:tcW w:w="2714" w:type="dxa"/>
            <w:shd w:val="clear" w:color="auto" w:fill="auto"/>
            <w:noWrap/>
          </w:tcPr>
          <w:p w14:paraId="63E7629A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恒泰盈沃资产</w:t>
            </w:r>
          </w:p>
        </w:tc>
      </w:tr>
      <w:tr w:rsidR="00E372C4" w:rsidRPr="008F1405" w14:paraId="0D4BB3B8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324E8EF2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中信保诚基金</w:t>
            </w:r>
          </w:p>
        </w:tc>
        <w:tc>
          <w:tcPr>
            <w:tcW w:w="2003" w:type="dxa"/>
            <w:shd w:val="clear" w:color="auto" w:fill="auto"/>
            <w:noWrap/>
          </w:tcPr>
          <w:p w14:paraId="0ACEACD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上海荟金私募</w:t>
            </w:r>
          </w:p>
        </w:tc>
        <w:tc>
          <w:tcPr>
            <w:tcW w:w="2087" w:type="dxa"/>
            <w:shd w:val="clear" w:color="auto" w:fill="auto"/>
            <w:noWrap/>
          </w:tcPr>
          <w:p w14:paraId="35CA50A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盛博香港</w:t>
            </w:r>
          </w:p>
        </w:tc>
        <w:tc>
          <w:tcPr>
            <w:tcW w:w="2714" w:type="dxa"/>
            <w:shd w:val="clear" w:color="auto" w:fill="auto"/>
            <w:noWrap/>
          </w:tcPr>
          <w:p w14:paraId="2D861E7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兴海荣投资</w:t>
            </w:r>
          </w:p>
        </w:tc>
      </w:tr>
      <w:tr w:rsidR="00E372C4" w:rsidRPr="008F1405" w14:paraId="3D6B1367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2C3A505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富国基金</w:t>
            </w:r>
          </w:p>
        </w:tc>
        <w:tc>
          <w:tcPr>
            <w:tcW w:w="2003" w:type="dxa"/>
            <w:shd w:val="clear" w:color="auto" w:fill="auto"/>
            <w:noWrap/>
          </w:tcPr>
          <w:p w14:paraId="54280F4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深圳善道投资</w:t>
            </w:r>
          </w:p>
        </w:tc>
        <w:tc>
          <w:tcPr>
            <w:tcW w:w="2087" w:type="dxa"/>
            <w:shd w:val="clear" w:color="auto" w:fill="auto"/>
            <w:noWrap/>
          </w:tcPr>
          <w:p w14:paraId="1FDF57E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麦格理证券</w:t>
            </w:r>
          </w:p>
        </w:tc>
        <w:tc>
          <w:tcPr>
            <w:tcW w:w="2714" w:type="dxa"/>
            <w:shd w:val="clear" w:color="auto" w:fill="auto"/>
            <w:noWrap/>
          </w:tcPr>
          <w:p w14:paraId="563B5650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紫金矿业投资</w:t>
            </w:r>
          </w:p>
        </w:tc>
      </w:tr>
      <w:tr w:rsidR="00E372C4" w:rsidRPr="008F1405" w14:paraId="10DCB8CF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4FD4362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中信建投基金</w:t>
            </w:r>
          </w:p>
        </w:tc>
        <w:tc>
          <w:tcPr>
            <w:tcW w:w="2003" w:type="dxa"/>
            <w:shd w:val="clear" w:color="auto" w:fill="auto"/>
            <w:noWrap/>
          </w:tcPr>
          <w:p w14:paraId="1B2F3B6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深圳山石私募</w:t>
            </w:r>
          </w:p>
        </w:tc>
        <w:tc>
          <w:tcPr>
            <w:tcW w:w="2087" w:type="dxa"/>
            <w:shd w:val="clear" w:color="auto" w:fill="auto"/>
            <w:noWrap/>
          </w:tcPr>
          <w:p w14:paraId="7E07D80E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摩根士丹利亚洲</w:t>
            </w:r>
          </w:p>
        </w:tc>
        <w:tc>
          <w:tcPr>
            <w:tcW w:w="2714" w:type="dxa"/>
            <w:shd w:val="clear" w:color="auto" w:fill="auto"/>
            <w:noWrap/>
          </w:tcPr>
          <w:p w14:paraId="0DF87CE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颢科私募基金</w:t>
            </w:r>
          </w:p>
        </w:tc>
      </w:tr>
      <w:tr w:rsidR="00E372C4" w:rsidRPr="008F1405" w14:paraId="633ABB20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7EAA9F95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华宝基金</w:t>
            </w:r>
          </w:p>
        </w:tc>
        <w:tc>
          <w:tcPr>
            <w:tcW w:w="2003" w:type="dxa"/>
            <w:shd w:val="clear" w:color="auto" w:fill="auto"/>
            <w:noWrap/>
          </w:tcPr>
          <w:p w14:paraId="72B914C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同犇</w:t>
            </w:r>
          </w:p>
        </w:tc>
        <w:tc>
          <w:tcPr>
            <w:tcW w:w="2087" w:type="dxa"/>
            <w:shd w:val="clear" w:color="auto" w:fill="auto"/>
            <w:noWrap/>
          </w:tcPr>
          <w:p w14:paraId="415F2E0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里昂证券</w:t>
            </w:r>
          </w:p>
        </w:tc>
        <w:tc>
          <w:tcPr>
            <w:tcW w:w="2714" w:type="dxa"/>
            <w:shd w:val="clear" w:color="auto" w:fill="auto"/>
            <w:noWrap/>
          </w:tcPr>
          <w:p w14:paraId="7B756F4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上海牛乎</w:t>
            </w:r>
          </w:p>
        </w:tc>
      </w:tr>
      <w:tr w:rsidR="00E372C4" w:rsidRPr="008F1405" w14:paraId="317D10D5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5F29ADA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先锋基金</w:t>
            </w:r>
          </w:p>
        </w:tc>
        <w:tc>
          <w:tcPr>
            <w:tcW w:w="2003" w:type="dxa"/>
            <w:shd w:val="clear" w:color="auto" w:fill="auto"/>
            <w:noWrap/>
          </w:tcPr>
          <w:p w14:paraId="5CF73F7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上海臻宜投资</w:t>
            </w:r>
          </w:p>
        </w:tc>
        <w:tc>
          <w:tcPr>
            <w:tcW w:w="2087" w:type="dxa"/>
            <w:shd w:val="clear" w:color="auto" w:fill="auto"/>
            <w:noWrap/>
          </w:tcPr>
          <w:p w14:paraId="1449F49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睿思资本</w:t>
            </w:r>
          </w:p>
        </w:tc>
        <w:tc>
          <w:tcPr>
            <w:tcW w:w="2714" w:type="dxa"/>
            <w:shd w:val="clear" w:color="auto" w:fill="auto"/>
            <w:noWrap/>
          </w:tcPr>
          <w:p w14:paraId="74385E0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上海申银万国</w:t>
            </w:r>
          </w:p>
        </w:tc>
      </w:tr>
      <w:tr w:rsidR="00E372C4" w:rsidRPr="008F1405" w14:paraId="260CB1E4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25FB9BD0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长安基金</w:t>
            </w:r>
          </w:p>
        </w:tc>
        <w:tc>
          <w:tcPr>
            <w:tcW w:w="2003" w:type="dxa"/>
            <w:shd w:val="clear" w:color="auto" w:fill="auto"/>
            <w:noWrap/>
          </w:tcPr>
          <w:p w14:paraId="40954BA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北京源乐晟资</w:t>
            </w:r>
          </w:p>
        </w:tc>
        <w:tc>
          <w:tcPr>
            <w:tcW w:w="2087" w:type="dxa"/>
            <w:shd w:val="clear" w:color="auto" w:fill="auto"/>
            <w:noWrap/>
          </w:tcPr>
          <w:p w14:paraId="3A83743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proofErr w:type="spellStart"/>
            <w:r w:rsidRPr="008F1405">
              <w:rPr>
                <w:rFonts w:ascii="宋体" w:eastAsia="宋体" w:hAnsi="宋体"/>
                <w:szCs w:val="21"/>
              </w:rPr>
              <w:t>Valliance</w:t>
            </w:r>
            <w:proofErr w:type="spellEnd"/>
            <w:r w:rsidRPr="008F1405">
              <w:rPr>
                <w:rFonts w:ascii="宋体" w:eastAsia="宋体" w:hAnsi="宋体"/>
                <w:szCs w:val="21"/>
              </w:rPr>
              <w:t xml:space="preserve"> Asset</w:t>
            </w:r>
          </w:p>
        </w:tc>
        <w:tc>
          <w:tcPr>
            <w:tcW w:w="2714" w:type="dxa"/>
            <w:shd w:val="clear" w:color="auto" w:fill="auto"/>
            <w:noWrap/>
            <w:vAlign w:val="center"/>
          </w:tcPr>
          <w:p w14:paraId="600E7789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佛山东盈投资</w:t>
            </w:r>
          </w:p>
        </w:tc>
      </w:tr>
      <w:tr w:rsidR="00E372C4" w:rsidRPr="008F1405" w14:paraId="3985BAEE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  <w:vAlign w:val="center"/>
          </w:tcPr>
          <w:p w14:paraId="5011399D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北京百镕投资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3FDC284F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尚雅投资</w:t>
            </w:r>
          </w:p>
        </w:tc>
        <w:tc>
          <w:tcPr>
            <w:tcW w:w="2087" w:type="dxa"/>
            <w:shd w:val="clear" w:color="auto" w:fill="auto"/>
            <w:noWrap/>
            <w:vAlign w:val="center"/>
          </w:tcPr>
          <w:p w14:paraId="7C03243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/>
                <w:szCs w:val="21"/>
              </w:rPr>
              <w:t>Acuity Knowledge Partners</w:t>
            </w:r>
          </w:p>
        </w:tc>
        <w:tc>
          <w:tcPr>
            <w:tcW w:w="2714" w:type="dxa"/>
            <w:shd w:val="clear" w:color="auto" w:fill="auto"/>
            <w:noWrap/>
          </w:tcPr>
          <w:p w14:paraId="1F91DAD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深圳市加零科技</w:t>
            </w:r>
          </w:p>
        </w:tc>
      </w:tr>
      <w:tr w:rsidR="00E372C4" w:rsidRPr="008F1405" w14:paraId="36749B79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5A611F37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复胜资管</w:t>
            </w:r>
          </w:p>
        </w:tc>
        <w:tc>
          <w:tcPr>
            <w:tcW w:w="2003" w:type="dxa"/>
            <w:shd w:val="clear" w:color="auto" w:fill="auto"/>
            <w:noWrap/>
          </w:tcPr>
          <w:p w14:paraId="5AF76A4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上海丹羿资管</w:t>
            </w:r>
          </w:p>
        </w:tc>
        <w:tc>
          <w:tcPr>
            <w:tcW w:w="2087" w:type="dxa"/>
            <w:shd w:val="clear" w:color="auto" w:fill="auto"/>
            <w:noWrap/>
          </w:tcPr>
          <w:p w14:paraId="60B42151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方瀛</w:t>
            </w:r>
          </w:p>
        </w:tc>
        <w:tc>
          <w:tcPr>
            <w:tcW w:w="2714" w:type="dxa"/>
            <w:shd w:val="clear" w:color="auto" w:fill="auto"/>
            <w:noWrap/>
          </w:tcPr>
          <w:p w14:paraId="796F1B3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/>
                <w:szCs w:val="21"/>
              </w:rPr>
              <w:t>AB Bernstein</w:t>
            </w:r>
          </w:p>
        </w:tc>
      </w:tr>
      <w:tr w:rsidR="00E372C4" w:rsidRPr="008F1405" w14:paraId="73FEFCD8" w14:textId="77777777" w:rsidTr="005E7A48">
        <w:trPr>
          <w:trHeight w:val="340"/>
        </w:trPr>
        <w:tc>
          <w:tcPr>
            <w:tcW w:w="2000" w:type="dxa"/>
            <w:shd w:val="clear" w:color="auto" w:fill="auto"/>
            <w:noWrap/>
          </w:tcPr>
          <w:p w14:paraId="327D4028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国盈资本</w:t>
            </w:r>
          </w:p>
        </w:tc>
        <w:tc>
          <w:tcPr>
            <w:tcW w:w="2003" w:type="dxa"/>
            <w:shd w:val="clear" w:color="auto" w:fill="auto"/>
            <w:noWrap/>
          </w:tcPr>
          <w:p w14:paraId="0A131826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深积资管</w:t>
            </w:r>
          </w:p>
        </w:tc>
        <w:tc>
          <w:tcPr>
            <w:tcW w:w="2087" w:type="dxa"/>
            <w:shd w:val="clear" w:color="auto" w:fill="auto"/>
            <w:noWrap/>
          </w:tcPr>
          <w:p w14:paraId="19922693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成都启铭辰拓</w:t>
            </w:r>
          </w:p>
        </w:tc>
        <w:tc>
          <w:tcPr>
            <w:tcW w:w="2714" w:type="dxa"/>
            <w:shd w:val="clear" w:color="auto" w:fill="auto"/>
            <w:noWrap/>
          </w:tcPr>
          <w:p w14:paraId="16DE94CB" w14:textId="77777777" w:rsidR="00E372C4" w:rsidRPr="008F1405" w:rsidRDefault="00E372C4" w:rsidP="005E7A48">
            <w:pPr>
              <w:jc w:val="center"/>
              <w:rPr>
                <w:rFonts w:ascii="宋体" w:eastAsia="宋体" w:hAnsi="宋体"/>
                <w:szCs w:val="21"/>
              </w:rPr>
            </w:pPr>
            <w:r w:rsidRPr="008F1405">
              <w:rPr>
                <w:rFonts w:ascii="宋体" w:eastAsia="宋体" w:hAnsi="宋体" w:hint="eastAsia"/>
                <w:szCs w:val="21"/>
              </w:rPr>
              <w:t>兴证集团成员单位</w:t>
            </w:r>
          </w:p>
        </w:tc>
      </w:tr>
    </w:tbl>
    <w:p w14:paraId="1836E727" w14:textId="77777777" w:rsidR="00E372C4" w:rsidRDefault="00E372C4" w:rsidP="00E372C4">
      <w:pPr>
        <w:pStyle w:val="Default"/>
        <w:spacing w:line="360" w:lineRule="auto"/>
        <w:jc w:val="both"/>
      </w:pPr>
    </w:p>
    <w:p w14:paraId="0D4E803D" w14:textId="77777777" w:rsidR="00E372C4" w:rsidRDefault="00E372C4" w:rsidP="00E372C4">
      <w:pPr>
        <w:pStyle w:val="Default"/>
        <w:spacing w:line="360" w:lineRule="auto"/>
        <w:jc w:val="both"/>
      </w:pPr>
    </w:p>
    <w:p w14:paraId="70391A8A" w14:textId="2233AB88" w:rsidR="006A6506" w:rsidRPr="00F651FD" w:rsidRDefault="006A6506" w:rsidP="00111935">
      <w:pPr>
        <w:pStyle w:val="Default"/>
      </w:pPr>
    </w:p>
    <w:sectPr w:rsidR="006A6506" w:rsidRPr="00F651FD" w:rsidSect="00F55EC1">
      <w:headerReference w:type="default" r:id="rId8"/>
      <w:pgSz w:w="11907" w:h="16840" w:code="9"/>
      <w:pgMar w:top="2127" w:right="1525" w:bottom="1440" w:left="1684" w:header="12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DC62" w14:textId="77777777" w:rsidR="002208F2" w:rsidRDefault="002208F2" w:rsidP="00940708">
      <w:r>
        <w:separator/>
      </w:r>
    </w:p>
  </w:endnote>
  <w:endnote w:type="continuationSeparator" w:id="0">
    <w:p w14:paraId="144C7057" w14:textId="77777777" w:rsidR="002208F2" w:rsidRDefault="002208F2" w:rsidP="009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B324" w14:textId="77777777" w:rsidR="002208F2" w:rsidRDefault="002208F2" w:rsidP="00940708">
      <w:r>
        <w:separator/>
      </w:r>
    </w:p>
  </w:footnote>
  <w:footnote w:type="continuationSeparator" w:id="0">
    <w:p w14:paraId="6C36BFF9" w14:textId="77777777" w:rsidR="002208F2" w:rsidRDefault="002208F2" w:rsidP="0094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64CD" w14:textId="77777777" w:rsidR="00E06D5E" w:rsidRDefault="00E06D5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C1CD1" wp14:editId="016A4DBB">
          <wp:simplePos x="0" y="0"/>
          <wp:positionH relativeFrom="column">
            <wp:posOffset>4274185</wp:posOffset>
          </wp:positionH>
          <wp:positionV relativeFrom="paragraph">
            <wp:posOffset>-257810</wp:posOffset>
          </wp:positionV>
          <wp:extent cx="1257300" cy="466725"/>
          <wp:effectExtent l="0" t="0" r="0" b="0"/>
          <wp:wrapNone/>
          <wp:docPr id="1" name="图片 1" descr="丸美新logo 2015(1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丸美新logo 2015(1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03" cy="46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2975"/>
    <w:multiLevelType w:val="hybridMultilevel"/>
    <w:tmpl w:val="62666FB0"/>
    <w:lvl w:ilvl="0" w:tplc="70C0E81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2150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708"/>
    <w:rsid w:val="000158A2"/>
    <w:rsid w:val="00015E22"/>
    <w:rsid w:val="0002121E"/>
    <w:rsid w:val="0002156A"/>
    <w:rsid w:val="0002655B"/>
    <w:rsid w:val="00031E83"/>
    <w:rsid w:val="00034539"/>
    <w:rsid w:val="000372EF"/>
    <w:rsid w:val="00040B44"/>
    <w:rsid w:val="00052482"/>
    <w:rsid w:val="00057099"/>
    <w:rsid w:val="00057C18"/>
    <w:rsid w:val="00060BFD"/>
    <w:rsid w:val="00075752"/>
    <w:rsid w:val="000909BF"/>
    <w:rsid w:val="00090DBE"/>
    <w:rsid w:val="0009159F"/>
    <w:rsid w:val="000923AF"/>
    <w:rsid w:val="00093E29"/>
    <w:rsid w:val="000B7F01"/>
    <w:rsid w:val="000C46F3"/>
    <w:rsid w:val="000D2B14"/>
    <w:rsid w:val="000E03DC"/>
    <w:rsid w:val="000E1AE8"/>
    <w:rsid w:val="000E66BC"/>
    <w:rsid w:val="000F03CD"/>
    <w:rsid w:val="0010339A"/>
    <w:rsid w:val="00106747"/>
    <w:rsid w:val="00106C8D"/>
    <w:rsid w:val="00110FB6"/>
    <w:rsid w:val="00111935"/>
    <w:rsid w:val="001140F7"/>
    <w:rsid w:val="00125226"/>
    <w:rsid w:val="00147409"/>
    <w:rsid w:val="00152239"/>
    <w:rsid w:val="00155BE3"/>
    <w:rsid w:val="00171019"/>
    <w:rsid w:val="00175562"/>
    <w:rsid w:val="001867B2"/>
    <w:rsid w:val="00186E8A"/>
    <w:rsid w:val="00191B10"/>
    <w:rsid w:val="001A189F"/>
    <w:rsid w:val="001B1196"/>
    <w:rsid w:val="001C1730"/>
    <w:rsid w:val="001C2721"/>
    <w:rsid w:val="001C3619"/>
    <w:rsid w:val="001C78D4"/>
    <w:rsid w:val="001E120C"/>
    <w:rsid w:val="001E2533"/>
    <w:rsid w:val="001F70E3"/>
    <w:rsid w:val="001F7D76"/>
    <w:rsid w:val="00200276"/>
    <w:rsid w:val="002025A5"/>
    <w:rsid w:val="002110BC"/>
    <w:rsid w:val="002208F2"/>
    <w:rsid w:val="0022606C"/>
    <w:rsid w:val="002332E2"/>
    <w:rsid w:val="00237C37"/>
    <w:rsid w:val="00241A12"/>
    <w:rsid w:val="00241F0D"/>
    <w:rsid w:val="0024528C"/>
    <w:rsid w:val="002536BF"/>
    <w:rsid w:val="00256D21"/>
    <w:rsid w:val="0027123C"/>
    <w:rsid w:val="00274749"/>
    <w:rsid w:val="00277803"/>
    <w:rsid w:val="00277AD7"/>
    <w:rsid w:val="00280303"/>
    <w:rsid w:val="00284866"/>
    <w:rsid w:val="002921BA"/>
    <w:rsid w:val="002A272A"/>
    <w:rsid w:val="002A3272"/>
    <w:rsid w:val="002B59E1"/>
    <w:rsid w:val="002E0A68"/>
    <w:rsid w:val="002E382E"/>
    <w:rsid w:val="002F1705"/>
    <w:rsid w:val="00300F32"/>
    <w:rsid w:val="00305802"/>
    <w:rsid w:val="0031341E"/>
    <w:rsid w:val="0031487E"/>
    <w:rsid w:val="00317E5A"/>
    <w:rsid w:val="003208F8"/>
    <w:rsid w:val="0032155B"/>
    <w:rsid w:val="00327015"/>
    <w:rsid w:val="003303CF"/>
    <w:rsid w:val="00330664"/>
    <w:rsid w:val="00330931"/>
    <w:rsid w:val="0033260C"/>
    <w:rsid w:val="00337076"/>
    <w:rsid w:val="00340C2E"/>
    <w:rsid w:val="003437D4"/>
    <w:rsid w:val="00344872"/>
    <w:rsid w:val="00345EA2"/>
    <w:rsid w:val="00347323"/>
    <w:rsid w:val="00351CB4"/>
    <w:rsid w:val="003566D9"/>
    <w:rsid w:val="00375558"/>
    <w:rsid w:val="00376B1C"/>
    <w:rsid w:val="0038213B"/>
    <w:rsid w:val="0038356F"/>
    <w:rsid w:val="00391D06"/>
    <w:rsid w:val="003A16B5"/>
    <w:rsid w:val="003A370A"/>
    <w:rsid w:val="003A3F96"/>
    <w:rsid w:val="003B4060"/>
    <w:rsid w:val="003C7C52"/>
    <w:rsid w:val="003D1AD5"/>
    <w:rsid w:val="003D44E1"/>
    <w:rsid w:val="003D5C9D"/>
    <w:rsid w:val="003D66A7"/>
    <w:rsid w:val="003D733E"/>
    <w:rsid w:val="003D7477"/>
    <w:rsid w:val="003E204C"/>
    <w:rsid w:val="003F0F68"/>
    <w:rsid w:val="003F6ED5"/>
    <w:rsid w:val="003F7B2B"/>
    <w:rsid w:val="004037C8"/>
    <w:rsid w:val="0040451E"/>
    <w:rsid w:val="00411051"/>
    <w:rsid w:val="00430CAC"/>
    <w:rsid w:val="004327B5"/>
    <w:rsid w:val="00437312"/>
    <w:rsid w:val="00451F27"/>
    <w:rsid w:val="00452030"/>
    <w:rsid w:val="00466C15"/>
    <w:rsid w:val="004743C2"/>
    <w:rsid w:val="0047525C"/>
    <w:rsid w:val="00476924"/>
    <w:rsid w:val="00476E3D"/>
    <w:rsid w:val="00491CF1"/>
    <w:rsid w:val="0049697C"/>
    <w:rsid w:val="004B35B0"/>
    <w:rsid w:val="004B7704"/>
    <w:rsid w:val="004C0DD9"/>
    <w:rsid w:val="004C3C86"/>
    <w:rsid w:val="004D1287"/>
    <w:rsid w:val="004D2761"/>
    <w:rsid w:val="004E3AD2"/>
    <w:rsid w:val="004E5225"/>
    <w:rsid w:val="004F3F21"/>
    <w:rsid w:val="004F6002"/>
    <w:rsid w:val="005131C4"/>
    <w:rsid w:val="00513993"/>
    <w:rsid w:val="00516DB0"/>
    <w:rsid w:val="005171E4"/>
    <w:rsid w:val="005263F1"/>
    <w:rsid w:val="00530175"/>
    <w:rsid w:val="00531DB4"/>
    <w:rsid w:val="00547741"/>
    <w:rsid w:val="00551FD9"/>
    <w:rsid w:val="005576DD"/>
    <w:rsid w:val="00561568"/>
    <w:rsid w:val="00562FE0"/>
    <w:rsid w:val="0058535E"/>
    <w:rsid w:val="005858A2"/>
    <w:rsid w:val="005916E2"/>
    <w:rsid w:val="0059467D"/>
    <w:rsid w:val="005975E1"/>
    <w:rsid w:val="005B2C8F"/>
    <w:rsid w:val="005B4680"/>
    <w:rsid w:val="005C13BB"/>
    <w:rsid w:val="005C262E"/>
    <w:rsid w:val="005E32BC"/>
    <w:rsid w:val="005E3CA4"/>
    <w:rsid w:val="005E67F0"/>
    <w:rsid w:val="005F4FE4"/>
    <w:rsid w:val="005F630E"/>
    <w:rsid w:val="006007F9"/>
    <w:rsid w:val="00601CBB"/>
    <w:rsid w:val="00603036"/>
    <w:rsid w:val="00604836"/>
    <w:rsid w:val="00610B76"/>
    <w:rsid w:val="0061215A"/>
    <w:rsid w:val="00620901"/>
    <w:rsid w:val="00620D72"/>
    <w:rsid w:val="00620E6E"/>
    <w:rsid w:val="00635C2E"/>
    <w:rsid w:val="00637616"/>
    <w:rsid w:val="00655E02"/>
    <w:rsid w:val="00661075"/>
    <w:rsid w:val="006659B2"/>
    <w:rsid w:val="006720B3"/>
    <w:rsid w:val="006725A7"/>
    <w:rsid w:val="00675E27"/>
    <w:rsid w:val="00677515"/>
    <w:rsid w:val="00684BC7"/>
    <w:rsid w:val="00686830"/>
    <w:rsid w:val="00687077"/>
    <w:rsid w:val="006874C9"/>
    <w:rsid w:val="00694886"/>
    <w:rsid w:val="00696CD8"/>
    <w:rsid w:val="006A1AF6"/>
    <w:rsid w:val="006A49BE"/>
    <w:rsid w:val="006A6506"/>
    <w:rsid w:val="006A6675"/>
    <w:rsid w:val="006B25A2"/>
    <w:rsid w:val="006B7C33"/>
    <w:rsid w:val="006C1C17"/>
    <w:rsid w:val="006C4F77"/>
    <w:rsid w:val="006C52A1"/>
    <w:rsid w:val="006C7778"/>
    <w:rsid w:val="006D59AE"/>
    <w:rsid w:val="006E1E69"/>
    <w:rsid w:val="006E2AFC"/>
    <w:rsid w:val="006E312A"/>
    <w:rsid w:val="006E3F92"/>
    <w:rsid w:val="006E7EAB"/>
    <w:rsid w:val="006F4297"/>
    <w:rsid w:val="00705665"/>
    <w:rsid w:val="0071173A"/>
    <w:rsid w:val="00717114"/>
    <w:rsid w:val="00722740"/>
    <w:rsid w:val="007346A8"/>
    <w:rsid w:val="00744AF0"/>
    <w:rsid w:val="00745F6B"/>
    <w:rsid w:val="00747E6D"/>
    <w:rsid w:val="00762FBA"/>
    <w:rsid w:val="00765300"/>
    <w:rsid w:val="007657A7"/>
    <w:rsid w:val="00770CED"/>
    <w:rsid w:val="0077799B"/>
    <w:rsid w:val="007814A9"/>
    <w:rsid w:val="007814B2"/>
    <w:rsid w:val="007A2D5F"/>
    <w:rsid w:val="007A762E"/>
    <w:rsid w:val="007B0D7B"/>
    <w:rsid w:val="007B116D"/>
    <w:rsid w:val="007B36B6"/>
    <w:rsid w:val="007C2F40"/>
    <w:rsid w:val="007D19FD"/>
    <w:rsid w:val="007D5194"/>
    <w:rsid w:val="007D631E"/>
    <w:rsid w:val="007E0FB8"/>
    <w:rsid w:val="007E5FC4"/>
    <w:rsid w:val="007F5660"/>
    <w:rsid w:val="007F5B06"/>
    <w:rsid w:val="00802391"/>
    <w:rsid w:val="00810075"/>
    <w:rsid w:val="008158A8"/>
    <w:rsid w:val="00821B71"/>
    <w:rsid w:val="00830443"/>
    <w:rsid w:val="00831C0D"/>
    <w:rsid w:val="00834855"/>
    <w:rsid w:val="00837E90"/>
    <w:rsid w:val="0084223F"/>
    <w:rsid w:val="008475E1"/>
    <w:rsid w:val="00854EDA"/>
    <w:rsid w:val="00855443"/>
    <w:rsid w:val="00855A38"/>
    <w:rsid w:val="00861656"/>
    <w:rsid w:val="008628CD"/>
    <w:rsid w:val="008674A3"/>
    <w:rsid w:val="00880867"/>
    <w:rsid w:val="00880E30"/>
    <w:rsid w:val="0088543F"/>
    <w:rsid w:val="00885D8B"/>
    <w:rsid w:val="008A246C"/>
    <w:rsid w:val="008A597B"/>
    <w:rsid w:val="008A6644"/>
    <w:rsid w:val="008A6C9D"/>
    <w:rsid w:val="008B1A37"/>
    <w:rsid w:val="008C43D8"/>
    <w:rsid w:val="008C5515"/>
    <w:rsid w:val="008D1259"/>
    <w:rsid w:val="008D26F8"/>
    <w:rsid w:val="008D665C"/>
    <w:rsid w:val="008D751C"/>
    <w:rsid w:val="008E6E5C"/>
    <w:rsid w:val="008F0ED2"/>
    <w:rsid w:val="008F285A"/>
    <w:rsid w:val="008F4439"/>
    <w:rsid w:val="008F5AFB"/>
    <w:rsid w:val="009012F0"/>
    <w:rsid w:val="009038B9"/>
    <w:rsid w:val="009056F7"/>
    <w:rsid w:val="00905913"/>
    <w:rsid w:val="009070A1"/>
    <w:rsid w:val="00914776"/>
    <w:rsid w:val="00925CCD"/>
    <w:rsid w:val="00926EF4"/>
    <w:rsid w:val="00930179"/>
    <w:rsid w:val="00932E87"/>
    <w:rsid w:val="00940708"/>
    <w:rsid w:val="00941D9D"/>
    <w:rsid w:val="00947B8A"/>
    <w:rsid w:val="009516E4"/>
    <w:rsid w:val="00953ACB"/>
    <w:rsid w:val="00955783"/>
    <w:rsid w:val="00977556"/>
    <w:rsid w:val="00996FC3"/>
    <w:rsid w:val="009A41FB"/>
    <w:rsid w:val="009A57B8"/>
    <w:rsid w:val="009A6677"/>
    <w:rsid w:val="009B13B4"/>
    <w:rsid w:val="009C0D4A"/>
    <w:rsid w:val="009C1547"/>
    <w:rsid w:val="009C6167"/>
    <w:rsid w:val="009C7EBB"/>
    <w:rsid w:val="009D62E3"/>
    <w:rsid w:val="009E0503"/>
    <w:rsid w:val="009E1653"/>
    <w:rsid w:val="009E1CDE"/>
    <w:rsid w:val="009E1DD6"/>
    <w:rsid w:val="009E1FD9"/>
    <w:rsid w:val="009F5780"/>
    <w:rsid w:val="009F73E6"/>
    <w:rsid w:val="00A011D4"/>
    <w:rsid w:val="00A01BF5"/>
    <w:rsid w:val="00A1416C"/>
    <w:rsid w:val="00A16003"/>
    <w:rsid w:val="00A23176"/>
    <w:rsid w:val="00A3375F"/>
    <w:rsid w:val="00A33C2E"/>
    <w:rsid w:val="00A354B3"/>
    <w:rsid w:val="00A36928"/>
    <w:rsid w:val="00A4203C"/>
    <w:rsid w:val="00A43A47"/>
    <w:rsid w:val="00A56E1A"/>
    <w:rsid w:val="00A64253"/>
    <w:rsid w:val="00A64936"/>
    <w:rsid w:val="00A65970"/>
    <w:rsid w:val="00A71F43"/>
    <w:rsid w:val="00A83454"/>
    <w:rsid w:val="00A85B7C"/>
    <w:rsid w:val="00AA1529"/>
    <w:rsid w:val="00AA1E9E"/>
    <w:rsid w:val="00AA54BB"/>
    <w:rsid w:val="00AA6E78"/>
    <w:rsid w:val="00AB33E1"/>
    <w:rsid w:val="00AB6950"/>
    <w:rsid w:val="00AC00E3"/>
    <w:rsid w:val="00AC2E7A"/>
    <w:rsid w:val="00AC5D30"/>
    <w:rsid w:val="00AD1469"/>
    <w:rsid w:val="00AD266D"/>
    <w:rsid w:val="00AE2E06"/>
    <w:rsid w:val="00AE589F"/>
    <w:rsid w:val="00AE653B"/>
    <w:rsid w:val="00AE7A84"/>
    <w:rsid w:val="00AE7CE0"/>
    <w:rsid w:val="00B03769"/>
    <w:rsid w:val="00B06210"/>
    <w:rsid w:val="00B116E3"/>
    <w:rsid w:val="00B16F9C"/>
    <w:rsid w:val="00B2226C"/>
    <w:rsid w:val="00B24395"/>
    <w:rsid w:val="00B25628"/>
    <w:rsid w:val="00B3133B"/>
    <w:rsid w:val="00B33AB5"/>
    <w:rsid w:val="00B37847"/>
    <w:rsid w:val="00B4390C"/>
    <w:rsid w:val="00B443DE"/>
    <w:rsid w:val="00B61205"/>
    <w:rsid w:val="00B65F38"/>
    <w:rsid w:val="00B66FE6"/>
    <w:rsid w:val="00B70190"/>
    <w:rsid w:val="00B74527"/>
    <w:rsid w:val="00B82181"/>
    <w:rsid w:val="00B87F6D"/>
    <w:rsid w:val="00BA09EE"/>
    <w:rsid w:val="00BA4229"/>
    <w:rsid w:val="00BB1351"/>
    <w:rsid w:val="00BB1EAF"/>
    <w:rsid w:val="00BC03D0"/>
    <w:rsid w:val="00BC0453"/>
    <w:rsid w:val="00BC176B"/>
    <w:rsid w:val="00BC3A4F"/>
    <w:rsid w:val="00BC6690"/>
    <w:rsid w:val="00BC7C83"/>
    <w:rsid w:val="00BD1C97"/>
    <w:rsid w:val="00BE11AF"/>
    <w:rsid w:val="00BE40E9"/>
    <w:rsid w:val="00BF471E"/>
    <w:rsid w:val="00BF5C19"/>
    <w:rsid w:val="00C017F5"/>
    <w:rsid w:val="00C0507D"/>
    <w:rsid w:val="00C10ACA"/>
    <w:rsid w:val="00C13DB3"/>
    <w:rsid w:val="00C21738"/>
    <w:rsid w:val="00C21882"/>
    <w:rsid w:val="00C22B23"/>
    <w:rsid w:val="00C43294"/>
    <w:rsid w:val="00C4472B"/>
    <w:rsid w:val="00C476BD"/>
    <w:rsid w:val="00C50759"/>
    <w:rsid w:val="00C56FC0"/>
    <w:rsid w:val="00C571B2"/>
    <w:rsid w:val="00C6132B"/>
    <w:rsid w:val="00C63AFC"/>
    <w:rsid w:val="00C66525"/>
    <w:rsid w:val="00C70B08"/>
    <w:rsid w:val="00C76D06"/>
    <w:rsid w:val="00C77812"/>
    <w:rsid w:val="00C83260"/>
    <w:rsid w:val="00C90CF2"/>
    <w:rsid w:val="00C96230"/>
    <w:rsid w:val="00C96CF5"/>
    <w:rsid w:val="00CA1EC3"/>
    <w:rsid w:val="00CB1230"/>
    <w:rsid w:val="00CB19C0"/>
    <w:rsid w:val="00CC4FBC"/>
    <w:rsid w:val="00CD6801"/>
    <w:rsid w:val="00CD794A"/>
    <w:rsid w:val="00D132BF"/>
    <w:rsid w:val="00D13643"/>
    <w:rsid w:val="00D150D8"/>
    <w:rsid w:val="00D222A8"/>
    <w:rsid w:val="00D24341"/>
    <w:rsid w:val="00D521CE"/>
    <w:rsid w:val="00D527EA"/>
    <w:rsid w:val="00D57351"/>
    <w:rsid w:val="00D6016C"/>
    <w:rsid w:val="00D70E8A"/>
    <w:rsid w:val="00D7241E"/>
    <w:rsid w:val="00D86A4E"/>
    <w:rsid w:val="00D90E8B"/>
    <w:rsid w:val="00D91985"/>
    <w:rsid w:val="00D94AD7"/>
    <w:rsid w:val="00DA50C9"/>
    <w:rsid w:val="00DB0998"/>
    <w:rsid w:val="00DB4454"/>
    <w:rsid w:val="00DC073E"/>
    <w:rsid w:val="00DC6A19"/>
    <w:rsid w:val="00DC709D"/>
    <w:rsid w:val="00DD6094"/>
    <w:rsid w:val="00DD779D"/>
    <w:rsid w:val="00DE080B"/>
    <w:rsid w:val="00DE1184"/>
    <w:rsid w:val="00DE2C58"/>
    <w:rsid w:val="00DE3D9F"/>
    <w:rsid w:val="00DF4115"/>
    <w:rsid w:val="00DF4733"/>
    <w:rsid w:val="00E02E71"/>
    <w:rsid w:val="00E034A9"/>
    <w:rsid w:val="00E0574C"/>
    <w:rsid w:val="00E06522"/>
    <w:rsid w:val="00E06D5E"/>
    <w:rsid w:val="00E15499"/>
    <w:rsid w:val="00E30358"/>
    <w:rsid w:val="00E308E2"/>
    <w:rsid w:val="00E372C4"/>
    <w:rsid w:val="00E40104"/>
    <w:rsid w:val="00E41167"/>
    <w:rsid w:val="00E45B70"/>
    <w:rsid w:val="00E53F9C"/>
    <w:rsid w:val="00E571FB"/>
    <w:rsid w:val="00E60E26"/>
    <w:rsid w:val="00E648D8"/>
    <w:rsid w:val="00E743A0"/>
    <w:rsid w:val="00E76F0F"/>
    <w:rsid w:val="00E77164"/>
    <w:rsid w:val="00E801A8"/>
    <w:rsid w:val="00E809C2"/>
    <w:rsid w:val="00E81050"/>
    <w:rsid w:val="00E83CCE"/>
    <w:rsid w:val="00E900E1"/>
    <w:rsid w:val="00E9688B"/>
    <w:rsid w:val="00E96F7C"/>
    <w:rsid w:val="00E975A2"/>
    <w:rsid w:val="00EA669A"/>
    <w:rsid w:val="00EB486F"/>
    <w:rsid w:val="00EB7565"/>
    <w:rsid w:val="00EC4005"/>
    <w:rsid w:val="00ED1EDF"/>
    <w:rsid w:val="00EE0E0E"/>
    <w:rsid w:val="00EF012B"/>
    <w:rsid w:val="00EF0C4F"/>
    <w:rsid w:val="00EF2008"/>
    <w:rsid w:val="00EF23D0"/>
    <w:rsid w:val="00EF2EEC"/>
    <w:rsid w:val="00EF76C6"/>
    <w:rsid w:val="00F042D7"/>
    <w:rsid w:val="00F10E7B"/>
    <w:rsid w:val="00F11831"/>
    <w:rsid w:val="00F133BA"/>
    <w:rsid w:val="00F144FF"/>
    <w:rsid w:val="00F14590"/>
    <w:rsid w:val="00F1521F"/>
    <w:rsid w:val="00F1753A"/>
    <w:rsid w:val="00F257D2"/>
    <w:rsid w:val="00F3039B"/>
    <w:rsid w:val="00F31121"/>
    <w:rsid w:val="00F32FF5"/>
    <w:rsid w:val="00F34D63"/>
    <w:rsid w:val="00F412EE"/>
    <w:rsid w:val="00F4166A"/>
    <w:rsid w:val="00F452D5"/>
    <w:rsid w:val="00F52308"/>
    <w:rsid w:val="00F55EC1"/>
    <w:rsid w:val="00F61963"/>
    <w:rsid w:val="00F6475D"/>
    <w:rsid w:val="00F651FD"/>
    <w:rsid w:val="00F6717B"/>
    <w:rsid w:val="00F72C02"/>
    <w:rsid w:val="00F743E2"/>
    <w:rsid w:val="00F750F6"/>
    <w:rsid w:val="00F8678E"/>
    <w:rsid w:val="00F9101F"/>
    <w:rsid w:val="00F91F61"/>
    <w:rsid w:val="00F93207"/>
    <w:rsid w:val="00F96211"/>
    <w:rsid w:val="00FA10DB"/>
    <w:rsid w:val="00FA3591"/>
    <w:rsid w:val="00FA46A5"/>
    <w:rsid w:val="00FB1977"/>
    <w:rsid w:val="00FB7CBA"/>
    <w:rsid w:val="00FC1C66"/>
    <w:rsid w:val="00FC728E"/>
    <w:rsid w:val="00FD1397"/>
    <w:rsid w:val="00FD2153"/>
    <w:rsid w:val="00FD48EB"/>
    <w:rsid w:val="00FE36D0"/>
    <w:rsid w:val="00FE4080"/>
    <w:rsid w:val="00FF5EFF"/>
    <w:rsid w:val="00FF6D1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F234B8"/>
  <w14:defaultImageDpi w14:val="0"/>
  <w15:docId w15:val="{C17BF279-EA75-439D-BD3A-F81874C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4070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40708"/>
    <w:rPr>
      <w:rFonts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575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07575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75752"/>
    <w:rPr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575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075752"/>
    <w:rPr>
      <w:b/>
      <w:bCs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7575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75752"/>
    <w:rPr>
      <w:sz w:val="18"/>
      <w:szCs w:val="18"/>
    </w:rPr>
  </w:style>
  <w:style w:type="paragraph" w:styleId="ae">
    <w:name w:val="Revision"/>
    <w:hidden/>
    <w:uiPriority w:val="99"/>
    <w:semiHidden/>
    <w:rsid w:val="003C7C5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E7CA-C8B0-4C64-A8A0-D1F5BAB1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程迪</cp:lastModifiedBy>
  <cp:revision>569</cp:revision>
  <cp:lastPrinted>2021-11-02T06:28:00Z</cp:lastPrinted>
  <dcterms:created xsi:type="dcterms:W3CDTF">2021-08-31T02:35:00Z</dcterms:created>
  <dcterms:modified xsi:type="dcterms:W3CDTF">2023-11-01T10:26:00Z</dcterms:modified>
</cp:coreProperties>
</file>