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45" w:rsidRDefault="00D147BE">
      <w:pPr>
        <w:pStyle w:val="1"/>
        <w:spacing w:after="100"/>
        <w:ind w:right="240"/>
        <w:jc w:val="right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12700</wp:posOffset>
                </wp:positionV>
                <wp:extent cx="1258570" cy="198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0345" w:rsidRDefault="00D147BE">
                            <w:pPr>
                              <w:pStyle w:val="1"/>
                              <w:spacing w:after="0"/>
                              <w:rPr>
                                <w:lang w:eastAsia="zh-CN"/>
                              </w:rPr>
                            </w:pPr>
                            <w:r>
                              <w:t>证券代码：60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3239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Shape 1" o:spid="_x0000_s1026" o:spt="202" type="#_x0000_t202" style="position:absolute;left:0pt;margin-left:88.8pt;margin-top:1pt;height:15.6pt;width:99.1pt;mso-position-horizont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Mdxi01QAAAAgBAAAPAAAAAAAAAAEA&#10;IAAAACIAAABkcnMvZG93bnJldi54bWxQSwECFAAUAAAACACHTuJANH1UYKABAABWAwAADgAAAAAA&#10;AAABACAAAAAkAQAAZHJzL2Uyb0RvYy54bWxQSwUGAAAAAAYABgBZAQAAN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spacing w:after="0"/>
                        <w:rPr>
                          <w:lang w:eastAsia="zh-CN"/>
                        </w:rPr>
                      </w:pPr>
                      <w:r>
                        <w:t>证券代码：60</w:t>
                      </w:r>
                      <w:r>
                        <w:rPr>
                          <w:rFonts w:hint="eastAsia"/>
                          <w:lang w:eastAsia="zh-CN"/>
                        </w:rPr>
                        <w:t>3239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w:t>证券简称：</w:t>
      </w:r>
      <w:r>
        <w:rPr>
          <w:rFonts w:hint="eastAsia"/>
          <w:lang w:eastAsia="zh-CN"/>
        </w:rPr>
        <w:t>浙江仙通</w:t>
      </w:r>
    </w:p>
    <w:p w:rsidR="00650345" w:rsidRDefault="00D147BE">
      <w:pPr>
        <w:pStyle w:val="11"/>
        <w:keepNext/>
        <w:keepLines/>
        <w:rPr>
          <w:lang w:eastAsia="zh-CN"/>
        </w:rPr>
      </w:pPr>
      <w:bookmarkStart w:id="0" w:name="bookmark1"/>
      <w:bookmarkStart w:id="1" w:name="bookmark2"/>
      <w:bookmarkStart w:id="2" w:name="bookmark0"/>
      <w:r>
        <w:rPr>
          <w:rFonts w:hint="eastAsia"/>
          <w:lang w:eastAsia="zh-CN"/>
        </w:rPr>
        <w:t>浙江仙通橡塑</w:t>
      </w:r>
      <w:r>
        <w:rPr>
          <w:lang w:eastAsia="zh-CN"/>
        </w:rPr>
        <w:t>股份有限公司</w:t>
      </w:r>
      <w:r>
        <w:rPr>
          <w:lang w:eastAsia="zh-CN"/>
        </w:rPr>
        <w:br/>
        <w:t>投资者关系活动记录表</w:t>
      </w:r>
      <w:bookmarkEnd w:id="0"/>
      <w:bookmarkEnd w:id="1"/>
      <w:bookmarkEnd w:id="2"/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6523"/>
      </w:tblGrid>
      <w:tr w:rsidR="00650345">
        <w:trPr>
          <w:trHeight w:hRule="exact" w:val="174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466" w:lineRule="exact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投资者关系 </w:t>
            </w:r>
          </w:p>
          <w:p w:rsidR="00650345" w:rsidRDefault="00D147BE">
            <w:pPr>
              <w:pStyle w:val="a5"/>
              <w:spacing w:line="466" w:lineRule="exact"/>
              <w:jc w:val="center"/>
            </w:pPr>
            <w:r>
              <w:rPr>
                <w:b/>
                <w:bCs/>
              </w:rPr>
              <w:t>活动类别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0345" w:rsidRDefault="00D147BE">
            <w:pPr>
              <w:pStyle w:val="a5"/>
              <w:tabs>
                <w:tab w:val="left" w:pos="2475"/>
              </w:tabs>
              <w:spacing w:after="120" w:line="240" w:lineRule="auto"/>
              <w:rPr>
                <w:lang w:eastAsia="zh-CN"/>
              </w:rPr>
            </w:pPr>
            <w:r>
              <w:rPr>
                <w:rFonts w:hint="eastAsia"/>
                <w:bdr w:val="single" w:sz="4" w:space="0" w:color="auto"/>
                <w:lang w:eastAsia="zh-CN"/>
              </w:rPr>
              <w:t>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特定对象调研</w:t>
            </w:r>
            <w:r>
              <w:rPr>
                <w:lang w:eastAsia="zh-CN"/>
              </w:rPr>
              <w:tab/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分析师会议</w:t>
            </w:r>
          </w:p>
          <w:p w:rsidR="00650345" w:rsidRDefault="00D147BE">
            <w:pPr>
              <w:pStyle w:val="a5"/>
              <w:tabs>
                <w:tab w:val="left" w:pos="2490"/>
              </w:tabs>
              <w:spacing w:after="120" w:line="240" w:lineRule="auto"/>
              <w:rPr>
                <w:lang w:eastAsia="zh-CN"/>
              </w:rPr>
            </w:pPr>
            <w:r>
              <w:rPr>
                <w:lang w:eastAsia="zh-CN"/>
              </w:rPr>
              <w:t>口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媒体采访</w:t>
            </w:r>
            <w:r>
              <w:rPr>
                <w:lang w:eastAsia="zh-CN"/>
              </w:rPr>
              <w:tab/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业绩说明会</w:t>
            </w:r>
          </w:p>
          <w:p w:rsidR="00650345" w:rsidRDefault="00D147BE">
            <w:pPr>
              <w:pStyle w:val="a5"/>
              <w:tabs>
                <w:tab w:val="left" w:pos="2460"/>
              </w:tabs>
              <w:spacing w:after="120" w:line="240" w:lineRule="auto"/>
              <w:rPr>
                <w:lang w:eastAsia="zh-CN"/>
              </w:rPr>
            </w:pPr>
            <w:r>
              <w:rPr>
                <w:lang w:eastAsia="zh-CN"/>
              </w:rPr>
              <w:t>口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新闻发布会</w:t>
            </w:r>
            <w:r>
              <w:rPr>
                <w:lang w:eastAsia="zh-CN"/>
              </w:rPr>
              <w:tab/>
            </w:r>
            <w:r>
              <w:rPr>
                <w:rFonts w:hint="eastAsia"/>
                <w:bdr w:val="single" w:sz="4" w:space="0" w:color="auto"/>
                <w:lang w:eastAsia="zh-CN"/>
              </w:rPr>
              <w:t>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路演活动</w:t>
            </w:r>
          </w:p>
          <w:p w:rsidR="00650345" w:rsidRDefault="00D147BE">
            <w:pPr>
              <w:pStyle w:val="a5"/>
              <w:tabs>
                <w:tab w:val="left" w:pos="2460"/>
              </w:tabs>
              <w:spacing w:after="120" w:line="240" w:lineRule="auto"/>
              <w:rPr>
                <w:lang w:eastAsia="zh-CN"/>
              </w:rPr>
            </w:pPr>
            <w:r>
              <w:rPr>
                <w:rFonts w:hint="eastAsia"/>
                <w:bdr w:val="single" w:sz="4" w:space="0" w:color="auto"/>
              </w:rPr>
              <w:t>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现场参观</w:t>
            </w:r>
            <w:r>
              <w:tab/>
              <w:t>□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其他</w:t>
            </w:r>
          </w:p>
          <w:p w:rsidR="00650345" w:rsidRDefault="00650345">
            <w:pPr>
              <w:pStyle w:val="a5"/>
              <w:tabs>
                <w:tab w:val="left" w:pos="2460"/>
              </w:tabs>
              <w:spacing w:after="120" w:line="240" w:lineRule="auto"/>
              <w:rPr>
                <w:lang w:eastAsia="zh-CN"/>
              </w:rPr>
            </w:pPr>
          </w:p>
        </w:tc>
      </w:tr>
      <w:tr w:rsidR="00650345">
        <w:trPr>
          <w:trHeight w:val="3511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after="20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近期调研</w:t>
            </w:r>
            <w:r>
              <w:rPr>
                <w:b/>
                <w:bCs/>
                <w:lang w:eastAsia="zh-CN"/>
              </w:rPr>
              <w:t>参与单位名称</w:t>
            </w:r>
          </w:p>
          <w:p w:rsidR="00650345" w:rsidRDefault="00D147BE">
            <w:pPr>
              <w:pStyle w:val="a5"/>
              <w:spacing w:after="200" w:line="240" w:lineRule="auto"/>
              <w:ind w:firstLine="140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（排名不分先后）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华安基金、国泰基金、中泰汽车、东吴证券、招银理财、华宝基金、太平养老、万家基金、平安资管、兴全基金、泰康资产、首创汽车、安信汽车、北大方正人寿资管、前海人寿、华安基金、德邦汽车、东吴汽车、国联安、德邦基金、东方证券、开源证券汽车、东亚前海、东方财富汽车、长江证券</w:t>
            </w:r>
          </w:p>
        </w:tc>
      </w:tr>
      <w:tr w:rsidR="00650345">
        <w:trPr>
          <w:trHeight w:hRule="exact" w:val="86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地点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240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浙江仙通公司办公楼（现场调研、线上电话会议交流）、上海反路演</w:t>
            </w:r>
          </w:p>
        </w:tc>
      </w:tr>
      <w:tr w:rsidR="00650345">
        <w:trPr>
          <w:trHeight w:hRule="exact" w:val="1968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after="200" w:line="240" w:lineRule="auto"/>
              <w:jc w:val="center"/>
            </w:pPr>
            <w:r>
              <w:rPr>
                <w:b/>
                <w:bCs/>
              </w:rPr>
              <w:t>上市公司</w:t>
            </w:r>
          </w:p>
          <w:p w:rsidR="00650345" w:rsidRDefault="00D147BE">
            <w:pPr>
              <w:pStyle w:val="a5"/>
              <w:spacing w:line="240" w:lineRule="auto"/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接待</w:t>
            </w:r>
            <w:r>
              <w:rPr>
                <w:b/>
                <w:bCs/>
              </w:rPr>
              <w:t>人员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after="180" w:line="24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董事会秘书</w:t>
            </w:r>
            <w:r>
              <w:rPr>
                <w:rFonts w:hint="eastAsia"/>
                <w:lang w:eastAsia="zh-CN"/>
              </w:rPr>
              <w:t xml:space="preserve">    项青锋</w:t>
            </w:r>
          </w:p>
        </w:tc>
      </w:tr>
      <w:tr w:rsidR="00650345" w:rsidTr="00C92946">
        <w:trPr>
          <w:trHeight w:hRule="exact" w:val="8512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485" w:lineRule="exact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>投资者关系活动 主要内容介绍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345" w:rsidRPr="00C92946" w:rsidRDefault="00D147BE">
            <w:pPr>
              <w:pStyle w:val="a5"/>
              <w:numPr>
                <w:ilvl w:val="0"/>
                <w:numId w:val="1"/>
              </w:numPr>
              <w:spacing w:line="312" w:lineRule="exact"/>
              <w:jc w:val="both"/>
              <w:rPr>
                <w:b/>
                <w:bCs/>
                <w:lang w:eastAsia="zh-CN"/>
              </w:rPr>
            </w:pPr>
            <w:r w:rsidRPr="00C92946">
              <w:rPr>
                <w:rFonts w:hint="eastAsia"/>
                <w:b/>
                <w:bCs/>
                <w:lang w:eastAsia="zh-CN"/>
              </w:rPr>
              <w:t xml:space="preserve">请问公司，目前对无边框车型密封条的开发、生产及销售的情况。   </w:t>
            </w:r>
          </w:p>
          <w:p w:rsidR="00650345" w:rsidRDefault="00D147BE" w:rsidP="00C92946">
            <w:pPr>
              <w:pStyle w:val="a5"/>
              <w:spacing w:line="312" w:lineRule="exact"/>
              <w:ind w:firstLineChars="200" w:firstLine="480"/>
              <w:jc w:val="both"/>
              <w:rPr>
                <w:rFonts w:cs="仿宋"/>
                <w:bCs/>
                <w:lang w:eastAsia="zh-CN"/>
              </w:rPr>
            </w:pPr>
            <w:r>
              <w:rPr>
                <w:rFonts w:cs="仿宋" w:hint="eastAsia"/>
                <w:bCs/>
                <w:lang w:eastAsia="zh-CN"/>
              </w:rPr>
              <w:t>公司目前合作开发的无边框车型有大众奥迪、吉利有极氪</w:t>
            </w:r>
            <w:r>
              <w:rPr>
                <w:rFonts w:cs="仿宋"/>
                <w:bCs/>
                <w:lang w:eastAsia="zh-CN"/>
              </w:rPr>
              <w:t>001</w:t>
            </w:r>
            <w:r>
              <w:rPr>
                <w:rFonts w:cs="仿宋" w:hint="eastAsia"/>
                <w:bCs/>
                <w:lang w:eastAsia="zh-CN"/>
              </w:rPr>
              <w:t>及另外一款车型、奇瑞与华为合作的两款车型、北汽与华为合作的一款车型、上汽通用的一款新能源汽车等共7个项目，其中极氪001已经量产，其他项目基本上都会在</w:t>
            </w:r>
            <w:r w:rsidR="00DC6E69">
              <w:rPr>
                <w:rFonts w:cs="仿宋" w:hint="eastAsia"/>
                <w:bCs/>
                <w:lang w:eastAsia="zh-CN"/>
              </w:rPr>
              <w:t>今</w:t>
            </w:r>
            <w:r>
              <w:rPr>
                <w:rFonts w:cs="仿宋" w:hint="eastAsia"/>
                <w:bCs/>
                <w:lang w:eastAsia="zh-CN"/>
              </w:rPr>
              <w:t>明</w:t>
            </w:r>
            <w:r w:rsidR="00DC6E69">
              <w:rPr>
                <w:rFonts w:cs="仿宋" w:hint="eastAsia"/>
                <w:bCs/>
                <w:lang w:eastAsia="zh-CN"/>
              </w:rPr>
              <w:t>两年陆续</w:t>
            </w:r>
            <w:r>
              <w:rPr>
                <w:rFonts w:cs="仿宋" w:hint="eastAsia"/>
                <w:bCs/>
                <w:lang w:eastAsia="zh-CN"/>
              </w:rPr>
              <w:t>量产。</w:t>
            </w:r>
          </w:p>
          <w:p w:rsidR="00650345" w:rsidRDefault="00650345">
            <w:pPr>
              <w:pStyle w:val="a5"/>
              <w:spacing w:line="312" w:lineRule="exact"/>
              <w:ind w:firstLineChars="200" w:firstLine="480"/>
              <w:jc w:val="both"/>
              <w:rPr>
                <w:rFonts w:cs="仿宋"/>
                <w:bCs/>
                <w:lang w:eastAsia="zh-CN"/>
              </w:rPr>
            </w:pPr>
            <w:bookmarkStart w:id="3" w:name="_GoBack"/>
            <w:bookmarkEnd w:id="3"/>
          </w:p>
          <w:p w:rsidR="00650345" w:rsidRDefault="00650345">
            <w:pPr>
              <w:pStyle w:val="a5"/>
              <w:spacing w:line="312" w:lineRule="exact"/>
              <w:jc w:val="both"/>
              <w:rPr>
                <w:rFonts w:cs="仿宋"/>
                <w:bCs/>
                <w:lang w:eastAsia="zh-CN"/>
              </w:rPr>
            </w:pPr>
          </w:p>
          <w:p w:rsidR="00650345" w:rsidRPr="00C92946" w:rsidRDefault="00D147BE">
            <w:pPr>
              <w:pStyle w:val="a5"/>
              <w:spacing w:line="312" w:lineRule="exact"/>
              <w:jc w:val="both"/>
              <w:rPr>
                <w:b/>
                <w:bCs/>
                <w:lang w:eastAsia="zh-CN"/>
              </w:rPr>
            </w:pPr>
            <w:r w:rsidRPr="00C92946">
              <w:rPr>
                <w:rFonts w:hint="eastAsia"/>
                <w:b/>
                <w:bCs/>
                <w:lang w:eastAsia="zh-CN"/>
              </w:rPr>
              <w:t>2、</w:t>
            </w:r>
            <w:r w:rsidRPr="00C92946">
              <w:rPr>
                <w:b/>
                <w:bCs/>
                <w:lang w:eastAsia="zh-CN"/>
              </w:rPr>
              <w:tab/>
            </w:r>
            <w:r w:rsidRPr="00C92946">
              <w:rPr>
                <w:rFonts w:hint="eastAsia"/>
                <w:b/>
                <w:bCs/>
                <w:lang w:eastAsia="zh-CN"/>
              </w:rPr>
              <w:t>请问公司三季度利润和毛利率好转情况</w:t>
            </w:r>
          </w:p>
          <w:p w:rsidR="00650345" w:rsidRDefault="00D147BE">
            <w:pPr>
              <w:pStyle w:val="a5"/>
              <w:spacing w:line="312" w:lineRule="exact"/>
              <w:ind w:firstLineChars="200" w:firstLine="480"/>
              <w:jc w:val="both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汽车密封条大部分原材料为原油的衍生品，尤其是重要原材料之一的三元乙丙胶，需进口，美元计价，与国际原油价格有着较高的关联度。公司三季度</w:t>
            </w:r>
            <w:r>
              <w:rPr>
                <w:rFonts w:hint="eastAsia"/>
                <w:bCs/>
                <w:lang w:eastAsia="zh-CN"/>
              </w:rPr>
              <w:t>利润和毛利率好转主要得益于公司在原材料高位接的订单开始放量，迎来毛利向好的拐点。</w:t>
            </w:r>
          </w:p>
          <w:p w:rsidR="00650345" w:rsidRDefault="00650345">
            <w:pPr>
              <w:pStyle w:val="a5"/>
              <w:spacing w:line="312" w:lineRule="exact"/>
              <w:ind w:firstLineChars="200" w:firstLine="480"/>
              <w:jc w:val="both"/>
              <w:rPr>
                <w:bCs/>
                <w:lang w:eastAsia="zh-CN"/>
              </w:rPr>
            </w:pPr>
          </w:p>
          <w:p w:rsidR="00C92946" w:rsidRDefault="00C92946">
            <w:pPr>
              <w:pStyle w:val="a5"/>
              <w:spacing w:line="312" w:lineRule="exact"/>
              <w:ind w:firstLineChars="200" w:firstLine="480"/>
              <w:jc w:val="both"/>
              <w:rPr>
                <w:bCs/>
                <w:lang w:eastAsia="zh-CN"/>
              </w:rPr>
            </w:pPr>
          </w:p>
          <w:p w:rsidR="00650345" w:rsidRPr="00C92946" w:rsidRDefault="00D147BE">
            <w:pPr>
              <w:pStyle w:val="a5"/>
              <w:spacing w:line="312" w:lineRule="exact"/>
              <w:jc w:val="both"/>
              <w:rPr>
                <w:b/>
                <w:bCs/>
                <w:lang w:eastAsia="zh-CN"/>
              </w:rPr>
            </w:pPr>
            <w:r w:rsidRPr="00C92946">
              <w:rPr>
                <w:rFonts w:hint="eastAsia"/>
                <w:b/>
                <w:bCs/>
                <w:lang w:eastAsia="zh-CN"/>
              </w:rPr>
              <w:t>3、公司目前产能建设情况如何，尤其是无边框密封条的产能有何规划？</w:t>
            </w:r>
          </w:p>
          <w:p w:rsidR="00650345" w:rsidRDefault="00C92946" w:rsidP="00C92946">
            <w:pPr>
              <w:pStyle w:val="a5"/>
              <w:spacing w:line="312" w:lineRule="exact"/>
              <w:ind w:firstLineChars="200" w:firstLine="480"/>
              <w:jc w:val="both"/>
              <w:rPr>
                <w:lang w:eastAsia="zh-CN"/>
              </w:rPr>
            </w:pPr>
            <w:r w:rsidRPr="00C92946">
              <w:rPr>
                <w:rFonts w:hint="eastAsia"/>
                <w:lang w:eastAsia="zh-CN"/>
              </w:rPr>
              <w:t>公司目前现有产能约</w:t>
            </w:r>
            <w:r w:rsidRPr="00C92946">
              <w:rPr>
                <w:lang w:eastAsia="zh-CN"/>
              </w:rPr>
              <w:t>18</w:t>
            </w:r>
            <w:r w:rsidRPr="00C92946">
              <w:rPr>
                <w:rFonts w:hint="eastAsia"/>
                <w:lang w:eastAsia="zh-CN"/>
              </w:rPr>
              <w:t>亿左右，其中部分作为新产品试制使用，预计三年内公司产能可达到</w:t>
            </w:r>
            <w:r w:rsidRPr="00C92946">
              <w:rPr>
                <w:lang w:eastAsia="zh-CN"/>
              </w:rPr>
              <w:t>25</w:t>
            </w:r>
            <w:r w:rsidRPr="00C92946">
              <w:rPr>
                <w:rFonts w:hint="eastAsia"/>
                <w:lang w:eastAsia="zh-CN"/>
              </w:rPr>
              <w:t>亿左右。目前公司正向当地政府申请公司北面约</w:t>
            </w:r>
            <w:r w:rsidRPr="00C92946">
              <w:rPr>
                <w:lang w:eastAsia="zh-CN"/>
              </w:rPr>
              <w:t>88</w:t>
            </w:r>
            <w:r w:rsidRPr="00C92946">
              <w:rPr>
                <w:rFonts w:hint="eastAsia"/>
                <w:lang w:eastAsia="zh-CN"/>
              </w:rPr>
              <w:t>亩的土地，除物流中心、模具中心扩容建设外，其余主要拓展无边框密封条产能。</w:t>
            </w:r>
          </w:p>
          <w:p w:rsidR="00650345" w:rsidRDefault="00650345">
            <w:pPr>
              <w:pStyle w:val="a5"/>
              <w:spacing w:line="312" w:lineRule="exact"/>
              <w:jc w:val="both"/>
              <w:rPr>
                <w:lang w:eastAsia="zh-CN"/>
              </w:rPr>
            </w:pPr>
          </w:p>
        </w:tc>
      </w:tr>
      <w:tr w:rsidR="00650345">
        <w:trPr>
          <w:trHeight w:hRule="exact" w:val="573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日期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345" w:rsidRDefault="00D147BE">
            <w:pPr>
              <w:pStyle w:val="a5"/>
              <w:spacing w:line="240" w:lineRule="auto"/>
              <w:jc w:val="both"/>
            </w:pPr>
            <w:r>
              <w:t>2023.11.0</w:t>
            </w:r>
            <w:r w:rsidR="00932EE7">
              <w:t>3</w:t>
            </w:r>
          </w:p>
        </w:tc>
      </w:tr>
    </w:tbl>
    <w:p w:rsidR="00650345" w:rsidRDefault="00650345">
      <w:pPr>
        <w:spacing w:line="1" w:lineRule="exact"/>
        <w:rPr>
          <w:rFonts w:eastAsiaTheme="minorEastAsia"/>
          <w:lang w:eastAsia="zh-CN"/>
        </w:rPr>
      </w:pPr>
    </w:p>
    <w:sectPr w:rsidR="00650345">
      <w:pgSz w:w="11900" w:h="16840"/>
      <w:pgMar w:top="1472" w:right="1796" w:bottom="1550" w:left="1796" w:header="1044" w:footer="112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3E" w:rsidRDefault="0082573E"/>
  </w:endnote>
  <w:endnote w:type="continuationSeparator" w:id="0">
    <w:p w:rsidR="0082573E" w:rsidRDefault="00825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3E" w:rsidRDefault="0082573E"/>
  </w:footnote>
  <w:footnote w:type="continuationSeparator" w:id="0">
    <w:p w:rsidR="0082573E" w:rsidRDefault="008257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41A88"/>
    <w:multiLevelType w:val="multilevel"/>
    <w:tmpl w:val="7B541A8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docVars>
    <w:docVar w:name="commondata" w:val="eyJoZGlkIjoiYzVkYTRjZjBjYmM2ZWZiYjg2NDNlMjg2ZTdhZTE1M2MifQ=="/>
  </w:docVars>
  <w:rsids>
    <w:rsidRoot w:val="004D1861"/>
    <w:rsid w:val="0002481F"/>
    <w:rsid w:val="000353CE"/>
    <w:rsid w:val="00051143"/>
    <w:rsid w:val="000662E5"/>
    <w:rsid w:val="000B0B84"/>
    <w:rsid w:val="001233ED"/>
    <w:rsid w:val="00176264"/>
    <w:rsid w:val="001A0B37"/>
    <w:rsid w:val="001B774E"/>
    <w:rsid w:val="001C524E"/>
    <w:rsid w:val="001C64BB"/>
    <w:rsid w:val="001F3126"/>
    <w:rsid w:val="002228E2"/>
    <w:rsid w:val="00252910"/>
    <w:rsid w:val="00265B94"/>
    <w:rsid w:val="00267374"/>
    <w:rsid w:val="00290E8D"/>
    <w:rsid w:val="00292FE9"/>
    <w:rsid w:val="002A4744"/>
    <w:rsid w:val="002E7E7D"/>
    <w:rsid w:val="003611DA"/>
    <w:rsid w:val="003756E2"/>
    <w:rsid w:val="00387049"/>
    <w:rsid w:val="003E598D"/>
    <w:rsid w:val="003F72BA"/>
    <w:rsid w:val="004154EE"/>
    <w:rsid w:val="00442EDF"/>
    <w:rsid w:val="00447F8B"/>
    <w:rsid w:val="0046052C"/>
    <w:rsid w:val="0046177D"/>
    <w:rsid w:val="00492A75"/>
    <w:rsid w:val="004D1861"/>
    <w:rsid w:val="0050617D"/>
    <w:rsid w:val="00570552"/>
    <w:rsid w:val="005779E4"/>
    <w:rsid w:val="00595A44"/>
    <w:rsid w:val="005A4C16"/>
    <w:rsid w:val="00613893"/>
    <w:rsid w:val="006177B2"/>
    <w:rsid w:val="00650345"/>
    <w:rsid w:val="00673829"/>
    <w:rsid w:val="006810B2"/>
    <w:rsid w:val="0070444D"/>
    <w:rsid w:val="00710BDD"/>
    <w:rsid w:val="007210BD"/>
    <w:rsid w:val="00767636"/>
    <w:rsid w:val="007756E4"/>
    <w:rsid w:val="00783DC1"/>
    <w:rsid w:val="007D226C"/>
    <w:rsid w:val="007E738A"/>
    <w:rsid w:val="00801B27"/>
    <w:rsid w:val="0081676D"/>
    <w:rsid w:val="0082573E"/>
    <w:rsid w:val="00847CD9"/>
    <w:rsid w:val="00856279"/>
    <w:rsid w:val="008661D8"/>
    <w:rsid w:val="00867327"/>
    <w:rsid w:val="008B08A6"/>
    <w:rsid w:val="008F44C3"/>
    <w:rsid w:val="008F54CE"/>
    <w:rsid w:val="00932EE7"/>
    <w:rsid w:val="00951294"/>
    <w:rsid w:val="0099578E"/>
    <w:rsid w:val="009B32BD"/>
    <w:rsid w:val="009C76A0"/>
    <w:rsid w:val="009F182B"/>
    <w:rsid w:val="00A24DAB"/>
    <w:rsid w:val="00A74837"/>
    <w:rsid w:val="00A75FD4"/>
    <w:rsid w:val="00B078EF"/>
    <w:rsid w:val="00B141F6"/>
    <w:rsid w:val="00B408C9"/>
    <w:rsid w:val="00BC62C8"/>
    <w:rsid w:val="00C05CE5"/>
    <w:rsid w:val="00C33DF6"/>
    <w:rsid w:val="00C3548B"/>
    <w:rsid w:val="00C430E8"/>
    <w:rsid w:val="00C546E6"/>
    <w:rsid w:val="00C63CA2"/>
    <w:rsid w:val="00C92946"/>
    <w:rsid w:val="00CD68D2"/>
    <w:rsid w:val="00CE19F5"/>
    <w:rsid w:val="00D003F0"/>
    <w:rsid w:val="00D147BE"/>
    <w:rsid w:val="00D23010"/>
    <w:rsid w:val="00D302A5"/>
    <w:rsid w:val="00D757E6"/>
    <w:rsid w:val="00D85E35"/>
    <w:rsid w:val="00DA2C48"/>
    <w:rsid w:val="00DC4573"/>
    <w:rsid w:val="00DC6E69"/>
    <w:rsid w:val="00DD0050"/>
    <w:rsid w:val="00E25770"/>
    <w:rsid w:val="00E3459C"/>
    <w:rsid w:val="00E77B5E"/>
    <w:rsid w:val="00E83F02"/>
    <w:rsid w:val="00E96311"/>
    <w:rsid w:val="00EA006C"/>
    <w:rsid w:val="00F32EE2"/>
    <w:rsid w:val="00F46C87"/>
    <w:rsid w:val="00F53334"/>
    <w:rsid w:val="00F647D7"/>
    <w:rsid w:val="00F66355"/>
    <w:rsid w:val="00F75F2A"/>
    <w:rsid w:val="00F90E77"/>
    <w:rsid w:val="00FD2595"/>
    <w:rsid w:val="00FD7C06"/>
    <w:rsid w:val="00FE28B1"/>
    <w:rsid w:val="00FF574B"/>
    <w:rsid w:val="02510197"/>
    <w:rsid w:val="077C5356"/>
    <w:rsid w:val="19AE7C08"/>
    <w:rsid w:val="1F0C1B11"/>
    <w:rsid w:val="28F408DE"/>
    <w:rsid w:val="36FA25D0"/>
    <w:rsid w:val="6E660509"/>
    <w:rsid w:val="7FE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3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4">
    <w:name w:val="其他_"/>
    <w:basedOn w:val="a0"/>
    <w:link w:val="a5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5">
    <w:name w:val="其他"/>
    <w:basedOn w:val="a"/>
    <w:link w:val="a4"/>
    <w:qFormat/>
    <w:pPr>
      <w:spacing w:line="252" w:lineRule="auto"/>
    </w:pPr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qFormat/>
    <w:rPr>
      <w:rFonts w:ascii="宋体" w:eastAsia="宋体" w:hAnsi="宋体" w:cs="宋体"/>
      <w:b/>
      <w:bCs/>
      <w:u w:val="none"/>
      <w:shd w:val="clear" w:color="auto" w:fill="auto"/>
    </w:rPr>
  </w:style>
  <w:style w:type="paragraph" w:customStyle="1" w:styleId="1">
    <w:name w:val="正文文本1"/>
    <w:basedOn w:val="a"/>
    <w:link w:val="a3"/>
    <w:qFormat/>
    <w:pPr>
      <w:spacing w:after="50"/>
    </w:pPr>
    <w:rPr>
      <w:rFonts w:ascii="宋体" w:eastAsia="宋体" w:hAnsi="宋体" w:cs="宋体"/>
      <w:b/>
      <w:bCs/>
    </w:rPr>
  </w:style>
  <w:style w:type="character" w:customStyle="1" w:styleId="10">
    <w:name w:val="标题 #1_"/>
    <w:basedOn w:val="a0"/>
    <w:link w:val="11"/>
    <w:qFormat/>
    <w:rPr>
      <w:rFonts w:ascii="宋体" w:eastAsia="宋体" w:hAnsi="宋体" w:cs="宋体"/>
      <w:b/>
      <w:bCs/>
      <w:sz w:val="32"/>
      <w:szCs w:val="32"/>
      <w:u w:val="none"/>
      <w:shd w:val="clear" w:color="auto" w:fill="auto"/>
    </w:rPr>
  </w:style>
  <w:style w:type="paragraph" w:customStyle="1" w:styleId="11">
    <w:name w:val="标题 #1"/>
    <w:basedOn w:val="a"/>
    <w:link w:val="10"/>
    <w:qFormat/>
    <w:pPr>
      <w:spacing w:after="260" w:line="638" w:lineRule="exact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customStyle="1" w:styleId="a4">
    <w:name w:val="其他_"/>
    <w:basedOn w:val="a0"/>
    <w:link w:val="a5"/>
    <w:qFormat/>
    <w:rPr>
      <w:rFonts w:ascii="宋体" w:eastAsia="宋体" w:hAnsi="宋体" w:cs="宋体"/>
      <w:u w:val="none"/>
      <w:shd w:val="clear" w:color="auto" w:fill="auto"/>
    </w:rPr>
  </w:style>
  <w:style w:type="paragraph" w:customStyle="1" w:styleId="a5">
    <w:name w:val="其他"/>
    <w:basedOn w:val="a"/>
    <w:link w:val="a4"/>
    <w:qFormat/>
    <w:pPr>
      <w:spacing w:line="252" w:lineRule="auto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DC1C76-C036-40A0-8D75-655DC2B8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吴杰2</cp:lastModifiedBy>
  <cp:revision>4</cp:revision>
  <cp:lastPrinted>2022-09-30T07:13:00Z</cp:lastPrinted>
  <dcterms:created xsi:type="dcterms:W3CDTF">2023-11-03T09:01:00Z</dcterms:created>
  <dcterms:modified xsi:type="dcterms:W3CDTF">2023-11-03T09:16:00Z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26E4CD6BDE264170925CB1B18E8252E4_13</vt:lpwstr>
  </property>
</Properties>
</file>