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7D05" w14:textId="77777777" w:rsidR="00BC16BB" w:rsidRPr="00BC16BB" w:rsidRDefault="00BC16BB" w:rsidP="00BC16BB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BC16BB">
        <w:rPr>
          <w:rFonts w:ascii="宋体" w:eastAsia="宋体" w:hAnsi="宋体" w:hint="eastAsia"/>
          <w:b/>
          <w:sz w:val="32"/>
          <w:szCs w:val="32"/>
        </w:rPr>
        <w:t>浙江海正药业股份有限公司</w:t>
      </w:r>
    </w:p>
    <w:p w14:paraId="0A854454" w14:textId="5761CF1A" w:rsidR="00BC16BB" w:rsidRPr="00BC16BB" w:rsidRDefault="003D2AD7" w:rsidP="00BC16BB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3D2AD7">
        <w:rPr>
          <w:rFonts w:ascii="宋体" w:eastAsia="宋体" w:hAnsi="宋体"/>
          <w:b/>
          <w:sz w:val="32"/>
          <w:szCs w:val="32"/>
        </w:rPr>
        <w:t>机构</w:t>
      </w:r>
      <w:r w:rsidR="00380C5C">
        <w:rPr>
          <w:rFonts w:ascii="宋体" w:eastAsia="宋体" w:hAnsi="宋体"/>
          <w:b/>
          <w:sz w:val="32"/>
          <w:szCs w:val="32"/>
        </w:rPr>
        <w:t>投资者</w:t>
      </w:r>
      <w:r w:rsidRPr="003D2AD7">
        <w:rPr>
          <w:rFonts w:ascii="宋体" w:eastAsia="宋体" w:hAnsi="宋体"/>
          <w:b/>
          <w:sz w:val="32"/>
          <w:szCs w:val="32"/>
        </w:rPr>
        <w:t>交流会议内容纪要</w:t>
      </w:r>
    </w:p>
    <w:p w14:paraId="143D1FE6" w14:textId="77777777" w:rsidR="00BC16BB" w:rsidRDefault="00BC16BB"/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0"/>
        <w:gridCol w:w="4253"/>
        <w:gridCol w:w="992"/>
        <w:gridCol w:w="2273"/>
      </w:tblGrid>
      <w:tr w:rsidR="00BC16BB" w:rsidRPr="00BC16BB" w14:paraId="261D9606" w14:textId="77777777" w:rsidTr="00387FD6">
        <w:trPr>
          <w:trHeight w:val="409"/>
          <w:jc w:val="center"/>
        </w:trPr>
        <w:tc>
          <w:tcPr>
            <w:tcW w:w="1480" w:type="dxa"/>
            <w:vAlign w:val="center"/>
          </w:tcPr>
          <w:p w14:paraId="337A1198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时间</w:t>
            </w:r>
          </w:p>
        </w:tc>
        <w:tc>
          <w:tcPr>
            <w:tcW w:w="4253" w:type="dxa"/>
            <w:vAlign w:val="center"/>
          </w:tcPr>
          <w:p w14:paraId="6D01C0DE" w14:textId="0E2C522B" w:rsidR="00BC16BB" w:rsidRPr="00BC16BB" w:rsidRDefault="00691935" w:rsidP="00380C5C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C16BB">
              <w:rPr>
                <w:rFonts w:ascii="Times New Roman" w:hAnsi="Times New Roman"/>
                <w:sz w:val="24"/>
              </w:rPr>
              <w:t>-</w:t>
            </w:r>
            <w:r w:rsidR="00B0480F">
              <w:rPr>
                <w:rFonts w:ascii="Times New Roman" w:hAnsi="Times New Roman"/>
                <w:sz w:val="24"/>
              </w:rPr>
              <w:t>11</w:t>
            </w:r>
            <w:r w:rsidRPr="00BC16BB">
              <w:rPr>
                <w:rFonts w:ascii="Times New Roman" w:hAnsi="Times New Roman"/>
                <w:sz w:val="24"/>
              </w:rPr>
              <w:t>-</w:t>
            </w:r>
            <w:r w:rsidR="00B0480F">
              <w:rPr>
                <w:rFonts w:ascii="Times New Roman" w:hAnsi="Times New Roman"/>
                <w:sz w:val="24"/>
              </w:rPr>
              <w:t>2</w:t>
            </w:r>
            <w:r w:rsidRPr="00BC16BB"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1</w:t>
            </w:r>
            <w:r w:rsidR="00B0480F">
              <w:rPr>
                <w:rFonts w:ascii="Times New Roman" w:hAnsi="Times New Roman"/>
                <w:sz w:val="24"/>
              </w:rPr>
              <w:t>6</w:t>
            </w:r>
            <w:r w:rsidRPr="00BC16BB">
              <w:rPr>
                <w:rFonts w:ascii="Times New Roman" w:hAnsi="Times New Roman" w:hint="eastAsia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BC16BB">
              <w:rPr>
                <w:rFonts w:ascii="Times New Roman" w:hAnsi="Times New Roman" w:hint="eastAsia"/>
                <w:sz w:val="24"/>
              </w:rPr>
              <w:t>0-1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BC16BB">
              <w:rPr>
                <w:rFonts w:ascii="Times New Roman" w:hAnsi="Times New Roman" w:hint="eastAsia"/>
                <w:sz w:val="24"/>
              </w:rPr>
              <w:t>:</w:t>
            </w:r>
            <w:r w:rsidR="00B0480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7750FDE1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方式</w:t>
            </w:r>
          </w:p>
        </w:tc>
        <w:tc>
          <w:tcPr>
            <w:tcW w:w="2273" w:type="dxa"/>
            <w:vAlign w:val="center"/>
          </w:tcPr>
          <w:p w14:paraId="79289D0B" w14:textId="2CB07279" w:rsidR="00BC16BB" w:rsidRPr="00BC16BB" w:rsidRDefault="00B0480F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电话会议</w:t>
            </w:r>
          </w:p>
        </w:tc>
      </w:tr>
      <w:tr w:rsidR="00BC16BB" w:rsidRPr="00BC16BB" w14:paraId="481F808E" w14:textId="77777777" w:rsidTr="00387FD6">
        <w:trPr>
          <w:trHeight w:val="926"/>
          <w:jc w:val="center"/>
        </w:trPr>
        <w:tc>
          <w:tcPr>
            <w:tcW w:w="1480" w:type="dxa"/>
            <w:vAlign w:val="center"/>
          </w:tcPr>
          <w:p w14:paraId="581134BA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来访目的</w:t>
            </w:r>
          </w:p>
          <w:p w14:paraId="2720A787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或会议主题</w:t>
            </w:r>
          </w:p>
        </w:tc>
        <w:tc>
          <w:tcPr>
            <w:tcW w:w="7518" w:type="dxa"/>
            <w:gridSpan w:val="3"/>
            <w:vAlign w:val="center"/>
          </w:tcPr>
          <w:p w14:paraId="2AC7A55C" w14:textId="624EDDC3" w:rsidR="00BC16BB" w:rsidRPr="00BC16BB" w:rsidRDefault="00B0480F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0480F">
              <w:rPr>
                <w:rFonts w:ascii="Times New Roman" w:eastAsia="宋体" w:hAnsi="Times New Roman"/>
                <w:sz w:val="24"/>
              </w:rPr>
              <w:t>2023</w:t>
            </w:r>
            <w:r w:rsidRPr="00B0480F">
              <w:rPr>
                <w:rFonts w:ascii="Times New Roman" w:eastAsia="宋体" w:hAnsi="Times New Roman"/>
                <w:sz w:val="24"/>
              </w:rPr>
              <w:t>年第三季度机构交流电话会议</w:t>
            </w:r>
          </w:p>
        </w:tc>
      </w:tr>
      <w:tr w:rsidR="00BC16BB" w:rsidRPr="00BC16BB" w14:paraId="596BCC17" w14:textId="77777777" w:rsidTr="00387FD6">
        <w:trPr>
          <w:trHeight w:val="8622"/>
          <w:jc w:val="center"/>
        </w:trPr>
        <w:tc>
          <w:tcPr>
            <w:tcW w:w="1480" w:type="dxa"/>
            <w:vAlign w:val="center"/>
          </w:tcPr>
          <w:p w14:paraId="7B93A205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投资者</w:t>
            </w:r>
          </w:p>
          <w:p w14:paraId="69BBA33C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或来访者</w:t>
            </w:r>
          </w:p>
        </w:tc>
        <w:tc>
          <w:tcPr>
            <w:tcW w:w="7518" w:type="dxa"/>
            <w:gridSpan w:val="3"/>
            <w:vAlign w:val="center"/>
          </w:tcPr>
          <w:p w14:paraId="5E7213BB" w14:textId="2DE333EB" w:rsidR="00BC16BB" w:rsidRPr="00BC16BB" w:rsidRDefault="00A36963" w:rsidP="007467EA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A36963">
              <w:rPr>
                <w:rFonts w:ascii="Times New Roman" w:eastAsia="宋体" w:hAnsi="Times New Roman" w:hint="eastAsia"/>
                <w:sz w:val="24"/>
              </w:rPr>
              <w:t>大成基金、易方达基金、南方基金、上海金浦健服、德邦证券、国金证券、华福证券、西部证券、兴业证券、华夏基金、招商基金、万家基金、浦银安盛基金、国寿安保基金、西部利得基金、光大保德信基金、华富基金、太平基金、中航基金、富安达基金、恒越基金、巨杉资管、淡水泉投资、天津易鑫安资管、相聚资本、禾永投资、上海仙人掌私募基金、浙江国恬私募基金、重庆诺鼎资管、深圳市尚诚资管、杭州中大君悦投资、河南汇众资管、北京泾谷私募基金、青榕资管、上海途灵资管、北京大道兴业投资、上海于翼资管、正圆投资、上海紫阁投资、上海合道资管、永唐盛世、明世伙伴基金、青骊投资、深圳大道至诚投资、丰琰投资、上海中域资管、深圳市红石榴投资、深圳量度资本、杭州金蟾蜍投资、鸿运私募基金、深圳市向日葵投资、熙德博远私募、上海东方证券资管、中银国际证券、首创证券、国信证券、安信证券、财通证券、华泰证券、华龙证券、国新证券、上海证券、东海证券、招商证券、天风证券、东方证券、野村东方国际证券、华融证券、长城财富资管、昆仑健康保险、太平养老保险、上海翀云投资、上海冰河资管、上海牛乎资管、华夏久盈资管、郑州智子投资、上海乾石投资、深圳进门财经科技、果行育德、宁银理财、兴业银行、青岛金光紫金、嘉诚、千毅资本、羊角基金、碧云资本、摩根士丹利、中国光大控股等</w:t>
            </w:r>
            <w:r w:rsidRPr="00A36963">
              <w:rPr>
                <w:rFonts w:ascii="Times New Roman" w:eastAsia="宋体" w:hAnsi="Times New Roman"/>
                <w:sz w:val="24"/>
              </w:rPr>
              <w:t>80</w:t>
            </w:r>
            <w:r w:rsidRPr="00A36963">
              <w:rPr>
                <w:rFonts w:ascii="Times New Roman" w:eastAsia="宋体" w:hAnsi="Times New Roman"/>
                <w:sz w:val="24"/>
              </w:rPr>
              <w:t>余家机构</w:t>
            </w:r>
          </w:p>
        </w:tc>
      </w:tr>
      <w:tr w:rsidR="00BC16BB" w:rsidRPr="00BC16BB" w14:paraId="20A6FB8C" w14:textId="77777777" w:rsidTr="00A36963">
        <w:trPr>
          <w:trHeight w:val="2154"/>
          <w:jc w:val="center"/>
        </w:trPr>
        <w:tc>
          <w:tcPr>
            <w:tcW w:w="1480" w:type="dxa"/>
            <w:vAlign w:val="center"/>
          </w:tcPr>
          <w:p w14:paraId="1781826C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海正药业</w:t>
            </w:r>
          </w:p>
          <w:p w14:paraId="5E752A92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接待人员</w:t>
            </w:r>
          </w:p>
        </w:tc>
        <w:tc>
          <w:tcPr>
            <w:tcW w:w="7518" w:type="dxa"/>
            <w:gridSpan w:val="3"/>
            <w:vAlign w:val="center"/>
          </w:tcPr>
          <w:p w14:paraId="4FEF0BDD" w14:textId="3AE103F9" w:rsidR="00BC16BB" w:rsidRPr="00BC16BB" w:rsidRDefault="00B0480F" w:rsidP="0033061E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0480F">
              <w:rPr>
                <w:rFonts w:ascii="Times New Roman" w:eastAsia="宋体" w:hAnsi="Times New Roman" w:hint="eastAsia"/>
                <w:sz w:val="24"/>
              </w:rPr>
              <w:t>总裁肖卫红</w:t>
            </w:r>
            <w:r>
              <w:rPr>
                <w:rFonts w:ascii="Times New Roman" w:eastAsia="宋体" w:hAnsi="Times New Roman" w:hint="eastAsia"/>
                <w:sz w:val="24"/>
              </w:rPr>
              <w:t>，</w:t>
            </w:r>
            <w:r w:rsidRPr="00B0480F">
              <w:rPr>
                <w:rFonts w:ascii="Times New Roman" w:eastAsia="宋体" w:hAnsi="Times New Roman" w:hint="eastAsia"/>
                <w:sz w:val="24"/>
              </w:rPr>
              <w:t>董事兼高级副总裁杜加秋</w:t>
            </w:r>
            <w:r>
              <w:rPr>
                <w:rFonts w:ascii="Times New Roman" w:eastAsia="宋体" w:hAnsi="Times New Roman" w:hint="eastAsia"/>
                <w:sz w:val="24"/>
              </w:rPr>
              <w:t>，</w:t>
            </w:r>
            <w:r w:rsidRPr="00B0480F">
              <w:rPr>
                <w:rFonts w:ascii="Times New Roman" w:eastAsia="宋体" w:hAnsi="Times New Roman" w:hint="eastAsia"/>
                <w:sz w:val="24"/>
              </w:rPr>
              <w:t>高级副总裁杨志清、</w:t>
            </w:r>
            <w:r>
              <w:rPr>
                <w:rFonts w:ascii="Times New Roman" w:eastAsia="宋体" w:hAnsi="Times New Roman" w:hint="eastAsia"/>
                <w:sz w:val="24"/>
              </w:rPr>
              <w:t>路兴海，</w:t>
            </w:r>
            <w:r w:rsidRPr="00B0480F">
              <w:rPr>
                <w:rFonts w:ascii="Times New Roman" w:eastAsia="宋体" w:hAnsi="Times New Roman" w:hint="eastAsia"/>
                <w:sz w:val="24"/>
              </w:rPr>
              <w:t>董事长助理蒋灵</w:t>
            </w:r>
            <w:r>
              <w:rPr>
                <w:rFonts w:ascii="Times New Roman" w:eastAsia="宋体" w:hAnsi="Times New Roman" w:hint="eastAsia"/>
                <w:sz w:val="24"/>
              </w:rPr>
              <w:t>，</w:t>
            </w:r>
            <w:r w:rsidRPr="00B0480F">
              <w:rPr>
                <w:rFonts w:ascii="Times New Roman" w:eastAsia="宋体" w:hAnsi="Times New Roman" w:hint="eastAsia"/>
                <w:sz w:val="24"/>
              </w:rPr>
              <w:t>董事会秘书沈锡飞</w:t>
            </w:r>
            <w:r>
              <w:rPr>
                <w:rFonts w:ascii="Times New Roman" w:eastAsia="宋体" w:hAnsi="Times New Roman" w:hint="eastAsia"/>
                <w:sz w:val="24"/>
              </w:rPr>
              <w:t>，</w:t>
            </w:r>
            <w:r w:rsidRPr="00B0480F">
              <w:rPr>
                <w:rFonts w:ascii="Times New Roman" w:eastAsia="宋体" w:hAnsi="Times New Roman" w:hint="eastAsia"/>
                <w:sz w:val="24"/>
              </w:rPr>
              <w:t>财务总监张祯颖</w:t>
            </w:r>
            <w:r>
              <w:rPr>
                <w:rFonts w:ascii="Times New Roman" w:eastAsia="宋体" w:hAnsi="Times New Roman" w:hint="eastAsia"/>
                <w:sz w:val="24"/>
              </w:rPr>
              <w:t>，</w:t>
            </w:r>
            <w:r w:rsidRPr="00B0480F">
              <w:rPr>
                <w:rFonts w:ascii="Times New Roman" w:eastAsia="宋体" w:hAnsi="Times New Roman" w:hint="eastAsia"/>
                <w:sz w:val="24"/>
              </w:rPr>
              <w:t>中央研究院副院长周厚江</w:t>
            </w:r>
            <w:r>
              <w:rPr>
                <w:rFonts w:ascii="Times New Roman" w:eastAsia="宋体" w:hAnsi="Times New Roman" w:hint="eastAsia"/>
                <w:sz w:val="24"/>
              </w:rPr>
              <w:t>，</w:t>
            </w:r>
            <w:r w:rsidRPr="00B0480F">
              <w:rPr>
                <w:rFonts w:ascii="Times New Roman" w:eastAsia="宋体" w:hAnsi="Times New Roman" w:hint="eastAsia"/>
                <w:sz w:val="24"/>
              </w:rPr>
              <w:t>海正动保总经理冀伟</w:t>
            </w:r>
            <w:r>
              <w:rPr>
                <w:rFonts w:ascii="Times New Roman" w:eastAsia="宋体" w:hAnsi="Times New Roman" w:hint="eastAsia"/>
                <w:sz w:val="24"/>
              </w:rPr>
              <w:t>，</w:t>
            </w:r>
            <w:r w:rsidRPr="00B0480F">
              <w:rPr>
                <w:rFonts w:ascii="Times New Roman" w:eastAsia="宋体" w:hAnsi="Times New Roman" w:hint="eastAsia"/>
                <w:sz w:val="24"/>
              </w:rPr>
              <w:t>瀚晖制药抗感染及特药事业部总经理文玉蓉</w:t>
            </w:r>
          </w:p>
        </w:tc>
      </w:tr>
      <w:tr w:rsidR="00BC16BB" w:rsidRPr="00BC16BB" w14:paraId="28799C8D" w14:textId="77777777" w:rsidTr="002C0FA7">
        <w:trPr>
          <w:trHeight w:val="377"/>
          <w:jc w:val="center"/>
        </w:trPr>
        <w:tc>
          <w:tcPr>
            <w:tcW w:w="8998" w:type="dxa"/>
            <w:gridSpan w:val="4"/>
            <w:vAlign w:val="center"/>
          </w:tcPr>
          <w:p w14:paraId="410CF0AB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b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lastRenderedPageBreak/>
              <w:t>会议记录</w:t>
            </w:r>
          </w:p>
        </w:tc>
      </w:tr>
      <w:tr w:rsidR="00BC16BB" w:rsidRPr="00913785" w14:paraId="4E54F723" w14:textId="77777777" w:rsidTr="002C0FA7">
        <w:trPr>
          <w:trHeight w:val="3969"/>
          <w:jc w:val="center"/>
        </w:trPr>
        <w:tc>
          <w:tcPr>
            <w:tcW w:w="8998" w:type="dxa"/>
            <w:gridSpan w:val="4"/>
          </w:tcPr>
          <w:p w14:paraId="61BBFEFC" w14:textId="11855277" w:rsidR="0081733E" w:rsidRDefault="00691935" w:rsidP="002C0FA7">
            <w:pPr>
              <w:spacing w:line="360" w:lineRule="auto"/>
              <w:ind w:firstLineChars="200" w:firstLine="482"/>
              <w:rPr>
                <w:rFonts w:ascii="Times New Roman" w:eastAsia="宋体" w:hAnsi="Times New Roman"/>
                <w:b/>
                <w:sz w:val="24"/>
              </w:rPr>
            </w:pPr>
            <w:r w:rsidRPr="00691935">
              <w:rPr>
                <w:rFonts w:ascii="Times New Roman" w:eastAsia="宋体" w:hAnsi="Times New Roman" w:hint="eastAsia"/>
                <w:b/>
                <w:sz w:val="24"/>
              </w:rPr>
              <w:t>本次会议由</w:t>
            </w:r>
            <w:r w:rsidR="001B6B50">
              <w:rPr>
                <w:rFonts w:ascii="Times New Roman" w:eastAsia="宋体" w:hAnsi="Times New Roman" w:hint="eastAsia"/>
                <w:b/>
                <w:sz w:val="24"/>
              </w:rPr>
              <w:t>董事会秘书沈锡飞</w:t>
            </w:r>
            <w:r w:rsidRPr="00691935">
              <w:rPr>
                <w:rFonts w:ascii="Times New Roman" w:eastAsia="宋体" w:hAnsi="Times New Roman" w:hint="eastAsia"/>
                <w:b/>
                <w:sz w:val="24"/>
              </w:rPr>
              <w:t>先生主持。会议首先由董事会秘书</w:t>
            </w:r>
            <w:r w:rsidR="001B4084">
              <w:rPr>
                <w:rFonts w:ascii="Times New Roman" w:eastAsia="宋体" w:hAnsi="Times New Roman" w:hint="eastAsia"/>
                <w:b/>
                <w:sz w:val="24"/>
              </w:rPr>
              <w:t>沈锡飞先生</w:t>
            </w:r>
            <w:r w:rsidRPr="00691935">
              <w:rPr>
                <w:rFonts w:ascii="Times New Roman" w:eastAsia="宋体" w:hAnsi="Times New Roman" w:hint="eastAsia"/>
                <w:b/>
                <w:sz w:val="24"/>
              </w:rPr>
              <w:t>对公司</w:t>
            </w:r>
            <w:r w:rsidR="001B6B50">
              <w:rPr>
                <w:rFonts w:ascii="Times New Roman" w:eastAsia="宋体" w:hAnsi="Times New Roman" w:hint="eastAsia"/>
                <w:b/>
                <w:sz w:val="24"/>
              </w:rPr>
              <w:t>前三季度经营</w:t>
            </w:r>
            <w:r w:rsidRPr="00691935">
              <w:rPr>
                <w:rFonts w:ascii="Times New Roman" w:eastAsia="宋体" w:hAnsi="Times New Roman" w:hint="eastAsia"/>
                <w:b/>
                <w:sz w:val="24"/>
              </w:rPr>
              <w:t>情况做简要介绍，介绍完毕后，与会嘉宾与公司管理层进行了互动交流。最后，由</w:t>
            </w:r>
            <w:r w:rsidR="001B6B50">
              <w:rPr>
                <w:rFonts w:ascii="Times New Roman" w:eastAsia="宋体" w:hAnsi="Times New Roman" w:hint="eastAsia"/>
                <w:b/>
                <w:sz w:val="24"/>
              </w:rPr>
              <w:t>总裁肖卫红</w:t>
            </w:r>
            <w:r w:rsidRPr="00691935">
              <w:rPr>
                <w:rFonts w:ascii="Times New Roman" w:eastAsia="宋体" w:hAnsi="Times New Roman" w:hint="eastAsia"/>
                <w:b/>
                <w:sz w:val="24"/>
              </w:rPr>
              <w:t>先生作总结发言及致谢。</w:t>
            </w:r>
          </w:p>
          <w:p w14:paraId="71239297" w14:textId="3B439877" w:rsidR="00BC16BB" w:rsidRDefault="00BC16BB" w:rsidP="002C0FA7">
            <w:pPr>
              <w:spacing w:line="360" w:lineRule="auto"/>
              <w:ind w:firstLineChars="200" w:firstLine="482"/>
              <w:rPr>
                <w:rFonts w:ascii="Times New Roman" w:eastAsia="宋体" w:hAnsi="Times New Roman"/>
                <w:b/>
                <w:sz w:val="24"/>
              </w:rPr>
            </w:pPr>
            <w:r w:rsidRPr="00BC16BB">
              <w:rPr>
                <w:rFonts w:ascii="Times New Roman" w:eastAsia="宋体" w:hAnsi="Times New Roman"/>
                <w:b/>
                <w:sz w:val="24"/>
              </w:rPr>
              <w:t>本次活动不涉及应当披露的重大信息。</w:t>
            </w:r>
          </w:p>
          <w:p w14:paraId="2B3CDF47" w14:textId="77777777" w:rsidR="00B93A7D" w:rsidRPr="00BC16BB" w:rsidRDefault="00B93A7D" w:rsidP="002C0FA7">
            <w:pPr>
              <w:spacing w:line="360" w:lineRule="auto"/>
              <w:ind w:firstLineChars="200" w:firstLine="482"/>
              <w:rPr>
                <w:rFonts w:ascii="Times New Roman" w:eastAsia="宋体" w:hAnsi="Times New Roman"/>
                <w:b/>
                <w:sz w:val="24"/>
              </w:rPr>
            </w:pPr>
          </w:p>
          <w:p w14:paraId="3087CE81" w14:textId="73B93A85" w:rsidR="00186F25" w:rsidRPr="00186F25" w:rsidRDefault="00186F25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 w:rsidRPr="00186F25">
              <w:rPr>
                <w:rFonts w:ascii="Times New Roman" w:eastAsia="宋体" w:hAnsi="Times New Roman"/>
                <w:sz w:val="24"/>
              </w:rPr>
              <w:t>Q</w:t>
            </w:r>
            <w:r w:rsidRPr="00186F25">
              <w:rPr>
                <w:rFonts w:ascii="Times New Roman" w:eastAsia="宋体" w:hAnsi="Times New Roman"/>
                <w:sz w:val="24"/>
              </w:rPr>
              <w:t>：</w:t>
            </w:r>
            <w:r w:rsidR="00A23FD7">
              <w:rPr>
                <w:rFonts w:ascii="Times New Roman" w:eastAsia="宋体" w:hAnsi="Times New Roman" w:hint="eastAsia"/>
                <w:sz w:val="24"/>
              </w:rPr>
              <w:t>简要介绍下前三季度公司的经营情况？</w:t>
            </w:r>
          </w:p>
          <w:p w14:paraId="132DB4A7" w14:textId="71799789" w:rsidR="00A23FD7" w:rsidRDefault="00186F25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 w:rsidRPr="00186F25">
              <w:rPr>
                <w:rFonts w:ascii="Times New Roman" w:eastAsia="宋体" w:hAnsi="Times New Roman"/>
                <w:sz w:val="24"/>
              </w:rPr>
              <w:t>A</w:t>
            </w:r>
            <w:r w:rsidRPr="00186F25">
              <w:rPr>
                <w:rFonts w:ascii="Times New Roman" w:eastAsia="宋体" w:hAnsi="Times New Roman"/>
                <w:sz w:val="24"/>
              </w:rPr>
              <w:t>：</w:t>
            </w:r>
            <w:r w:rsidR="00A23FD7" w:rsidRPr="00A23FD7">
              <w:rPr>
                <w:rFonts w:ascii="Times New Roman" w:eastAsia="宋体" w:hAnsi="Times New Roman"/>
                <w:sz w:val="24"/>
              </w:rPr>
              <w:t>2023</w:t>
            </w:r>
            <w:r w:rsidR="00A23FD7" w:rsidRPr="00A23FD7">
              <w:rPr>
                <w:rFonts w:ascii="Times New Roman" w:eastAsia="宋体" w:hAnsi="Times New Roman"/>
                <w:sz w:val="24"/>
              </w:rPr>
              <w:t>年前三季度，公司经营利润实现较高增长，整体财务状况保持良性运转，实现营业收入</w:t>
            </w:r>
            <w:r w:rsidR="00A23FD7" w:rsidRPr="00A23FD7">
              <w:rPr>
                <w:rFonts w:ascii="Times New Roman" w:eastAsia="宋体" w:hAnsi="Times New Roman"/>
                <w:sz w:val="24"/>
              </w:rPr>
              <w:t>87</w:t>
            </w:r>
            <w:r w:rsidR="00A23FD7" w:rsidRPr="00A23FD7">
              <w:rPr>
                <w:rFonts w:ascii="Times New Roman" w:eastAsia="宋体" w:hAnsi="Times New Roman"/>
                <w:sz w:val="24"/>
              </w:rPr>
              <w:t>亿元，与去年同期持平；</w:t>
            </w:r>
            <w:r w:rsidR="00A23FD7" w:rsidRPr="00A23FD7">
              <w:rPr>
                <w:rFonts w:ascii="Times New Roman" w:eastAsia="宋体" w:hAnsi="Times New Roman" w:hint="eastAsia"/>
                <w:sz w:val="24"/>
              </w:rPr>
              <w:t>实现归属于母公司所有者净利润</w:t>
            </w:r>
            <w:r w:rsidR="00A23FD7" w:rsidRPr="00A23FD7">
              <w:rPr>
                <w:rFonts w:ascii="Times New Roman" w:eastAsia="宋体" w:hAnsi="Times New Roman"/>
                <w:sz w:val="24"/>
              </w:rPr>
              <w:t>4.57</w:t>
            </w:r>
            <w:r w:rsidR="00A23FD7" w:rsidRPr="00A23FD7">
              <w:rPr>
                <w:rFonts w:ascii="Times New Roman" w:eastAsia="宋体" w:hAnsi="Times New Roman"/>
                <w:sz w:val="24"/>
              </w:rPr>
              <w:t>亿元，较上年同期增长</w:t>
            </w:r>
            <w:r w:rsidR="00A23FD7" w:rsidRPr="00A23FD7">
              <w:rPr>
                <w:rFonts w:ascii="Times New Roman" w:eastAsia="宋体" w:hAnsi="Times New Roman"/>
                <w:sz w:val="24"/>
              </w:rPr>
              <w:t>38.03%</w:t>
            </w:r>
            <w:r w:rsidR="00A23FD7" w:rsidRPr="00A23FD7">
              <w:rPr>
                <w:rFonts w:ascii="Times New Roman" w:eastAsia="宋体" w:hAnsi="Times New Roman"/>
                <w:sz w:val="24"/>
              </w:rPr>
              <w:t>；归属于上市公司股东的扣除非经常性损益的净利润为</w:t>
            </w:r>
            <w:r w:rsidR="00A23FD7" w:rsidRPr="00A23FD7">
              <w:rPr>
                <w:rFonts w:ascii="Times New Roman" w:eastAsia="宋体" w:hAnsi="Times New Roman"/>
                <w:sz w:val="24"/>
              </w:rPr>
              <w:t>3.32</w:t>
            </w:r>
            <w:r w:rsidR="00A23FD7" w:rsidRPr="00A23FD7">
              <w:rPr>
                <w:rFonts w:ascii="Times New Roman" w:eastAsia="宋体" w:hAnsi="Times New Roman"/>
                <w:sz w:val="24"/>
              </w:rPr>
              <w:t>亿元，较上年同期增长</w:t>
            </w:r>
            <w:r w:rsidR="00A23FD7" w:rsidRPr="00A23FD7">
              <w:rPr>
                <w:rFonts w:ascii="Times New Roman" w:eastAsia="宋体" w:hAnsi="Times New Roman"/>
                <w:sz w:val="24"/>
              </w:rPr>
              <w:t>26.89%</w:t>
            </w:r>
            <w:r w:rsidR="00A23FD7">
              <w:rPr>
                <w:rFonts w:ascii="Times New Roman" w:eastAsia="宋体" w:hAnsi="Times New Roman" w:hint="eastAsia"/>
                <w:sz w:val="24"/>
              </w:rPr>
              <w:t>。</w:t>
            </w:r>
          </w:p>
          <w:p w14:paraId="60B7515D" w14:textId="2406E313" w:rsidR="00A23FD7" w:rsidRDefault="00A23FD7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374212F7" w14:textId="1DC3EBF6" w:rsidR="00A23FD7" w:rsidRDefault="00A23FD7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：原料药板块前三季度的业绩情况及</w:t>
            </w: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/>
                <w:sz w:val="24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</w:rPr>
              <w:t>季度业绩展望？</w:t>
            </w:r>
          </w:p>
          <w:p w14:paraId="36EA5615" w14:textId="77777777" w:rsidR="00DF57A5" w:rsidRPr="00DF57A5" w:rsidRDefault="00A23FD7" w:rsidP="00DF57A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DF57A5" w:rsidRPr="00DF57A5">
              <w:rPr>
                <w:rFonts w:ascii="Times New Roman" w:eastAsia="宋体" w:hAnsi="Times New Roman"/>
                <w:sz w:val="24"/>
              </w:rPr>
              <w:t>API</w:t>
            </w:r>
            <w:r w:rsidR="00DF57A5" w:rsidRPr="00DF57A5">
              <w:rPr>
                <w:rFonts w:ascii="Times New Roman" w:eastAsia="宋体" w:hAnsi="Times New Roman"/>
                <w:sz w:val="24"/>
              </w:rPr>
              <w:t>板块前三季度外销部分与去年同期基本持平，供给公司自产原料药部分较去年同期有比较大的增长。通过产品结构的优化及内部管理的降本增效，整个板块的利润贡献较去年同期有比较显著的增长。</w:t>
            </w:r>
          </w:p>
          <w:p w14:paraId="06EF275F" w14:textId="1598008F" w:rsidR="007A24BB" w:rsidRDefault="00DF57A5" w:rsidP="00DF57A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 w:rsidRPr="00DF57A5">
              <w:rPr>
                <w:rFonts w:ascii="Times New Roman" w:eastAsia="宋体" w:hAnsi="Times New Roman" w:hint="eastAsia"/>
                <w:sz w:val="24"/>
              </w:rPr>
              <w:t>无论是从竞争对手方面还是从大环境方面，原料药板块仍有较大压力，后续主要通过制剂业务的配套、现有业务的拓展、新品种的导入、</w:t>
            </w:r>
            <w:r w:rsidRPr="00DF57A5">
              <w:rPr>
                <w:rFonts w:ascii="Times New Roman" w:eastAsia="宋体" w:hAnsi="Times New Roman"/>
                <w:sz w:val="24"/>
              </w:rPr>
              <w:t>CDMO/CMO</w:t>
            </w:r>
            <w:r w:rsidRPr="00DF57A5">
              <w:rPr>
                <w:rFonts w:ascii="Times New Roman" w:eastAsia="宋体" w:hAnsi="Times New Roman"/>
                <w:sz w:val="24"/>
              </w:rPr>
              <w:t>项目的合作等方面发力。</w:t>
            </w:r>
          </w:p>
          <w:p w14:paraId="78BCDA4A" w14:textId="710B36A9" w:rsidR="00A23FD7" w:rsidRDefault="00A23FD7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563CD6B2" w14:textId="04839443" w:rsidR="007A24BB" w:rsidRDefault="007A24BB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：瀚晖第三季度经营是否受到外部环境影响？</w:t>
            </w:r>
            <w:r w:rsidR="004E0F04">
              <w:rPr>
                <w:rFonts w:ascii="Times New Roman" w:eastAsia="宋体" w:hAnsi="Times New Roman"/>
                <w:sz w:val="24"/>
              </w:rPr>
              <w:t xml:space="preserve"> </w:t>
            </w:r>
          </w:p>
          <w:p w14:paraId="560C4377" w14:textId="062915AF" w:rsidR="007A24BB" w:rsidRDefault="007A24BB" w:rsidP="007A24BB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4B6126" w:rsidRPr="004B6126">
              <w:rPr>
                <w:rFonts w:ascii="Times New Roman" w:eastAsia="宋体" w:hAnsi="Times New Roman" w:hint="eastAsia"/>
                <w:sz w:val="24"/>
              </w:rPr>
              <w:t>整体来讲，今年的医药市场环境跟往年比更残酷一些。瀚晖的产品版图较广，总体来说，前三季度瀚晖的业务拓展较为平稳，基本符合预期。</w:t>
            </w:r>
          </w:p>
          <w:p w14:paraId="6F073579" w14:textId="77777777" w:rsidR="004E0F04" w:rsidRDefault="004E0F04" w:rsidP="0031355B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1CC7FE33" w14:textId="2A6DCED1" w:rsidR="004E0F04" w:rsidRDefault="004E0F04" w:rsidP="0031355B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：集采落标品种对业绩影响？第八批集采</w:t>
            </w:r>
            <w:r w:rsidR="00C70113">
              <w:rPr>
                <w:rFonts w:ascii="Times New Roman" w:eastAsia="宋体" w:hAnsi="Times New Roman" w:hint="eastAsia"/>
                <w:sz w:val="24"/>
              </w:rPr>
              <w:t>执标</w:t>
            </w:r>
            <w:r>
              <w:rPr>
                <w:rFonts w:ascii="Times New Roman" w:eastAsia="宋体" w:hAnsi="Times New Roman" w:hint="eastAsia"/>
                <w:sz w:val="24"/>
              </w:rPr>
              <w:t>后，特治星、多达一销售情况？</w:t>
            </w:r>
          </w:p>
          <w:p w14:paraId="0643D063" w14:textId="0EA1A4FF" w:rsidR="0031355B" w:rsidRDefault="004E0F04" w:rsidP="0031355B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31355B">
              <w:rPr>
                <w:rFonts w:ascii="Times New Roman" w:eastAsia="宋体" w:hAnsi="Times New Roman" w:hint="eastAsia"/>
                <w:sz w:val="24"/>
              </w:rPr>
              <w:t>对于集采，公司针对不同的产品会采用不</w:t>
            </w:r>
            <w:r w:rsidR="00C70113">
              <w:rPr>
                <w:rFonts w:ascii="Times New Roman" w:eastAsia="宋体" w:hAnsi="Times New Roman" w:hint="eastAsia"/>
                <w:sz w:val="24"/>
              </w:rPr>
              <w:t>同</w:t>
            </w:r>
            <w:r w:rsidR="0031355B">
              <w:rPr>
                <w:rFonts w:ascii="Times New Roman" w:eastAsia="宋体" w:hAnsi="Times New Roman" w:hint="eastAsia"/>
                <w:sz w:val="24"/>
              </w:rPr>
              <w:t>的策略，有些品种是战略性弃标的，在此过程中公司已经</w:t>
            </w:r>
            <w:r w:rsidR="0031355B" w:rsidRPr="007A24BB">
              <w:rPr>
                <w:rFonts w:ascii="Times New Roman" w:eastAsia="宋体" w:hAnsi="Times New Roman" w:hint="eastAsia"/>
                <w:sz w:val="24"/>
              </w:rPr>
              <w:t>对外部环境做预判，</w:t>
            </w:r>
            <w:r w:rsidR="0031355B">
              <w:rPr>
                <w:rFonts w:ascii="Times New Roman" w:eastAsia="宋体" w:hAnsi="Times New Roman" w:hint="eastAsia"/>
                <w:sz w:val="24"/>
              </w:rPr>
              <w:t>提前</w:t>
            </w:r>
            <w:r w:rsidR="0031355B" w:rsidRPr="007A24BB">
              <w:rPr>
                <w:rFonts w:ascii="Times New Roman" w:eastAsia="宋体" w:hAnsi="Times New Roman" w:hint="eastAsia"/>
                <w:sz w:val="24"/>
              </w:rPr>
              <w:t>做</w:t>
            </w:r>
            <w:r w:rsidR="004D4D2F">
              <w:rPr>
                <w:rFonts w:ascii="Times New Roman" w:eastAsia="宋体" w:hAnsi="Times New Roman" w:hint="eastAsia"/>
                <w:sz w:val="24"/>
              </w:rPr>
              <w:t>了多种版本的</w:t>
            </w:r>
            <w:r w:rsidR="0031355B" w:rsidRPr="007A24BB">
              <w:rPr>
                <w:rFonts w:ascii="Times New Roman" w:eastAsia="宋体" w:hAnsi="Times New Roman" w:hint="eastAsia"/>
                <w:sz w:val="24"/>
              </w:rPr>
              <w:t>市场</w:t>
            </w:r>
            <w:r>
              <w:rPr>
                <w:rFonts w:ascii="Times New Roman" w:eastAsia="宋体" w:hAnsi="Times New Roman" w:hint="eastAsia"/>
                <w:sz w:val="24"/>
              </w:rPr>
              <w:t>分析</w:t>
            </w:r>
            <w:r w:rsidR="0031355B">
              <w:rPr>
                <w:rFonts w:ascii="Times New Roman" w:eastAsia="宋体" w:hAnsi="Times New Roman" w:hint="eastAsia"/>
                <w:sz w:val="24"/>
              </w:rPr>
              <w:t>及</w:t>
            </w:r>
            <w:r w:rsidR="0031355B" w:rsidRPr="007A24BB">
              <w:rPr>
                <w:rFonts w:ascii="Times New Roman" w:eastAsia="宋体" w:hAnsi="Times New Roman" w:hint="eastAsia"/>
                <w:sz w:val="24"/>
              </w:rPr>
              <w:t>预处理</w:t>
            </w:r>
            <w:r w:rsidR="0031355B">
              <w:rPr>
                <w:rFonts w:ascii="Times New Roman" w:eastAsia="宋体" w:hAnsi="Times New Roman" w:hint="eastAsia"/>
                <w:sz w:val="24"/>
              </w:rPr>
              <w:t>。</w:t>
            </w:r>
          </w:p>
          <w:p w14:paraId="619C0BAD" w14:textId="76709FA4" w:rsidR="004E0F04" w:rsidRDefault="004E0F04" w:rsidP="0031355B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对于特治星、多达一这两个产品，公司在国家集采政策一开始公布时，就预判</w:t>
            </w:r>
            <w:r w:rsidR="009418F7">
              <w:rPr>
                <w:rFonts w:ascii="Times New Roman" w:eastAsia="宋体" w:hAnsi="Times New Roman" w:hint="eastAsia"/>
                <w:sz w:val="24"/>
              </w:rPr>
              <w:t>它</w:t>
            </w:r>
            <w:r>
              <w:rPr>
                <w:rFonts w:ascii="Times New Roman" w:eastAsia="宋体" w:hAnsi="Times New Roman" w:hint="eastAsia"/>
                <w:sz w:val="24"/>
              </w:rPr>
              <w:t>们可能会集采，所以很早就做了细致的分析，判断哪些是可以保留的医院</w:t>
            </w:r>
            <w:r w:rsidR="00C52F66">
              <w:rPr>
                <w:rFonts w:ascii="Times New Roman" w:eastAsia="宋体" w:hAnsi="Times New Roman" w:hint="eastAsia"/>
                <w:sz w:val="24"/>
              </w:rPr>
              <w:t>，提前布局</w:t>
            </w:r>
            <w:r w:rsidR="00C52F66">
              <w:rPr>
                <w:rFonts w:ascii="Times New Roman" w:eastAsia="宋体" w:hAnsi="Times New Roman" w:hint="eastAsia"/>
                <w:sz w:val="24"/>
              </w:rPr>
              <w:lastRenderedPageBreak/>
              <w:t>了很多准入医院，还有</w:t>
            </w:r>
            <w:r w:rsidR="00240289">
              <w:rPr>
                <w:rFonts w:ascii="Times New Roman" w:eastAsia="宋体" w:hAnsi="Times New Roman" w:hint="eastAsia"/>
                <w:sz w:val="24"/>
              </w:rPr>
              <w:t>多种销售</w:t>
            </w:r>
            <w:r w:rsidR="00C52F66">
              <w:rPr>
                <w:rFonts w:ascii="Times New Roman" w:eastAsia="宋体" w:hAnsi="Times New Roman" w:hint="eastAsia"/>
                <w:sz w:val="24"/>
              </w:rPr>
              <w:t>渠道下沉</w:t>
            </w:r>
            <w:r w:rsidR="00240289">
              <w:rPr>
                <w:rFonts w:ascii="Times New Roman" w:eastAsia="宋体" w:hAnsi="Times New Roman" w:hint="eastAsia"/>
                <w:sz w:val="24"/>
              </w:rPr>
              <w:t>方式。</w:t>
            </w:r>
          </w:p>
          <w:p w14:paraId="7435A099" w14:textId="7BE30794" w:rsidR="007A24BB" w:rsidRDefault="00240289" w:rsidP="007A24BB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综合来讲，集采落标品种对瀚晖第三季度经营情况的影响是有一些，</w:t>
            </w:r>
            <w:r w:rsidRPr="007A24BB">
              <w:rPr>
                <w:rFonts w:ascii="Times New Roman" w:eastAsia="宋体" w:hAnsi="Times New Roman"/>
                <w:sz w:val="24"/>
              </w:rPr>
              <w:t>但</w:t>
            </w:r>
            <w:r>
              <w:rPr>
                <w:rFonts w:ascii="Times New Roman" w:eastAsia="宋体" w:hAnsi="Times New Roman" w:hint="eastAsia"/>
                <w:sz w:val="24"/>
              </w:rPr>
              <w:t>其实</w:t>
            </w:r>
            <w:r w:rsidRPr="007A24BB">
              <w:rPr>
                <w:rFonts w:ascii="Times New Roman" w:eastAsia="宋体" w:hAnsi="Times New Roman"/>
                <w:sz w:val="24"/>
              </w:rPr>
              <w:t>比</w:t>
            </w:r>
            <w:r>
              <w:rPr>
                <w:rFonts w:ascii="Times New Roman" w:eastAsia="宋体" w:hAnsi="Times New Roman" w:hint="eastAsia"/>
                <w:sz w:val="24"/>
              </w:rPr>
              <w:t>大家</w:t>
            </w:r>
            <w:r w:rsidRPr="007A24BB">
              <w:rPr>
                <w:rFonts w:ascii="Times New Roman" w:eastAsia="宋体" w:hAnsi="Times New Roman"/>
                <w:sz w:val="24"/>
              </w:rPr>
              <w:t>想象中要小很多。</w:t>
            </w:r>
          </w:p>
          <w:p w14:paraId="72042C62" w14:textId="77777777" w:rsidR="00240289" w:rsidRDefault="00240289" w:rsidP="007A24BB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687FA806" w14:textId="0C097543" w:rsidR="00AF79FB" w:rsidRDefault="00AF79FB" w:rsidP="007A24BB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BF4FCD">
              <w:rPr>
                <w:rFonts w:ascii="Times New Roman" w:eastAsia="宋体" w:hAnsi="Times New Roman" w:hint="eastAsia"/>
                <w:sz w:val="24"/>
              </w:rPr>
              <w:t>公司创新药海博麦布片前三季度的销售情况？</w:t>
            </w:r>
          </w:p>
          <w:p w14:paraId="54E43001" w14:textId="05286D5E" w:rsidR="00BF4FCD" w:rsidRDefault="00BF4FCD" w:rsidP="007A24BB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Pr="00BF4FCD">
              <w:rPr>
                <w:rFonts w:ascii="Times New Roman" w:eastAsia="宋体" w:hAnsi="Times New Roman" w:hint="eastAsia"/>
                <w:sz w:val="24"/>
              </w:rPr>
              <w:t>关于</w:t>
            </w:r>
            <w:r>
              <w:rPr>
                <w:rFonts w:ascii="Times New Roman" w:eastAsia="宋体" w:hAnsi="Times New Roman" w:hint="eastAsia"/>
                <w:sz w:val="24"/>
              </w:rPr>
              <w:t>这个创新药，公司更关注的是瀚晖本身的销售推广能力，通过自身在该领域的积累，</w:t>
            </w:r>
            <w:r w:rsidR="00273E81" w:rsidRPr="00273E81">
              <w:rPr>
                <w:rFonts w:ascii="Times New Roman" w:eastAsia="宋体" w:hAnsi="Times New Roman" w:hint="eastAsia"/>
                <w:sz w:val="24"/>
              </w:rPr>
              <w:t>外部数据显示，该产品市场份额已经超过同领域其他产品</w:t>
            </w:r>
            <w:r>
              <w:rPr>
                <w:rFonts w:ascii="Times New Roman" w:eastAsia="宋体" w:hAnsi="Times New Roman" w:hint="eastAsia"/>
                <w:sz w:val="24"/>
              </w:rPr>
              <w:t>。</w:t>
            </w:r>
          </w:p>
          <w:p w14:paraId="63E6F496" w14:textId="55A42072" w:rsidR="00A23FD7" w:rsidRDefault="00A23FD7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147D8810" w14:textId="00606326" w:rsidR="00BF4FCD" w:rsidRDefault="00BF4FCD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4E595D">
              <w:rPr>
                <w:rFonts w:ascii="Times New Roman" w:eastAsia="宋体" w:hAnsi="Times New Roman" w:hint="eastAsia"/>
                <w:sz w:val="24"/>
              </w:rPr>
              <w:t>公司后续员工持股计划或股权激励计划？</w:t>
            </w:r>
          </w:p>
          <w:p w14:paraId="0CC86ABF" w14:textId="2BAB8C1C" w:rsidR="004E595D" w:rsidRDefault="004E595D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：公司</w:t>
            </w:r>
            <w:r w:rsidR="009418F7">
              <w:rPr>
                <w:rFonts w:ascii="Times New Roman" w:eastAsia="宋体" w:hAnsi="Times New Roman" w:hint="eastAsia"/>
                <w:sz w:val="24"/>
              </w:rPr>
              <w:t>已</w:t>
            </w:r>
            <w:r>
              <w:rPr>
                <w:rFonts w:ascii="Times New Roman" w:eastAsia="宋体" w:hAnsi="Times New Roman" w:hint="eastAsia"/>
                <w:sz w:val="24"/>
              </w:rPr>
              <w:t>做过两次以集中竞价方式回购股份，第二期用途为员工持股计划，后续会综合考虑公司经营及市场状况决定该部分股份的用途</w:t>
            </w:r>
            <w:r w:rsidR="009418F7">
              <w:rPr>
                <w:rFonts w:ascii="Times New Roman" w:eastAsia="宋体" w:hAnsi="Times New Roman" w:hint="eastAsia"/>
                <w:sz w:val="24"/>
              </w:rPr>
              <w:t>。若有相关员工持股或股权激励计划，公司会及时履行信息披露义务。</w:t>
            </w:r>
          </w:p>
          <w:p w14:paraId="6B444E67" w14:textId="77777777" w:rsidR="00BF4FCD" w:rsidRDefault="00BF4FCD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33D81494" w14:textId="25B0AB17" w:rsidR="00A23FD7" w:rsidRDefault="008A68D4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：公司今年及未来折旧部分的预期？</w:t>
            </w:r>
          </w:p>
          <w:p w14:paraId="05A04523" w14:textId="5577E29A" w:rsidR="008A68D4" w:rsidRDefault="008A68D4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：折旧部分全年预估在</w:t>
            </w:r>
            <w:r>
              <w:rPr>
                <w:rFonts w:ascii="Times New Roman" w:eastAsia="宋体" w:hAnsi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/>
                <w:sz w:val="24"/>
              </w:rPr>
              <w:t>0</w:t>
            </w:r>
            <w:r>
              <w:rPr>
                <w:rFonts w:ascii="Times New Roman" w:eastAsia="宋体" w:hAnsi="Times New Roman" w:hint="eastAsia"/>
                <w:sz w:val="24"/>
              </w:rPr>
              <w:t>亿左右。近几年一些在建工程陆续转固导致折旧增加，综合</w:t>
            </w:r>
            <w:r w:rsidR="002A1067">
              <w:rPr>
                <w:rFonts w:ascii="Times New Roman" w:eastAsia="宋体" w:hAnsi="Times New Roman" w:hint="eastAsia"/>
                <w:sz w:val="24"/>
              </w:rPr>
              <w:t>早期转固资产随着年份增加导致</w:t>
            </w:r>
            <w:r>
              <w:rPr>
                <w:rFonts w:ascii="Times New Roman" w:eastAsia="宋体" w:hAnsi="Times New Roman" w:hint="eastAsia"/>
                <w:sz w:val="24"/>
              </w:rPr>
              <w:t>的折旧减少抵消之后，明年</w:t>
            </w:r>
            <w:r w:rsidR="004D4D2F">
              <w:rPr>
                <w:rFonts w:ascii="Times New Roman" w:eastAsia="宋体" w:hAnsi="Times New Roman" w:hint="eastAsia"/>
                <w:sz w:val="24"/>
              </w:rPr>
              <w:t>情况与今年基本持平</w:t>
            </w:r>
            <w:r>
              <w:rPr>
                <w:rFonts w:ascii="Times New Roman" w:eastAsia="宋体" w:hAnsi="Times New Roman" w:hint="eastAsia"/>
                <w:sz w:val="24"/>
              </w:rPr>
              <w:t>，再往后会有逐年下降的趋势。</w:t>
            </w:r>
          </w:p>
          <w:p w14:paraId="56242390" w14:textId="4375327D" w:rsidR="008A68D4" w:rsidRDefault="008A68D4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021EC3D3" w14:textId="404BB9E3" w:rsidR="008A68D4" w:rsidRDefault="008A68D4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Pr="008A68D4">
              <w:rPr>
                <w:rFonts w:ascii="Times New Roman" w:eastAsia="宋体" w:hAnsi="Times New Roman" w:hint="eastAsia"/>
                <w:sz w:val="24"/>
              </w:rPr>
              <w:t>动保</w:t>
            </w:r>
            <w:r>
              <w:rPr>
                <w:rFonts w:ascii="Times New Roman" w:eastAsia="宋体" w:hAnsi="Times New Roman" w:hint="eastAsia"/>
                <w:sz w:val="24"/>
              </w:rPr>
              <w:t>第三季度经营</w:t>
            </w:r>
            <w:r w:rsidRPr="008A68D4">
              <w:rPr>
                <w:rFonts w:ascii="Times New Roman" w:eastAsia="宋体" w:hAnsi="Times New Roman"/>
                <w:sz w:val="24"/>
              </w:rPr>
              <w:t>情况</w:t>
            </w:r>
            <w:r>
              <w:rPr>
                <w:rFonts w:ascii="Times New Roman" w:eastAsia="宋体" w:hAnsi="Times New Roman" w:hint="eastAsia"/>
                <w:sz w:val="24"/>
              </w:rPr>
              <w:t>是否看到边际改善</w:t>
            </w:r>
            <w:r w:rsidRPr="008A68D4">
              <w:rPr>
                <w:rFonts w:ascii="Times New Roman" w:eastAsia="宋体" w:hAnsi="Times New Roman"/>
                <w:sz w:val="24"/>
              </w:rPr>
              <w:t>？</w:t>
            </w:r>
            <w:r>
              <w:rPr>
                <w:rFonts w:ascii="Times New Roman" w:eastAsia="宋体" w:hAnsi="Times New Roman" w:hint="eastAsia"/>
                <w:sz w:val="24"/>
              </w:rPr>
              <w:t>展望第四季度及明年预期？</w:t>
            </w:r>
          </w:p>
          <w:p w14:paraId="320FD801" w14:textId="47093849" w:rsidR="008A68D4" w:rsidRPr="008A68D4" w:rsidRDefault="008A68D4" w:rsidP="008A68D4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Pr="008A68D4">
              <w:rPr>
                <w:rFonts w:ascii="Times New Roman" w:eastAsia="宋体" w:hAnsi="Times New Roman" w:hint="eastAsia"/>
                <w:sz w:val="24"/>
              </w:rPr>
              <w:t>首先</w:t>
            </w:r>
            <w:r>
              <w:rPr>
                <w:rFonts w:ascii="Times New Roman" w:eastAsia="宋体" w:hAnsi="Times New Roman" w:hint="eastAsia"/>
                <w:sz w:val="24"/>
              </w:rPr>
              <w:t>，海正药业</w:t>
            </w:r>
            <w:r w:rsidRPr="008A68D4">
              <w:rPr>
                <w:rFonts w:ascii="Times New Roman" w:eastAsia="宋体" w:hAnsi="Times New Roman" w:hint="eastAsia"/>
                <w:sz w:val="24"/>
              </w:rPr>
              <w:t>在战略方向上</w:t>
            </w:r>
            <w:r w:rsidR="00CF5892">
              <w:rPr>
                <w:rFonts w:ascii="Times New Roman" w:eastAsia="宋体" w:hAnsi="Times New Roman" w:hint="eastAsia"/>
                <w:sz w:val="24"/>
              </w:rPr>
              <w:t>一直以来对</w:t>
            </w:r>
            <w:r w:rsidRPr="008A68D4">
              <w:rPr>
                <w:rFonts w:ascii="Times New Roman" w:eastAsia="宋体" w:hAnsi="Times New Roman" w:hint="eastAsia"/>
                <w:sz w:val="24"/>
              </w:rPr>
              <w:t>动保非常重视，作为一个</w:t>
            </w:r>
            <w:r w:rsidR="00CF5892">
              <w:rPr>
                <w:rFonts w:ascii="Times New Roman" w:eastAsia="宋体" w:hAnsi="Times New Roman" w:hint="eastAsia"/>
                <w:sz w:val="24"/>
              </w:rPr>
              <w:t>未来</w:t>
            </w:r>
            <w:r w:rsidRPr="008A68D4">
              <w:rPr>
                <w:rFonts w:ascii="Times New Roman" w:eastAsia="宋体" w:hAnsi="Times New Roman" w:hint="eastAsia"/>
                <w:sz w:val="24"/>
              </w:rPr>
              <w:t>潜在的战略</w:t>
            </w:r>
            <w:r w:rsidR="00CF5892">
              <w:rPr>
                <w:rFonts w:ascii="Times New Roman" w:eastAsia="宋体" w:hAnsi="Times New Roman" w:hint="eastAsia"/>
                <w:sz w:val="24"/>
              </w:rPr>
              <w:t>支撑点</w:t>
            </w:r>
            <w:r w:rsidRPr="008A68D4">
              <w:rPr>
                <w:rFonts w:ascii="Times New Roman" w:eastAsia="宋体" w:hAnsi="Times New Roman" w:hint="eastAsia"/>
                <w:sz w:val="24"/>
              </w:rPr>
              <w:t>之一，得到</w:t>
            </w:r>
            <w:r w:rsidR="00CF5892">
              <w:rPr>
                <w:rFonts w:ascii="Times New Roman" w:eastAsia="宋体" w:hAnsi="Times New Roman" w:hint="eastAsia"/>
                <w:sz w:val="24"/>
              </w:rPr>
              <w:t>了公司总部</w:t>
            </w:r>
            <w:r w:rsidRPr="008A68D4">
              <w:rPr>
                <w:rFonts w:ascii="Times New Roman" w:eastAsia="宋体" w:hAnsi="Times New Roman" w:hint="eastAsia"/>
                <w:sz w:val="24"/>
              </w:rPr>
              <w:t>全方位的支持，</w:t>
            </w:r>
            <w:r w:rsidR="00D771CB">
              <w:rPr>
                <w:rFonts w:ascii="Times New Roman" w:eastAsia="宋体" w:hAnsi="Times New Roman" w:hint="eastAsia"/>
                <w:sz w:val="24"/>
              </w:rPr>
              <w:t>例如</w:t>
            </w:r>
            <w:r w:rsidRPr="008A68D4">
              <w:rPr>
                <w:rFonts w:ascii="Times New Roman" w:eastAsia="宋体" w:hAnsi="Times New Roman"/>
                <w:sz w:val="24"/>
              </w:rPr>
              <w:t>API</w:t>
            </w:r>
            <w:r w:rsidRPr="008A68D4">
              <w:rPr>
                <w:rFonts w:ascii="Times New Roman" w:eastAsia="宋体" w:hAnsi="Times New Roman"/>
                <w:sz w:val="24"/>
              </w:rPr>
              <w:t>原料</w:t>
            </w:r>
            <w:r w:rsidR="00CF5892">
              <w:rPr>
                <w:rFonts w:ascii="Times New Roman" w:eastAsia="宋体" w:hAnsi="Times New Roman" w:hint="eastAsia"/>
                <w:sz w:val="24"/>
              </w:rPr>
              <w:t>生产、</w:t>
            </w:r>
            <w:r w:rsidRPr="008A68D4">
              <w:rPr>
                <w:rFonts w:ascii="Times New Roman" w:eastAsia="宋体" w:hAnsi="Times New Roman"/>
                <w:sz w:val="24"/>
              </w:rPr>
              <w:t>研发</w:t>
            </w:r>
            <w:r w:rsidR="00D771CB">
              <w:rPr>
                <w:rFonts w:ascii="Times New Roman" w:eastAsia="宋体" w:hAnsi="Times New Roman" w:hint="eastAsia"/>
                <w:sz w:val="24"/>
              </w:rPr>
              <w:t>以及其他</w:t>
            </w:r>
            <w:r w:rsidR="00CF5892">
              <w:rPr>
                <w:rFonts w:ascii="Times New Roman" w:eastAsia="宋体" w:hAnsi="Times New Roman" w:hint="eastAsia"/>
                <w:sz w:val="24"/>
              </w:rPr>
              <w:t>各种</w:t>
            </w:r>
            <w:r w:rsidRPr="008A68D4">
              <w:rPr>
                <w:rFonts w:ascii="Times New Roman" w:eastAsia="宋体" w:hAnsi="Times New Roman"/>
                <w:sz w:val="24"/>
              </w:rPr>
              <w:t>资源</w:t>
            </w:r>
            <w:r w:rsidR="00D771CB">
              <w:rPr>
                <w:rFonts w:ascii="Times New Roman" w:eastAsia="宋体" w:hAnsi="Times New Roman" w:hint="eastAsia"/>
                <w:sz w:val="24"/>
              </w:rPr>
              <w:t>等</w:t>
            </w:r>
            <w:r w:rsidR="00CF5892">
              <w:rPr>
                <w:rFonts w:ascii="Times New Roman" w:eastAsia="宋体" w:hAnsi="Times New Roman" w:hint="eastAsia"/>
                <w:sz w:val="24"/>
              </w:rPr>
              <w:t>，</w:t>
            </w:r>
            <w:r w:rsidRPr="008A68D4">
              <w:rPr>
                <w:rFonts w:ascii="Times New Roman" w:eastAsia="宋体" w:hAnsi="Times New Roman"/>
                <w:sz w:val="24"/>
              </w:rPr>
              <w:t>助力支持</w:t>
            </w:r>
            <w:r w:rsidR="00CF5892">
              <w:rPr>
                <w:rFonts w:ascii="Times New Roman" w:eastAsia="宋体" w:hAnsi="Times New Roman" w:hint="eastAsia"/>
                <w:sz w:val="24"/>
              </w:rPr>
              <w:t>动保</w:t>
            </w:r>
            <w:r w:rsidRPr="008A68D4">
              <w:rPr>
                <w:rFonts w:ascii="Times New Roman" w:eastAsia="宋体" w:hAnsi="Times New Roman"/>
                <w:sz w:val="24"/>
              </w:rPr>
              <w:t>发展。</w:t>
            </w:r>
            <w:r w:rsidRPr="008A68D4">
              <w:rPr>
                <w:rFonts w:ascii="Times New Roman" w:eastAsia="宋体" w:hAnsi="Times New Roman"/>
                <w:sz w:val="24"/>
              </w:rPr>
              <w:t xml:space="preserve"> </w:t>
            </w:r>
          </w:p>
          <w:p w14:paraId="621599FA" w14:textId="774E787A" w:rsidR="008A68D4" w:rsidRPr="008A68D4" w:rsidRDefault="00CF5892" w:rsidP="008A68D4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动保第</w:t>
            </w:r>
            <w:r w:rsidR="008A68D4" w:rsidRPr="008A68D4">
              <w:rPr>
                <w:rFonts w:ascii="Times New Roman" w:eastAsia="宋体" w:hAnsi="Times New Roman" w:hint="eastAsia"/>
                <w:sz w:val="24"/>
              </w:rPr>
              <w:t>三季度业绩</w:t>
            </w:r>
            <w:r>
              <w:rPr>
                <w:rFonts w:ascii="Times New Roman" w:eastAsia="宋体" w:hAnsi="Times New Roman" w:hint="eastAsia"/>
                <w:sz w:val="24"/>
              </w:rPr>
              <w:t>情况</w:t>
            </w:r>
            <w:r w:rsidR="002A1067">
              <w:rPr>
                <w:rFonts w:ascii="Times New Roman" w:eastAsia="宋体" w:hAnsi="Times New Roman" w:hint="eastAsia"/>
                <w:sz w:val="24"/>
              </w:rPr>
              <w:t>已看到</w:t>
            </w:r>
            <w:r w:rsidR="008A68D4" w:rsidRPr="008A68D4">
              <w:rPr>
                <w:rFonts w:ascii="Times New Roman" w:eastAsia="宋体" w:hAnsi="Times New Roman" w:hint="eastAsia"/>
                <w:sz w:val="24"/>
              </w:rPr>
              <w:t>边际改善，单季度</w:t>
            </w:r>
            <w:r>
              <w:rPr>
                <w:rFonts w:ascii="Times New Roman" w:eastAsia="宋体" w:hAnsi="Times New Roman" w:hint="eastAsia"/>
                <w:sz w:val="24"/>
              </w:rPr>
              <w:t>看较去年同期</w:t>
            </w:r>
            <w:r w:rsidR="008A68D4" w:rsidRPr="008A68D4">
              <w:rPr>
                <w:rFonts w:ascii="Times New Roman" w:eastAsia="宋体" w:hAnsi="Times New Roman" w:hint="eastAsia"/>
                <w:sz w:val="24"/>
              </w:rPr>
              <w:t>实现正向增长，</w:t>
            </w:r>
            <w:r>
              <w:rPr>
                <w:rFonts w:ascii="Times New Roman" w:eastAsia="宋体" w:hAnsi="Times New Roman" w:hint="eastAsia"/>
                <w:sz w:val="24"/>
              </w:rPr>
              <w:t>较今年前两个季度相比</w:t>
            </w:r>
            <w:r w:rsidR="008A68D4" w:rsidRPr="008A68D4">
              <w:rPr>
                <w:rFonts w:ascii="Times New Roman" w:eastAsia="宋体" w:hAnsi="Times New Roman"/>
                <w:sz w:val="24"/>
              </w:rPr>
              <w:t>降幅也在收窄。</w:t>
            </w:r>
            <w:r>
              <w:rPr>
                <w:rFonts w:ascii="Times New Roman" w:eastAsia="宋体" w:hAnsi="Times New Roman" w:hint="eastAsia"/>
                <w:sz w:val="24"/>
              </w:rPr>
              <w:t>接下来</w:t>
            </w:r>
            <w:r w:rsidR="008A68D4" w:rsidRPr="008A68D4">
              <w:rPr>
                <w:rFonts w:ascii="Times New Roman" w:eastAsia="宋体" w:hAnsi="Times New Roman" w:hint="eastAsia"/>
                <w:sz w:val="24"/>
              </w:rPr>
              <w:t>，因为</w:t>
            </w:r>
            <w:r>
              <w:rPr>
                <w:rFonts w:ascii="Times New Roman" w:eastAsia="宋体" w:hAnsi="Times New Roman" w:hint="eastAsia"/>
                <w:sz w:val="24"/>
              </w:rPr>
              <w:t>大</w:t>
            </w:r>
            <w:r w:rsidR="008A68D4" w:rsidRPr="008A68D4">
              <w:rPr>
                <w:rFonts w:ascii="Times New Roman" w:eastAsia="宋体" w:hAnsi="Times New Roman" w:hint="eastAsia"/>
                <w:sz w:val="24"/>
              </w:rPr>
              <w:t>动物抗生素使用旺季来临，</w:t>
            </w:r>
            <w:r>
              <w:rPr>
                <w:rFonts w:ascii="Times New Roman" w:eastAsia="宋体" w:hAnsi="Times New Roman" w:hint="eastAsia"/>
                <w:sz w:val="24"/>
              </w:rPr>
              <w:t>以及</w:t>
            </w:r>
            <w:r w:rsidR="008A68D4" w:rsidRPr="008A68D4">
              <w:rPr>
                <w:rFonts w:ascii="Times New Roman" w:eastAsia="宋体" w:hAnsi="Times New Roman" w:hint="eastAsia"/>
                <w:sz w:val="24"/>
              </w:rPr>
              <w:t>宠物端经济回暖复苏，预测四季度</w:t>
            </w:r>
            <w:r w:rsidR="002A1067">
              <w:rPr>
                <w:rFonts w:ascii="Times New Roman" w:eastAsia="宋体" w:hAnsi="Times New Roman" w:hint="eastAsia"/>
                <w:sz w:val="24"/>
              </w:rPr>
              <w:t>动保经营情况</w:t>
            </w:r>
            <w:r w:rsidR="008A68D4" w:rsidRPr="008A68D4">
              <w:rPr>
                <w:rFonts w:ascii="Times New Roman" w:eastAsia="宋体" w:hAnsi="Times New Roman" w:hint="eastAsia"/>
                <w:sz w:val="24"/>
              </w:rPr>
              <w:t>是稳中向好的局面。</w:t>
            </w:r>
            <w:r w:rsidR="008A68D4" w:rsidRPr="008A68D4">
              <w:rPr>
                <w:rFonts w:ascii="Times New Roman" w:eastAsia="宋体" w:hAnsi="Times New Roman"/>
                <w:sz w:val="24"/>
              </w:rPr>
              <w:t xml:space="preserve"> </w:t>
            </w:r>
          </w:p>
          <w:p w14:paraId="52CC80EA" w14:textId="544C3BF8" w:rsidR="008A68D4" w:rsidRDefault="008A68D4" w:rsidP="008A68D4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 w:rsidRPr="008A68D4">
              <w:rPr>
                <w:rFonts w:ascii="Times New Roman" w:eastAsia="宋体" w:hAnsi="Times New Roman" w:hint="eastAsia"/>
                <w:sz w:val="24"/>
              </w:rPr>
              <w:t>展望</w:t>
            </w:r>
            <w:r w:rsidR="00CF5892">
              <w:rPr>
                <w:rFonts w:ascii="Times New Roman" w:eastAsia="宋体" w:hAnsi="Times New Roman" w:hint="eastAsia"/>
                <w:sz w:val="24"/>
              </w:rPr>
              <w:t>2</w:t>
            </w:r>
            <w:r w:rsidR="00CF5892">
              <w:rPr>
                <w:rFonts w:ascii="Times New Roman" w:eastAsia="宋体" w:hAnsi="Times New Roman"/>
                <w:sz w:val="24"/>
              </w:rPr>
              <w:t>0</w:t>
            </w:r>
            <w:r w:rsidRPr="008A68D4">
              <w:rPr>
                <w:rFonts w:ascii="Times New Roman" w:eastAsia="宋体" w:hAnsi="Times New Roman"/>
                <w:sz w:val="24"/>
              </w:rPr>
              <w:t>24</w:t>
            </w:r>
            <w:r w:rsidRPr="008A68D4">
              <w:rPr>
                <w:rFonts w:ascii="Times New Roman" w:eastAsia="宋体" w:hAnsi="Times New Roman"/>
                <w:sz w:val="24"/>
              </w:rPr>
              <w:t>年，希望</w:t>
            </w:r>
            <w:r w:rsidR="00CF5892">
              <w:rPr>
                <w:rFonts w:ascii="Times New Roman" w:eastAsia="宋体" w:hAnsi="Times New Roman" w:hint="eastAsia"/>
                <w:sz w:val="24"/>
              </w:rPr>
              <w:t>动保</w:t>
            </w:r>
            <w:r w:rsidRPr="008A68D4">
              <w:rPr>
                <w:rFonts w:ascii="Times New Roman" w:eastAsia="宋体" w:hAnsi="Times New Roman"/>
                <w:sz w:val="24"/>
              </w:rPr>
              <w:t>业务稳健增长</w:t>
            </w:r>
            <w:r w:rsidR="00F62167">
              <w:rPr>
                <w:rFonts w:ascii="Times New Roman" w:eastAsia="宋体" w:hAnsi="Times New Roman" w:hint="eastAsia"/>
                <w:sz w:val="24"/>
              </w:rPr>
              <w:t>，</w:t>
            </w:r>
            <w:r w:rsidRPr="008A68D4">
              <w:rPr>
                <w:rFonts w:ascii="Times New Roman" w:eastAsia="宋体" w:hAnsi="Times New Roman" w:hint="eastAsia"/>
                <w:sz w:val="24"/>
              </w:rPr>
              <w:t>主要来自于</w:t>
            </w:r>
            <w:r w:rsidR="00CF5892">
              <w:rPr>
                <w:rFonts w:ascii="Times New Roman" w:eastAsia="宋体" w:hAnsi="Times New Roman" w:hint="eastAsia"/>
                <w:sz w:val="24"/>
              </w:rPr>
              <w:t>动保</w:t>
            </w:r>
            <w:r w:rsidRPr="008A68D4">
              <w:rPr>
                <w:rFonts w:ascii="Times New Roman" w:eastAsia="宋体" w:hAnsi="Times New Roman" w:hint="eastAsia"/>
                <w:sz w:val="24"/>
              </w:rPr>
              <w:t>跟集团客户合作深度的增加，以及宠物业务市场端的策略调整，</w:t>
            </w:r>
            <w:r w:rsidR="00CF5892">
              <w:rPr>
                <w:rFonts w:ascii="Times New Roman" w:eastAsia="宋体" w:hAnsi="Times New Roman" w:hint="eastAsia"/>
                <w:sz w:val="24"/>
              </w:rPr>
              <w:t>此外，</w:t>
            </w:r>
            <w:r w:rsidRPr="008A68D4">
              <w:rPr>
                <w:rFonts w:ascii="Times New Roman" w:eastAsia="宋体" w:hAnsi="Times New Roman" w:hint="eastAsia"/>
                <w:sz w:val="24"/>
              </w:rPr>
              <w:t>明年</w:t>
            </w:r>
            <w:r w:rsidR="00CF5892">
              <w:rPr>
                <w:rFonts w:ascii="Times New Roman" w:eastAsia="宋体" w:hAnsi="Times New Roman" w:hint="eastAsia"/>
                <w:sz w:val="24"/>
              </w:rPr>
              <w:t>会有一些</w:t>
            </w:r>
            <w:r w:rsidRPr="008A68D4">
              <w:rPr>
                <w:rFonts w:ascii="Times New Roman" w:eastAsia="宋体" w:hAnsi="Times New Roman" w:hint="eastAsia"/>
                <w:sz w:val="24"/>
              </w:rPr>
              <w:t>新产品</w:t>
            </w:r>
            <w:r w:rsidR="00F62167">
              <w:rPr>
                <w:rFonts w:ascii="Times New Roman" w:eastAsia="宋体" w:hAnsi="Times New Roman" w:hint="eastAsia"/>
                <w:sz w:val="24"/>
              </w:rPr>
              <w:t>陆续</w:t>
            </w:r>
            <w:r w:rsidRPr="008A68D4">
              <w:rPr>
                <w:rFonts w:ascii="Times New Roman" w:eastAsia="宋体" w:hAnsi="Times New Roman" w:hint="eastAsia"/>
                <w:sz w:val="24"/>
              </w:rPr>
              <w:t>上市，给</w:t>
            </w:r>
            <w:r w:rsidR="00CF5892">
              <w:rPr>
                <w:rFonts w:ascii="Times New Roman" w:eastAsia="宋体" w:hAnsi="Times New Roman" w:hint="eastAsia"/>
                <w:sz w:val="24"/>
              </w:rPr>
              <w:t>动保</w:t>
            </w:r>
            <w:r w:rsidRPr="008A68D4">
              <w:rPr>
                <w:rFonts w:ascii="Times New Roman" w:eastAsia="宋体" w:hAnsi="Times New Roman" w:hint="eastAsia"/>
                <w:sz w:val="24"/>
              </w:rPr>
              <w:t>业绩</w:t>
            </w:r>
            <w:r w:rsidR="00CF5892">
              <w:rPr>
                <w:rFonts w:ascii="Times New Roman" w:eastAsia="宋体" w:hAnsi="Times New Roman" w:hint="eastAsia"/>
                <w:sz w:val="24"/>
              </w:rPr>
              <w:t>增长</w:t>
            </w:r>
            <w:r w:rsidRPr="008A68D4">
              <w:rPr>
                <w:rFonts w:ascii="Times New Roman" w:eastAsia="宋体" w:hAnsi="Times New Roman" w:hint="eastAsia"/>
                <w:sz w:val="24"/>
              </w:rPr>
              <w:t>带来助力。</w:t>
            </w:r>
          </w:p>
          <w:p w14:paraId="43521768" w14:textId="6CE2B6E6" w:rsidR="008A68D4" w:rsidRDefault="008A68D4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508F9981" w14:textId="21E4A037" w:rsidR="00DE439F" w:rsidRDefault="00DE439F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lastRenderedPageBreak/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AC5C00" w:rsidRPr="00AC5C00">
              <w:rPr>
                <w:rFonts w:ascii="Times New Roman" w:eastAsia="宋体" w:hAnsi="Times New Roman" w:hint="eastAsia"/>
                <w:sz w:val="24"/>
              </w:rPr>
              <w:t>公司目前在研管线和未来研发方向？</w:t>
            </w:r>
          </w:p>
          <w:p w14:paraId="27A2EA9A" w14:textId="1316DFFA" w:rsidR="00DE439F" w:rsidRPr="00AC5C00" w:rsidRDefault="00AC5C00" w:rsidP="006559D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6559D1">
              <w:rPr>
                <w:rFonts w:ascii="Times New Roman" w:eastAsia="宋体" w:hAnsi="Times New Roman" w:hint="eastAsia"/>
                <w:sz w:val="24"/>
              </w:rPr>
              <w:t>公司目前在研管线</w:t>
            </w:r>
            <w:r w:rsidR="006559D1" w:rsidRPr="006559D1">
              <w:rPr>
                <w:rFonts w:ascii="Times New Roman" w:eastAsia="宋体" w:hAnsi="Times New Roman" w:hint="eastAsia"/>
                <w:sz w:val="24"/>
              </w:rPr>
              <w:t>布局领域</w:t>
            </w:r>
            <w:r w:rsidR="00F62167">
              <w:rPr>
                <w:rFonts w:ascii="Times New Roman" w:eastAsia="宋体" w:hAnsi="Times New Roman" w:hint="eastAsia"/>
                <w:sz w:val="24"/>
              </w:rPr>
              <w:t>较为</w:t>
            </w:r>
            <w:r w:rsidR="006559D1" w:rsidRPr="006559D1">
              <w:rPr>
                <w:rFonts w:ascii="Times New Roman" w:eastAsia="宋体" w:hAnsi="Times New Roman" w:hint="eastAsia"/>
                <w:sz w:val="24"/>
              </w:rPr>
              <w:t>广泛，包括肿瘤、心血管</w:t>
            </w:r>
            <w:r w:rsidR="00F62167">
              <w:rPr>
                <w:rFonts w:ascii="Times New Roman" w:eastAsia="宋体" w:hAnsi="Times New Roman" w:hint="eastAsia"/>
                <w:sz w:val="24"/>
              </w:rPr>
              <w:t>等领域</w:t>
            </w:r>
            <w:r w:rsidR="006559D1">
              <w:rPr>
                <w:rFonts w:ascii="Times New Roman" w:eastAsia="宋体" w:hAnsi="Times New Roman" w:hint="eastAsia"/>
                <w:sz w:val="24"/>
              </w:rPr>
              <w:t>及</w:t>
            </w:r>
            <w:r w:rsidR="006559D1" w:rsidRPr="006559D1">
              <w:rPr>
                <w:rFonts w:ascii="Times New Roman" w:eastAsia="宋体" w:hAnsi="Times New Roman" w:hint="eastAsia"/>
                <w:sz w:val="24"/>
              </w:rPr>
              <w:t>一些新型早期靶点。目前来看，</w:t>
            </w:r>
            <w:r w:rsidR="006559D1">
              <w:rPr>
                <w:rFonts w:ascii="Times New Roman" w:eastAsia="宋体" w:hAnsi="Times New Roman" w:hint="eastAsia"/>
                <w:sz w:val="24"/>
              </w:rPr>
              <w:t>公司</w:t>
            </w:r>
            <w:r w:rsidR="006559D1" w:rsidRPr="006559D1">
              <w:rPr>
                <w:rFonts w:ascii="Times New Roman" w:eastAsia="宋体" w:hAnsi="Times New Roman" w:hint="eastAsia"/>
                <w:sz w:val="24"/>
              </w:rPr>
              <w:t>研发的策略</w:t>
            </w:r>
            <w:r w:rsidR="006559D1">
              <w:rPr>
                <w:rFonts w:ascii="Times New Roman" w:eastAsia="宋体" w:hAnsi="Times New Roman" w:hint="eastAsia"/>
                <w:sz w:val="24"/>
              </w:rPr>
              <w:t>是自主</w:t>
            </w:r>
            <w:r w:rsidR="006559D1">
              <w:rPr>
                <w:rFonts w:ascii="Times New Roman" w:eastAsia="宋体" w:hAnsi="Times New Roman" w:hint="eastAsia"/>
                <w:sz w:val="24"/>
              </w:rPr>
              <w:t>+</w:t>
            </w:r>
            <w:r w:rsidR="006559D1">
              <w:rPr>
                <w:rFonts w:ascii="Times New Roman" w:eastAsia="宋体" w:hAnsi="Times New Roman" w:hint="eastAsia"/>
                <w:sz w:val="24"/>
              </w:rPr>
              <w:t>引入相结合</w:t>
            </w:r>
            <w:r w:rsidR="006559D1" w:rsidRPr="006559D1">
              <w:rPr>
                <w:rFonts w:ascii="Times New Roman" w:eastAsia="宋体" w:hAnsi="Times New Roman"/>
                <w:sz w:val="24"/>
              </w:rPr>
              <w:t>，</w:t>
            </w:r>
            <w:r w:rsidR="006559D1">
              <w:rPr>
                <w:rFonts w:ascii="Times New Roman" w:eastAsia="宋体" w:hAnsi="Times New Roman" w:hint="eastAsia"/>
                <w:sz w:val="24"/>
              </w:rPr>
              <w:t>计划</w:t>
            </w:r>
            <w:r w:rsidR="006559D1" w:rsidRPr="006559D1">
              <w:rPr>
                <w:rFonts w:ascii="Times New Roman" w:eastAsia="宋体" w:hAnsi="Times New Roman"/>
                <w:sz w:val="24"/>
              </w:rPr>
              <w:t>和国内国外的顶级科研机构进行全方位合作，</w:t>
            </w:r>
            <w:r w:rsidR="006559D1">
              <w:rPr>
                <w:rFonts w:ascii="Times New Roman" w:eastAsia="宋体" w:hAnsi="Times New Roman" w:hint="eastAsia"/>
                <w:sz w:val="24"/>
              </w:rPr>
              <w:t>同时在自研布局方面，</w:t>
            </w:r>
            <w:r w:rsidR="006559D1" w:rsidRPr="006559D1">
              <w:rPr>
                <w:rFonts w:ascii="Times New Roman" w:eastAsia="宋体" w:hAnsi="Times New Roman"/>
                <w:sz w:val="24"/>
              </w:rPr>
              <w:t>积极探索</w:t>
            </w:r>
            <w:r w:rsidR="006559D1">
              <w:rPr>
                <w:rFonts w:ascii="Times New Roman" w:eastAsia="宋体" w:hAnsi="Times New Roman" w:hint="eastAsia"/>
                <w:sz w:val="24"/>
              </w:rPr>
              <w:t>新</w:t>
            </w:r>
            <w:r w:rsidR="006559D1" w:rsidRPr="006559D1">
              <w:rPr>
                <w:rFonts w:ascii="Times New Roman" w:eastAsia="宋体" w:hAnsi="Times New Roman"/>
                <w:sz w:val="24"/>
              </w:rPr>
              <w:t>管线。</w:t>
            </w:r>
            <w:r w:rsidR="006559D1" w:rsidRPr="006559D1">
              <w:rPr>
                <w:rFonts w:ascii="Times New Roman" w:eastAsia="宋体" w:hAnsi="Times New Roman" w:hint="eastAsia"/>
                <w:sz w:val="24"/>
              </w:rPr>
              <w:t>长期来看，</w:t>
            </w:r>
            <w:r w:rsidR="006559D1">
              <w:rPr>
                <w:rFonts w:ascii="Times New Roman" w:eastAsia="宋体" w:hAnsi="Times New Roman" w:hint="eastAsia"/>
                <w:sz w:val="24"/>
              </w:rPr>
              <w:t>公司</w:t>
            </w:r>
            <w:r w:rsidR="006559D1" w:rsidRPr="006559D1">
              <w:rPr>
                <w:rFonts w:ascii="Times New Roman" w:eastAsia="宋体" w:hAnsi="Times New Roman" w:hint="eastAsia"/>
                <w:sz w:val="24"/>
              </w:rPr>
              <w:t>会精准布局，布局一些未满足临床需求的疾病领域，探索新型靶点，积极推进现有项目的里程碑</w:t>
            </w:r>
            <w:r w:rsidR="00880364">
              <w:rPr>
                <w:rFonts w:ascii="Times New Roman" w:eastAsia="宋体" w:hAnsi="Times New Roman" w:hint="eastAsia"/>
                <w:sz w:val="24"/>
              </w:rPr>
              <w:t>进程</w:t>
            </w:r>
            <w:r w:rsidR="006559D1" w:rsidRPr="006559D1">
              <w:rPr>
                <w:rFonts w:ascii="Times New Roman" w:eastAsia="宋体" w:hAnsi="Times New Roman" w:hint="eastAsia"/>
                <w:sz w:val="24"/>
              </w:rPr>
              <w:t>。</w:t>
            </w:r>
          </w:p>
          <w:p w14:paraId="39F2E58C" w14:textId="365CF6DD" w:rsidR="008A68D4" w:rsidRDefault="008A68D4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27774F4F" w14:textId="2A8011B8" w:rsidR="008A68D4" w:rsidRDefault="00E55A10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47272C" w:rsidRPr="0047272C">
              <w:rPr>
                <w:rFonts w:ascii="Times New Roman" w:eastAsia="宋体" w:hAnsi="Times New Roman" w:hint="eastAsia"/>
                <w:sz w:val="24"/>
              </w:rPr>
              <w:t>几个</w:t>
            </w:r>
            <w:r w:rsidR="0047272C">
              <w:rPr>
                <w:rFonts w:ascii="Times New Roman" w:eastAsia="宋体" w:hAnsi="Times New Roman"/>
                <w:sz w:val="24"/>
              </w:rPr>
              <w:t>CSO</w:t>
            </w:r>
            <w:r w:rsidR="0047272C" w:rsidRPr="0047272C">
              <w:rPr>
                <w:rFonts w:ascii="Times New Roman" w:eastAsia="宋体" w:hAnsi="Times New Roman"/>
                <w:sz w:val="24"/>
              </w:rPr>
              <w:t>品种医院准入的节奏，四季度学术会议等活动是否已经完全恢复</w:t>
            </w:r>
            <w:r w:rsidR="006F19D1">
              <w:rPr>
                <w:rFonts w:ascii="Times New Roman" w:eastAsia="宋体" w:hAnsi="Times New Roman" w:hint="eastAsia"/>
                <w:sz w:val="24"/>
              </w:rPr>
              <w:t>？</w:t>
            </w:r>
          </w:p>
          <w:p w14:paraId="55F95280" w14:textId="6220DFAB" w:rsidR="006F19D1" w:rsidRPr="0047272C" w:rsidRDefault="00E55A10" w:rsidP="006F19D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47272C" w:rsidRPr="0047272C">
              <w:rPr>
                <w:rFonts w:ascii="Times New Roman" w:eastAsia="宋体" w:hAnsi="Times New Roman" w:hint="eastAsia"/>
                <w:sz w:val="24"/>
              </w:rPr>
              <w:t>整体准入节奏跟预期差不多</w:t>
            </w:r>
            <w:r w:rsidR="006F19D1">
              <w:rPr>
                <w:rFonts w:ascii="Times New Roman" w:eastAsia="宋体" w:hAnsi="Times New Roman" w:hint="eastAsia"/>
                <w:sz w:val="24"/>
              </w:rPr>
              <w:t>。</w:t>
            </w:r>
            <w:r w:rsidR="0047272C" w:rsidRPr="0047272C">
              <w:rPr>
                <w:rFonts w:ascii="Times New Roman" w:eastAsia="宋体" w:hAnsi="Times New Roman" w:hint="eastAsia"/>
                <w:sz w:val="24"/>
              </w:rPr>
              <w:t>学术活动</w:t>
            </w:r>
            <w:r w:rsidR="00880364">
              <w:rPr>
                <w:rFonts w:ascii="Times New Roman" w:eastAsia="宋体" w:hAnsi="Times New Roman" w:hint="eastAsia"/>
                <w:sz w:val="24"/>
              </w:rPr>
              <w:t>不存在停滞再恢复的说法</w:t>
            </w:r>
            <w:r w:rsidR="0047272C" w:rsidRPr="0047272C">
              <w:rPr>
                <w:rFonts w:ascii="Times New Roman" w:eastAsia="宋体" w:hAnsi="Times New Roman" w:hint="eastAsia"/>
                <w:sz w:val="24"/>
              </w:rPr>
              <w:t>，</w:t>
            </w:r>
            <w:r w:rsidR="006F19D1">
              <w:rPr>
                <w:rFonts w:ascii="Times New Roman" w:eastAsia="宋体" w:hAnsi="Times New Roman" w:hint="eastAsia"/>
                <w:sz w:val="24"/>
              </w:rPr>
              <w:t>公司</w:t>
            </w:r>
            <w:r w:rsidR="00880364">
              <w:rPr>
                <w:rFonts w:ascii="Times New Roman" w:eastAsia="宋体" w:hAnsi="Times New Roman" w:hint="eastAsia"/>
                <w:sz w:val="24"/>
              </w:rPr>
              <w:t>已</w:t>
            </w:r>
            <w:r w:rsidR="006F19D1">
              <w:rPr>
                <w:rFonts w:ascii="Times New Roman" w:eastAsia="宋体" w:hAnsi="Times New Roman" w:hint="eastAsia"/>
                <w:sz w:val="24"/>
              </w:rPr>
              <w:t>调整了学术会议的形式。</w:t>
            </w:r>
          </w:p>
          <w:p w14:paraId="7B612FEB" w14:textId="4B30789D" w:rsidR="00E55A10" w:rsidRDefault="00E55A10" w:rsidP="0047272C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48E36B5D" w14:textId="26082702" w:rsidR="00314CD0" w:rsidRDefault="00E440EC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Pr="00E440EC">
              <w:rPr>
                <w:rFonts w:ascii="Times New Roman" w:eastAsia="宋体" w:hAnsi="Times New Roman" w:hint="eastAsia"/>
                <w:sz w:val="24"/>
              </w:rPr>
              <w:t>新管理层到位后，对公司经营有何具体规划，对海正未来发展是怎样的定位和思路？</w:t>
            </w:r>
          </w:p>
          <w:p w14:paraId="2DB8F699" w14:textId="77777777" w:rsidR="004D7077" w:rsidRPr="004D7077" w:rsidRDefault="00E440EC" w:rsidP="004D7077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4D7077" w:rsidRPr="004D7077">
              <w:rPr>
                <w:rFonts w:ascii="Times New Roman" w:eastAsia="宋体" w:hAnsi="Times New Roman" w:hint="eastAsia"/>
                <w:sz w:val="24"/>
              </w:rPr>
              <w:t>目前管理层团队已经到位，后续制定整体战略规划肯定是工作重点，初步思路是强化销售、加强合作、持续降本增效、聚焦传统优势并拓展新机会等。</w:t>
            </w:r>
          </w:p>
          <w:p w14:paraId="77538B50" w14:textId="1BDE293F" w:rsidR="00113B18" w:rsidRPr="00113B18" w:rsidRDefault="004D7077" w:rsidP="004D7077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 w:rsidRPr="004D7077">
              <w:rPr>
                <w:rFonts w:ascii="Times New Roman" w:eastAsia="宋体" w:hAnsi="Times New Roman" w:hint="eastAsia"/>
                <w:sz w:val="24"/>
              </w:rPr>
              <w:t>海正有很好的基础，无论是政府领导、合作伙伴，还是院内专家、患者等等，在他们眼中海正的品牌和口碑</w:t>
            </w:r>
            <w:r w:rsidR="00880364">
              <w:rPr>
                <w:rFonts w:ascii="Times New Roman" w:eastAsia="宋体" w:hAnsi="Times New Roman" w:hint="eastAsia"/>
                <w:sz w:val="24"/>
              </w:rPr>
              <w:t>都</w:t>
            </w:r>
            <w:r w:rsidRPr="004D7077">
              <w:rPr>
                <w:rFonts w:ascii="Times New Roman" w:eastAsia="宋体" w:hAnsi="Times New Roman" w:hint="eastAsia"/>
                <w:sz w:val="24"/>
              </w:rPr>
              <w:t>非常好，大家也殷切期望海正可以做得更好。新的管理团队</w:t>
            </w:r>
            <w:r w:rsidR="00880364" w:rsidRPr="004D7077">
              <w:rPr>
                <w:rFonts w:ascii="Times New Roman" w:eastAsia="宋体" w:hAnsi="Times New Roman" w:hint="eastAsia"/>
                <w:sz w:val="24"/>
              </w:rPr>
              <w:t>对</w:t>
            </w:r>
            <w:r w:rsidR="00880364">
              <w:rPr>
                <w:rFonts w:ascii="Times New Roman" w:eastAsia="宋体" w:hAnsi="Times New Roman" w:hint="eastAsia"/>
                <w:sz w:val="24"/>
              </w:rPr>
              <w:t>公司</w:t>
            </w:r>
            <w:r w:rsidR="00880364" w:rsidRPr="004D7077">
              <w:rPr>
                <w:rFonts w:ascii="Times New Roman" w:eastAsia="宋体" w:hAnsi="Times New Roman" w:hint="eastAsia"/>
                <w:sz w:val="24"/>
              </w:rPr>
              <w:t>有情怀</w:t>
            </w:r>
            <w:r w:rsidR="003A4A69">
              <w:rPr>
                <w:rFonts w:ascii="Times New Roman" w:eastAsia="宋体" w:hAnsi="Times New Roman" w:hint="eastAsia"/>
                <w:sz w:val="24"/>
              </w:rPr>
              <w:t>，</w:t>
            </w:r>
            <w:r w:rsidR="00880364" w:rsidRPr="004D7077">
              <w:rPr>
                <w:rFonts w:ascii="Times New Roman" w:eastAsia="宋体" w:hAnsi="Times New Roman" w:hint="eastAsia"/>
                <w:sz w:val="24"/>
              </w:rPr>
              <w:t>使命感与紧迫感都很强，</w:t>
            </w:r>
            <w:r w:rsidR="00880364">
              <w:rPr>
                <w:rFonts w:ascii="Times New Roman" w:eastAsia="宋体" w:hAnsi="Times New Roman" w:hint="eastAsia"/>
                <w:sz w:val="24"/>
              </w:rPr>
              <w:t>目前</w:t>
            </w:r>
            <w:r w:rsidRPr="004D7077">
              <w:rPr>
                <w:rFonts w:ascii="Times New Roman" w:eastAsia="宋体" w:hAnsi="Times New Roman" w:hint="eastAsia"/>
                <w:sz w:val="24"/>
              </w:rPr>
              <w:t>整个团队都在发力解决眼前面临的问题</w:t>
            </w:r>
            <w:r w:rsidR="00880364">
              <w:rPr>
                <w:rFonts w:ascii="Times New Roman" w:eastAsia="宋体" w:hAnsi="Times New Roman" w:hint="eastAsia"/>
                <w:sz w:val="24"/>
              </w:rPr>
              <w:t>，同时</w:t>
            </w:r>
            <w:r w:rsidR="00E22671">
              <w:rPr>
                <w:rFonts w:ascii="Times New Roman" w:eastAsia="宋体" w:hAnsi="Times New Roman" w:hint="eastAsia"/>
                <w:sz w:val="24"/>
              </w:rPr>
              <w:t>，</w:t>
            </w:r>
            <w:r w:rsidR="00880364" w:rsidRPr="004D7077">
              <w:rPr>
                <w:rFonts w:ascii="Times New Roman" w:eastAsia="宋体" w:hAnsi="Times New Roman" w:hint="eastAsia"/>
                <w:sz w:val="24"/>
              </w:rPr>
              <w:t>对海正未来</w:t>
            </w:r>
            <w:r w:rsidR="00880364">
              <w:rPr>
                <w:rFonts w:ascii="Times New Roman" w:eastAsia="宋体" w:hAnsi="Times New Roman" w:hint="eastAsia"/>
                <w:sz w:val="24"/>
              </w:rPr>
              <w:t>的</w:t>
            </w:r>
            <w:r w:rsidR="00880364" w:rsidRPr="004D7077">
              <w:rPr>
                <w:rFonts w:ascii="Times New Roman" w:eastAsia="宋体" w:hAnsi="Times New Roman" w:hint="eastAsia"/>
                <w:sz w:val="24"/>
              </w:rPr>
              <w:t>发展充满信心</w:t>
            </w:r>
            <w:r w:rsidR="00880364">
              <w:rPr>
                <w:rFonts w:ascii="Times New Roman" w:eastAsia="宋体" w:hAnsi="Times New Roman" w:hint="eastAsia"/>
                <w:sz w:val="24"/>
              </w:rPr>
              <w:t>。</w:t>
            </w:r>
          </w:p>
          <w:p w14:paraId="573B67ED" w14:textId="70880C3D" w:rsidR="00E440EC" w:rsidRDefault="00E440EC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2E4A610B" w14:textId="77777777" w:rsidR="00E340DA" w:rsidRPr="00AB6B1B" w:rsidRDefault="00E340DA" w:rsidP="00186F25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118249C6" w14:textId="21B523E6" w:rsidR="00285324" w:rsidRPr="00CB585B" w:rsidRDefault="00285324" w:rsidP="00F60182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（记录完毕）</w:t>
            </w:r>
          </w:p>
        </w:tc>
      </w:tr>
    </w:tbl>
    <w:p w14:paraId="560F433A" w14:textId="654AE9D0" w:rsidR="00B45A49" w:rsidRDefault="00B45A49" w:rsidP="00141AFC"/>
    <w:sectPr w:rsidR="00B45A49" w:rsidSect="00602E26">
      <w:headerReference w:type="default" r:id="rId6"/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6614" w14:textId="77777777" w:rsidR="00464946" w:rsidRDefault="00464946" w:rsidP="00871A25">
      <w:r>
        <w:separator/>
      </w:r>
    </w:p>
  </w:endnote>
  <w:endnote w:type="continuationSeparator" w:id="0">
    <w:p w14:paraId="5DE9548C" w14:textId="77777777" w:rsidR="00464946" w:rsidRDefault="00464946" w:rsidP="0087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</w:rPr>
      <w:id w:val="73319455"/>
      <w:docPartObj>
        <w:docPartGallery w:val="Page Numbers (Bottom of Page)"/>
        <w:docPartUnique/>
      </w:docPartObj>
    </w:sdtPr>
    <w:sdtEndPr/>
    <w:sdtContent>
      <w:p w14:paraId="1E3D92C2" w14:textId="319D067E" w:rsidR="007E0AFF" w:rsidRPr="00602E26" w:rsidRDefault="007E0AFF" w:rsidP="00602E26">
        <w:pPr>
          <w:pStyle w:val="a5"/>
          <w:jc w:val="center"/>
          <w:rPr>
            <w:rFonts w:ascii="Times New Roman" w:hAnsi="Times New Roman" w:cs="Times New Roman"/>
            <w:b/>
          </w:rPr>
        </w:pPr>
        <w:r w:rsidRPr="00602E26">
          <w:rPr>
            <w:rFonts w:ascii="Times New Roman" w:hAnsi="Times New Roman" w:cs="Times New Roman"/>
            <w:b/>
          </w:rPr>
          <w:fldChar w:fldCharType="begin"/>
        </w:r>
        <w:r w:rsidRPr="00602E26">
          <w:rPr>
            <w:rFonts w:ascii="Times New Roman" w:hAnsi="Times New Roman" w:cs="Times New Roman"/>
            <w:b/>
          </w:rPr>
          <w:instrText>PAGE   \* MERGEFORMAT</w:instrText>
        </w:r>
        <w:r w:rsidRPr="00602E26">
          <w:rPr>
            <w:rFonts w:ascii="Times New Roman" w:hAnsi="Times New Roman" w:cs="Times New Roman"/>
            <w:b/>
          </w:rPr>
          <w:fldChar w:fldCharType="separate"/>
        </w:r>
        <w:r w:rsidR="008C0D47" w:rsidRPr="008C0D47">
          <w:rPr>
            <w:rFonts w:ascii="Times New Roman" w:hAnsi="Times New Roman" w:cs="Times New Roman"/>
            <w:b/>
            <w:noProof/>
            <w:lang w:val="zh-CN"/>
          </w:rPr>
          <w:t>9</w:t>
        </w:r>
        <w:r w:rsidRPr="00602E26">
          <w:rPr>
            <w:rFonts w:ascii="Times New Roman" w:hAnsi="Times New Roman" w:cs="Times New Roman"/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91D1" w14:textId="77777777" w:rsidR="00464946" w:rsidRDefault="00464946" w:rsidP="00871A25">
      <w:r>
        <w:separator/>
      </w:r>
    </w:p>
  </w:footnote>
  <w:footnote w:type="continuationSeparator" w:id="0">
    <w:p w14:paraId="2D8EE0EA" w14:textId="77777777" w:rsidR="00464946" w:rsidRDefault="00464946" w:rsidP="00871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5CB3" w14:textId="4BF16C5C" w:rsidR="007E0AFF" w:rsidRDefault="007E0AFF" w:rsidP="00BC16BB">
    <w:pPr>
      <w:pStyle w:val="a3"/>
      <w:jc w:val="both"/>
    </w:pPr>
    <w:r>
      <w:rPr>
        <w:rFonts w:hint="eastAsia"/>
        <w:noProof/>
      </w:rPr>
      <w:drawing>
        <wp:inline distT="0" distB="0" distL="0" distR="0" wp14:anchorId="7207C06D" wp14:editId="2E6E0372">
          <wp:extent cx="571500" cy="273050"/>
          <wp:effectExtent l="19050" t="0" r="0" b="0"/>
          <wp:docPr id="1" name="图片 1" descr="海正药业logo－中英文横排－党办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海正药业logo－中英文横排－党办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7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46"/>
    <w:rsid w:val="00000361"/>
    <w:rsid w:val="000037E7"/>
    <w:rsid w:val="000119A0"/>
    <w:rsid w:val="00013934"/>
    <w:rsid w:val="00021029"/>
    <w:rsid w:val="0002314A"/>
    <w:rsid w:val="000241DD"/>
    <w:rsid w:val="0003139F"/>
    <w:rsid w:val="000375A5"/>
    <w:rsid w:val="00040352"/>
    <w:rsid w:val="00046945"/>
    <w:rsid w:val="000524BC"/>
    <w:rsid w:val="000525AA"/>
    <w:rsid w:val="00053F87"/>
    <w:rsid w:val="0005613C"/>
    <w:rsid w:val="000563B8"/>
    <w:rsid w:val="000612D1"/>
    <w:rsid w:val="00067EA6"/>
    <w:rsid w:val="00072055"/>
    <w:rsid w:val="00077167"/>
    <w:rsid w:val="000920F9"/>
    <w:rsid w:val="00095A1D"/>
    <w:rsid w:val="000B1B0F"/>
    <w:rsid w:val="000B3638"/>
    <w:rsid w:val="000B75B7"/>
    <w:rsid w:val="000D239B"/>
    <w:rsid w:val="000D5ECC"/>
    <w:rsid w:val="000E378F"/>
    <w:rsid w:val="000E41EE"/>
    <w:rsid w:val="000E6A29"/>
    <w:rsid w:val="000F0190"/>
    <w:rsid w:val="000F0FC3"/>
    <w:rsid w:val="00101EB9"/>
    <w:rsid w:val="001047B4"/>
    <w:rsid w:val="001063EE"/>
    <w:rsid w:val="00106C6D"/>
    <w:rsid w:val="00112BDA"/>
    <w:rsid w:val="00112EA6"/>
    <w:rsid w:val="00113B18"/>
    <w:rsid w:val="00115E07"/>
    <w:rsid w:val="00122917"/>
    <w:rsid w:val="001232CA"/>
    <w:rsid w:val="00123401"/>
    <w:rsid w:val="00124865"/>
    <w:rsid w:val="00136D5C"/>
    <w:rsid w:val="0014080E"/>
    <w:rsid w:val="0014122D"/>
    <w:rsid w:val="00141884"/>
    <w:rsid w:val="00141AFC"/>
    <w:rsid w:val="00150FC8"/>
    <w:rsid w:val="0015156E"/>
    <w:rsid w:val="0015173F"/>
    <w:rsid w:val="00152B15"/>
    <w:rsid w:val="00153DD3"/>
    <w:rsid w:val="00157FD7"/>
    <w:rsid w:val="00160882"/>
    <w:rsid w:val="00160F73"/>
    <w:rsid w:val="00174812"/>
    <w:rsid w:val="00183EB7"/>
    <w:rsid w:val="00186F25"/>
    <w:rsid w:val="001919AC"/>
    <w:rsid w:val="00197E69"/>
    <w:rsid w:val="001A04B8"/>
    <w:rsid w:val="001A2B3C"/>
    <w:rsid w:val="001A6AA8"/>
    <w:rsid w:val="001B3328"/>
    <w:rsid w:val="001B4084"/>
    <w:rsid w:val="001B6B50"/>
    <w:rsid w:val="001C0714"/>
    <w:rsid w:val="001C3105"/>
    <w:rsid w:val="001D03D9"/>
    <w:rsid w:val="001D07CA"/>
    <w:rsid w:val="001E14BC"/>
    <w:rsid w:val="001E2A8A"/>
    <w:rsid w:val="001F1315"/>
    <w:rsid w:val="001F4FC7"/>
    <w:rsid w:val="001F5473"/>
    <w:rsid w:val="00201FEA"/>
    <w:rsid w:val="002066B7"/>
    <w:rsid w:val="0020688B"/>
    <w:rsid w:val="002141B4"/>
    <w:rsid w:val="00214820"/>
    <w:rsid w:val="00215E7C"/>
    <w:rsid w:val="00224324"/>
    <w:rsid w:val="00235088"/>
    <w:rsid w:val="002352D6"/>
    <w:rsid w:val="00240289"/>
    <w:rsid w:val="00240BC0"/>
    <w:rsid w:val="00242354"/>
    <w:rsid w:val="00252D15"/>
    <w:rsid w:val="00253574"/>
    <w:rsid w:val="00254BCC"/>
    <w:rsid w:val="002630CE"/>
    <w:rsid w:val="00266443"/>
    <w:rsid w:val="002700F9"/>
    <w:rsid w:val="002700FD"/>
    <w:rsid w:val="00273E81"/>
    <w:rsid w:val="00277AE5"/>
    <w:rsid w:val="00282922"/>
    <w:rsid w:val="002831E9"/>
    <w:rsid w:val="00285324"/>
    <w:rsid w:val="00285FC2"/>
    <w:rsid w:val="00286501"/>
    <w:rsid w:val="0029164F"/>
    <w:rsid w:val="00293DD9"/>
    <w:rsid w:val="00296615"/>
    <w:rsid w:val="002A088E"/>
    <w:rsid w:val="002A1067"/>
    <w:rsid w:val="002A3757"/>
    <w:rsid w:val="002A665F"/>
    <w:rsid w:val="002B040E"/>
    <w:rsid w:val="002B35A3"/>
    <w:rsid w:val="002B4C49"/>
    <w:rsid w:val="002B757E"/>
    <w:rsid w:val="002B7E87"/>
    <w:rsid w:val="002C0FA7"/>
    <w:rsid w:val="002C1A65"/>
    <w:rsid w:val="002C45E8"/>
    <w:rsid w:val="002D153C"/>
    <w:rsid w:val="002D16FB"/>
    <w:rsid w:val="002E4EEE"/>
    <w:rsid w:val="002E5ED0"/>
    <w:rsid w:val="002E6509"/>
    <w:rsid w:val="002F325E"/>
    <w:rsid w:val="002F7894"/>
    <w:rsid w:val="00302BDE"/>
    <w:rsid w:val="0030375D"/>
    <w:rsid w:val="0031157C"/>
    <w:rsid w:val="0031355B"/>
    <w:rsid w:val="00314CD0"/>
    <w:rsid w:val="00317871"/>
    <w:rsid w:val="00326DF9"/>
    <w:rsid w:val="003301FE"/>
    <w:rsid w:val="0033061E"/>
    <w:rsid w:val="00334BF1"/>
    <w:rsid w:val="00340877"/>
    <w:rsid w:val="003449B6"/>
    <w:rsid w:val="0034556F"/>
    <w:rsid w:val="003478EC"/>
    <w:rsid w:val="003525F0"/>
    <w:rsid w:val="0035270C"/>
    <w:rsid w:val="00353E64"/>
    <w:rsid w:val="00354E32"/>
    <w:rsid w:val="00355C83"/>
    <w:rsid w:val="00367B11"/>
    <w:rsid w:val="00372105"/>
    <w:rsid w:val="0037215D"/>
    <w:rsid w:val="00372236"/>
    <w:rsid w:val="003726E2"/>
    <w:rsid w:val="003727B3"/>
    <w:rsid w:val="00374950"/>
    <w:rsid w:val="00380C5C"/>
    <w:rsid w:val="003811E8"/>
    <w:rsid w:val="003821F6"/>
    <w:rsid w:val="00382542"/>
    <w:rsid w:val="00387FD6"/>
    <w:rsid w:val="00390F62"/>
    <w:rsid w:val="003A0B67"/>
    <w:rsid w:val="003A0F80"/>
    <w:rsid w:val="003A17AC"/>
    <w:rsid w:val="003A4A69"/>
    <w:rsid w:val="003A7394"/>
    <w:rsid w:val="003B2840"/>
    <w:rsid w:val="003B3BDB"/>
    <w:rsid w:val="003C22AB"/>
    <w:rsid w:val="003C4DCF"/>
    <w:rsid w:val="003C74DC"/>
    <w:rsid w:val="003D2AD7"/>
    <w:rsid w:val="003D4E56"/>
    <w:rsid w:val="003D77C9"/>
    <w:rsid w:val="003E1583"/>
    <w:rsid w:val="003E37CA"/>
    <w:rsid w:val="003E4F54"/>
    <w:rsid w:val="003F2BD3"/>
    <w:rsid w:val="003F434F"/>
    <w:rsid w:val="003F62FB"/>
    <w:rsid w:val="00407BE9"/>
    <w:rsid w:val="00411D9E"/>
    <w:rsid w:val="004143C9"/>
    <w:rsid w:val="004149AE"/>
    <w:rsid w:val="004156FD"/>
    <w:rsid w:val="0041755B"/>
    <w:rsid w:val="00417720"/>
    <w:rsid w:val="0043105E"/>
    <w:rsid w:val="004332AC"/>
    <w:rsid w:val="00435DF6"/>
    <w:rsid w:val="00445254"/>
    <w:rsid w:val="0044669F"/>
    <w:rsid w:val="0044735D"/>
    <w:rsid w:val="0045046D"/>
    <w:rsid w:val="0045779E"/>
    <w:rsid w:val="004602A7"/>
    <w:rsid w:val="00461502"/>
    <w:rsid w:val="004636D3"/>
    <w:rsid w:val="00464946"/>
    <w:rsid w:val="0047272C"/>
    <w:rsid w:val="00477718"/>
    <w:rsid w:val="004806D8"/>
    <w:rsid w:val="00484ADB"/>
    <w:rsid w:val="00485D29"/>
    <w:rsid w:val="00486264"/>
    <w:rsid w:val="004A4800"/>
    <w:rsid w:val="004A6FA2"/>
    <w:rsid w:val="004B060C"/>
    <w:rsid w:val="004B6126"/>
    <w:rsid w:val="004C3846"/>
    <w:rsid w:val="004C615C"/>
    <w:rsid w:val="004D4D2F"/>
    <w:rsid w:val="004D6831"/>
    <w:rsid w:val="004D6CDF"/>
    <w:rsid w:val="004D7077"/>
    <w:rsid w:val="004E0F04"/>
    <w:rsid w:val="004E13B7"/>
    <w:rsid w:val="004E2FBA"/>
    <w:rsid w:val="004E4424"/>
    <w:rsid w:val="004E4A47"/>
    <w:rsid w:val="004E595D"/>
    <w:rsid w:val="004E5E3E"/>
    <w:rsid w:val="00503406"/>
    <w:rsid w:val="005062BD"/>
    <w:rsid w:val="0051077E"/>
    <w:rsid w:val="00511006"/>
    <w:rsid w:val="00520CF0"/>
    <w:rsid w:val="0052256D"/>
    <w:rsid w:val="00523B1A"/>
    <w:rsid w:val="00524F86"/>
    <w:rsid w:val="00530096"/>
    <w:rsid w:val="005332C5"/>
    <w:rsid w:val="00543444"/>
    <w:rsid w:val="005461A8"/>
    <w:rsid w:val="0054639D"/>
    <w:rsid w:val="0055607B"/>
    <w:rsid w:val="00573063"/>
    <w:rsid w:val="005809A5"/>
    <w:rsid w:val="00580D0F"/>
    <w:rsid w:val="00582430"/>
    <w:rsid w:val="005825D7"/>
    <w:rsid w:val="005969C3"/>
    <w:rsid w:val="005976E7"/>
    <w:rsid w:val="005A117F"/>
    <w:rsid w:val="005A2B4A"/>
    <w:rsid w:val="005A3443"/>
    <w:rsid w:val="005B5D7E"/>
    <w:rsid w:val="005B6AFF"/>
    <w:rsid w:val="005D30F5"/>
    <w:rsid w:val="005D3AAA"/>
    <w:rsid w:val="005D6701"/>
    <w:rsid w:val="005D6AA8"/>
    <w:rsid w:val="005D7145"/>
    <w:rsid w:val="005E1DF8"/>
    <w:rsid w:val="005E5C8F"/>
    <w:rsid w:val="005E70CE"/>
    <w:rsid w:val="005F2A64"/>
    <w:rsid w:val="005F3EF6"/>
    <w:rsid w:val="005F6440"/>
    <w:rsid w:val="00602E26"/>
    <w:rsid w:val="00604883"/>
    <w:rsid w:val="00604AEF"/>
    <w:rsid w:val="006155A2"/>
    <w:rsid w:val="00625719"/>
    <w:rsid w:val="006320FD"/>
    <w:rsid w:val="00650771"/>
    <w:rsid w:val="00654424"/>
    <w:rsid w:val="00655344"/>
    <w:rsid w:val="006559D1"/>
    <w:rsid w:val="00656949"/>
    <w:rsid w:val="006613F3"/>
    <w:rsid w:val="006649D2"/>
    <w:rsid w:val="00671463"/>
    <w:rsid w:val="0067222F"/>
    <w:rsid w:val="00672F7E"/>
    <w:rsid w:val="006767F7"/>
    <w:rsid w:val="006857BC"/>
    <w:rsid w:val="00685D1D"/>
    <w:rsid w:val="00686D38"/>
    <w:rsid w:val="00691935"/>
    <w:rsid w:val="00695662"/>
    <w:rsid w:val="006A10C0"/>
    <w:rsid w:val="006A1AB7"/>
    <w:rsid w:val="006A5524"/>
    <w:rsid w:val="006A5CE5"/>
    <w:rsid w:val="006B29A9"/>
    <w:rsid w:val="006B6A88"/>
    <w:rsid w:val="006B6E95"/>
    <w:rsid w:val="006C3702"/>
    <w:rsid w:val="006C477E"/>
    <w:rsid w:val="006C5F19"/>
    <w:rsid w:val="006D0C12"/>
    <w:rsid w:val="006E4A32"/>
    <w:rsid w:val="006E63CC"/>
    <w:rsid w:val="006E76E4"/>
    <w:rsid w:val="006F172D"/>
    <w:rsid w:val="006F19D1"/>
    <w:rsid w:val="006F3CAC"/>
    <w:rsid w:val="006F3EB2"/>
    <w:rsid w:val="00702C44"/>
    <w:rsid w:val="0070665B"/>
    <w:rsid w:val="007076C8"/>
    <w:rsid w:val="00712763"/>
    <w:rsid w:val="00720443"/>
    <w:rsid w:val="00722DCB"/>
    <w:rsid w:val="00723200"/>
    <w:rsid w:val="00723E52"/>
    <w:rsid w:val="00726ECF"/>
    <w:rsid w:val="007403DC"/>
    <w:rsid w:val="00742E14"/>
    <w:rsid w:val="007467EA"/>
    <w:rsid w:val="00746C01"/>
    <w:rsid w:val="00750DB4"/>
    <w:rsid w:val="00756DE5"/>
    <w:rsid w:val="0075722B"/>
    <w:rsid w:val="00772245"/>
    <w:rsid w:val="00772C13"/>
    <w:rsid w:val="00775F8A"/>
    <w:rsid w:val="007840D0"/>
    <w:rsid w:val="0078785A"/>
    <w:rsid w:val="00794ED0"/>
    <w:rsid w:val="007A08E8"/>
    <w:rsid w:val="007A13A2"/>
    <w:rsid w:val="007A24BB"/>
    <w:rsid w:val="007B0CD8"/>
    <w:rsid w:val="007B3D04"/>
    <w:rsid w:val="007B49D1"/>
    <w:rsid w:val="007B4A05"/>
    <w:rsid w:val="007C1534"/>
    <w:rsid w:val="007C312E"/>
    <w:rsid w:val="007D595A"/>
    <w:rsid w:val="007D7BB0"/>
    <w:rsid w:val="007E0AFF"/>
    <w:rsid w:val="007E55BC"/>
    <w:rsid w:val="0081243E"/>
    <w:rsid w:val="00815DF0"/>
    <w:rsid w:val="0081733E"/>
    <w:rsid w:val="00821BBA"/>
    <w:rsid w:val="00822573"/>
    <w:rsid w:val="008245FA"/>
    <w:rsid w:val="0082461D"/>
    <w:rsid w:val="00824DB0"/>
    <w:rsid w:val="00831EDA"/>
    <w:rsid w:val="00841D9D"/>
    <w:rsid w:val="00844C04"/>
    <w:rsid w:val="00845450"/>
    <w:rsid w:val="0084589E"/>
    <w:rsid w:val="00846118"/>
    <w:rsid w:val="00846688"/>
    <w:rsid w:val="00852A9C"/>
    <w:rsid w:val="008542E7"/>
    <w:rsid w:val="00855A18"/>
    <w:rsid w:val="00857DF0"/>
    <w:rsid w:val="00860AA9"/>
    <w:rsid w:val="00863391"/>
    <w:rsid w:val="008646FD"/>
    <w:rsid w:val="008659D0"/>
    <w:rsid w:val="00871A25"/>
    <w:rsid w:val="0087600A"/>
    <w:rsid w:val="0088002D"/>
    <w:rsid w:val="00880364"/>
    <w:rsid w:val="00880ACA"/>
    <w:rsid w:val="00881AD0"/>
    <w:rsid w:val="00891FB8"/>
    <w:rsid w:val="008927DD"/>
    <w:rsid w:val="00892E6E"/>
    <w:rsid w:val="008A01FC"/>
    <w:rsid w:val="008A1177"/>
    <w:rsid w:val="008A2E2C"/>
    <w:rsid w:val="008A3861"/>
    <w:rsid w:val="008A68D4"/>
    <w:rsid w:val="008B0D34"/>
    <w:rsid w:val="008B474E"/>
    <w:rsid w:val="008B75B5"/>
    <w:rsid w:val="008C0D47"/>
    <w:rsid w:val="008C3349"/>
    <w:rsid w:val="008C5A90"/>
    <w:rsid w:val="008C5F6C"/>
    <w:rsid w:val="008C735D"/>
    <w:rsid w:val="008D3D02"/>
    <w:rsid w:val="008D70DD"/>
    <w:rsid w:val="008E03F7"/>
    <w:rsid w:val="008E0A6F"/>
    <w:rsid w:val="008E0E8D"/>
    <w:rsid w:val="008E1A80"/>
    <w:rsid w:val="008E54D2"/>
    <w:rsid w:val="008E5DB7"/>
    <w:rsid w:val="008E70EB"/>
    <w:rsid w:val="008F0048"/>
    <w:rsid w:val="008F11F8"/>
    <w:rsid w:val="008F198A"/>
    <w:rsid w:val="008F5EDB"/>
    <w:rsid w:val="009003C7"/>
    <w:rsid w:val="00904498"/>
    <w:rsid w:val="00904C40"/>
    <w:rsid w:val="00911ED4"/>
    <w:rsid w:val="009214F6"/>
    <w:rsid w:val="009216C2"/>
    <w:rsid w:val="00925153"/>
    <w:rsid w:val="00927946"/>
    <w:rsid w:val="009418F7"/>
    <w:rsid w:val="009503F2"/>
    <w:rsid w:val="00953E11"/>
    <w:rsid w:val="009543F0"/>
    <w:rsid w:val="00954464"/>
    <w:rsid w:val="0096156E"/>
    <w:rsid w:val="00961FF7"/>
    <w:rsid w:val="00963A44"/>
    <w:rsid w:val="00964446"/>
    <w:rsid w:val="00965899"/>
    <w:rsid w:val="00966629"/>
    <w:rsid w:val="0096756C"/>
    <w:rsid w:val="00973EC9"/>
    <w:rsid w:val="00974A86"/>
    <w:rsid w:val="00982466"/>
    <w:rsid w:val="00985D66"/>
    <w:rsid w:val="009926DC"/>
    <w:rsid w:val="0099273B"/>
    <w:rsid w:val="009929B6"/>
    <w:rsid w:val="009933C7"/>
    <w:rsid w:val="00995549"/>
    <w:rsid w:val="009A0C6E"/>
    <w:rsid w:val="009A3A2E"/>
    <w:rsid w:val="009A51E8"/>
    <w:rsid w:val="009A5358"/>
    <w:rsid w:val="009A569A"/>
    <w:rsid w:val="009A5FC3"/>
    <w:rsid w:val="009B5BF4"/>
    <w:rsid w:val="009C5219"/>
    <w:rsid w:val="009D16B0"/>
    <w:rsid w:val="009D5ADB"/>
    <w:rsid w:val="009D7BB0"/>
    <w:rsid w:val="009D7CAB"/>
    <w:rsid w:val="009E355C"/>
    <w:rsid w:val="009F21BF"/>
    <w:rsid w:val="009F25C5"/>
    <w:rsid w:val="009F3A12"/>
    <w:rsid w:val="009F6A13"/>
    <w:rsid w:val="00A0218E"/>
    <w:rsid w:val="00A23FD7"/>
    <w:rsid w:val="00A25157"/>
    <w:rsid w:val="00A36963"/>
    <w:rsid w:val="00A428D0"/>
    <w:rsid w:val="00A52536"/>
    <w:rsid w:val="00A52CBC"/>
    <w:rsid w:val="00A613DD"/>
    <w:rsid w:val="00A62BC0"/>
    <w:rsid w:val="00A635EE"/>
    <w:rsid w:val="00A75480"/>
    <w:rsid w:val="00A75670"/>
    <w:rsid w:val="00A756F7"/>
    <w:rsid w:val="00A75B92"/>
    <w:rsid w:val="00A83DEC"/>
    <w:rsid w:val="00A95FDC"/>
    <w:rsid w:val="00A9663E"/>
    <w:rsid w:val="00A96BB6"/>
    <w:rsid w:val="00AB0F4F"/>
    <w:rsid w:val="00AB203F"/>
    <w:rsid w:val="00AB26A3"/>
    <w:rsid w:val="00AB4ED6"/>
    <w:rsid w:val="00AB6B1B"/>
    <w:rsid w:val="00AC17F7"/>
    <w:rsid w:val="00AC3701"/>
    <w:rsid w:val="00AC5C00"/>
    <w:rsid w:val="00AD0F4B"/>
    <w:rsid w:val="00AD49C4"/>
    <w:rsid w:val="00AD7A6C"/>
    <w:rsid w:val="00AE0328"/>
    <w:rsid w:val="00AE68D6"/>
    <w:rsid w:val="00AF2C88"/>
    <w:rsid w:val="00AF2D46"/>
    <w:rsid w:val="00AF79FB"/>
    <w:rsid w:val="00B0480F"/>
    <w:rsid w:val="00B06A8C"/>
    <w:rsid w:val="00B10ED9"/>
    <w:rsid w:val="00B1266E"/>
    <w:rsid w:val="00B1557E"/>
    <w:rsid w:val="00B15794"/>
    <w:rsid w:val="00B2083F"/>
    <w:rsid w:val="00B244AD"/>
    <w:rsid w:val="00B3478F"/>
    <w:rsid w:val="00B350ED"/>
    <w:rsid w:val="00B351C7"/>
    <w:rsid w:val="00B3669D"/>
    <w:rsid w:val="00B40324"/>
    <w:rsid w:val="00B4181A"/>
    <w:rsid w:val="00B45A49"/>
    <w:rsid w:val="00B473C4"/>
    <w:rsid w:val="00B61140"/>
    <w:rsid w:val="00B64C85"/>
    <w:rsid w:val="00B65445"/>
    <w:rsid w:val="00B70831"/>
    <w:rsid w:val="00B81EA5"/>
    <w:rsid w:val="00B92836"/>
    <w:rsid w:val="00B93A7D"/>
    <w:rsid w:val="00B94EEB"/>
    <w:rsid w:val="00B954CD"/>
    <w:rsid w:val="00B97630"/>
    <w:rsid w:val="00BA1161"/>
    <w:rsid w:val="00BA4431"/>
    <w:rsid w:val="00BA78F3"/>
    <w:rsid w:val="00BC16BB"/>
    <w:rsid w:val="00BC2101"/>
    <w:rsid w:val="00BC3C1B"/>
    <w:rsid w:val="00BC5005"/>
    <w:rsid w:val="00BD433D"/>
    <w:rsid w:val="00BE3A3A"/>
    <w:rsid w:val="00BE3C66"/>
    <w:rsid w:val="00BE63C1"/>
    <w:rsid w:val="00BF3C10"/>
    <w:rsid w:val="00BF4A0E"/>
    <w:rsid w:val="00BF4FCD"/>
    <w:rsid w:val="00C00328"/>
    <w:rsid w:val="00C125EF"/>
    <w:rsid w:val="00C13DB9"/>
    <w:rsid w:val="00C157C3"/>
    <w:rsid w:val="00C24803"/>
    <w:rsid w:val="00C31A3D"/>
    <w:rsid w:val="00C363FC"/>
    <w:rsid w:val="00C41753"/>
    <w:rsid w:val="00C42539"/>
    <w:rsid w:val="00C45118"/>
    <w:rsid w:val="00C463F3"/>
    <w:rsid w:val="00C503D0"/>
    <w:rsid w:val="00C52F66"/>
    <w:rsid w:val="00C57677"/>
    <w:rsid w:val="00C60ECE"/>
    <w:rsid w:val="00C64DD6"/>
    <w:rsid w:val="00C70113"/>
    <w:rsid w:val="00C71D9B"/>
    <w:rsid w:val="00C73EE2"/>
    <w:rsid w:val="00C85908"/>
    <w:rsid w:val="00CA2AD9"/>
    <w:rsid w:val="00CA6520"/>
    <w:rsid w:val="00CB00E5"/>
    <w:rsid w:val="00CB09DA"/>
    <w:rsid w:val="00CB0EC1"/>
    <w:rsid w:val="00CB585B"/>
    <w:rsid w:val="00CB7F1B"/>
    <w:rsid w:val="00CC4B1B"/>
    <w:rsid w:val="00CD02B4"/>
    <w:rsid w:val="00CD2F90"/>
    <w:rsid w:val="00CD62EC"/>
    <w:rsid w:val="00CD7864"/>
    <w:rsid w:val="00CE4200"/>
    <w:rsid w:val="00CF5892"/>
    <w:rsid w:val="00CF6778"/>
    <w:rsid w:val="00D001BD"/>
    <w:rsid w:val="00D06546"/>
    <w:rsid w:val="00D06FF2"/>
    <w:rsid w:val="00D10D0D"/>
    <w:rsid w:val="00D169E2"/>
    <w:rsid w:val="00D252DE"/>
    <w:rsid w:val="00D30736"/>
    <w:rsid w:val="00D31BDE"/>
    <w:rsid w:val="00D43E58"/>
    <w:rsid w:val="00D535EF"/>
    <w:rsid w:val="00D55239"/>
    <w:rsid w:val="00D577E7"/>
    <w:rsid w:val="00D579F4"/>
    <w:rsid w:val="00D63723"/>
    <w:rsid w:val="00D64FF7"/>
    <w:rsid w:val="00D73EE6"/>
    <w:rsid w:val="00D75DC7"/>
    <w:rsid w:val="00D771CB"/>
    <w:rsid w:val="00D81609"/>
    <w:rsid w:val="00D846C8"/>
    <w:rsid w:val="00D860BB"/>
    <w:rsid w:val="00D86B1B"/>
    <w:rsid w:val="00D87D6F"/>
    <w:rsid w:val="00DA5505"/>
    <w:rsid w:val="00DA6D60"/>
    <w:rsid w:val="00DB3557"/>
    <w:rsid w:val="00DB39CD"/>
    <w:rsid w:val="00DB71F7"/>
    <w:rsid w:val="00DB7C58"/>
    <w:rsid w:val="00DB7F63"/>
    <w:rsid w:val="00DC5A10"/>
    <w:rsid w:val="00DD3B6F"/>
    <w:rsid w:val="00DE439F"/>
    <w:rsid w:val="00DF34D7"/>
    <w:rsid w:val="00DF462E"/>
    <w:rsid w:val="00DF57A5"/>
    <w:rsid w:val="00DF7E4F"/>
    <w:rsid w:val="00E116DF"/>
    <w:rsid w:val="00E13504"/>
    <w:rsid w:val="00E17880"/>
    <w:rsid w:val="00E2216F"/>
    <w:rsid w:val="00E22671"/>
    <w:rsid w:val="00E24B9A"/>
    <w:rsid w:val="00E25535"/>
    <w:rsid w:val="00E340DA"/>
    <w:rsid w:val="00E35472"/>
    <w:rsid w:val="00E40215"/>
    <w:rsid w:val="00E40621"/>
    <w:rsid w:val="00E4262C"/>
    <w:rsid w:val="00E43033"/>
    <w:rsid w:val="00E440EC"/>
    <w:rsid w:val="00E4620E"/>
    <w:rsid w:val="00E47443"/>
    <w:rsid w:val="00E50A92"/>
    <w:rsid w:val="00E5245A"/>
    <w:rsid w:val="00E55A10"/>
    <w:rsid w:val="00E60365"/>
    <w:rsid w:val="00E652E5"/>
    <w:rsid w:val="00E72991"/>
    <w:rsid w:val="00E75D18"/>
    <w:rsid w:val="00E7721E"/>
    <w:rsid w:val="00E826C1"/>
    <w:rsid w:val="00E82E40"/>
    <w:rsid w:val="00E849F3"/>
    <w:rsid w:val="00E87A2B"/>
    <w:rsid w:val="00E87DFE"/>
    <w:rsid w:val="00E87E5F"/>
    <w:rsid w:val="00E92D8D"/>
    <w:rsid w:val="00EA0906"/>
    <w:rsid w:val="00EA7057"/>
    <w:rsid w:val="00EB0DCD"/>
    <w:rsid w:val="00EB4F72"/>
    <w:rsid w:val="00EB546F"/>
    <w:rsid w:val="00EC628C"/>
    <w:rsid w:val="00EC68E0"/>
    <w:rsid w:val="00ED2BF3"/>
    <w:rsid w:val="00ED2CE2"/>
    <w:rsid w:val="00ED5C75"/>
    <w:rsid w:val="00ED6888"/>
    <w:rsid w:val="00EE34D1"/>
    <w:rsid w:val="00EE5403"/>
    <w:rsid w:val="00EF380F"/>
    <w:rsid w:val="00EF5909"/>
    <w:rsid w:val="00F01BA1"/>
    <w:rsid w:val="00F040EC"/>
    <w:rsid w:val="00F1495A"/>
    <w:rsid w:val="00F27F0B"/>
    <w:rsid w:val="00F30662"/>
    <w:rsid w:val="00F31971"/>
    <w:rsid w:val="00F37027"/>
    <w:rsid w:val="00F37E16"/>
    <w:rsid w:val="00F4203B"/>
    <w:rsid w:val="00F44140"/>
    <w:rsid w:val="00F50C11"/>
    <w:rsid w:val="00F5496E"/>
    <w:rsid w:val="00F568A3"/>
    <w:rsid w:val="00F60182"/>
    <w:rsid w:val="00F617DC"/>
    <w:rsid w:val="00F62167"/>
    <w:rsid w:val="00F62B0B"/>
    <w:rsid w:val="00F63157"/>
    <w:rsid w:val="00F65E09"/>
    <w:rsid w:val="00F66160"/>
    <w:rsid w:val="00F7165A"/>
    <w:rsid w:val="00F75218"/>
    <w:rsid w:val="00F841EC"/>
    <w:rsid w:val="00F86D0B"/>
    <w:rsid w:val="00FA07BE"/>
    <w:rsid w:val="00FA27A4"/>
    <w:rsid w:val="00FC06E7"/>
    <w:rsid w:val="00FC783C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3CB3A"/>
  <w15:docId w15:val="{C2E683E5-C3D1-45D1-B694-114B4517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1A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1A2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677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6778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589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6589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65899"/>
  </w:style>
  <w:style w:type="paragraph" w:styleId="ac">
    <w:name w:val="annotation subject"/>
    <w:basedOn w:val="aa"/>
    <w:next w:val="aa"/>
    <w:link w:val="ad"/>
    <w:uiPriority w:val="99"/>
    <w:semiHidden/>
    <w:unhideWhenUsed/>
    <w:rsid w:val="0096589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65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4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斌</dc:creator>
  <cp:keywords/>
  <dc:description/>
  <cp:lastModifiedBy>胡玥</cp:lastModifiedBy>
  <cp:revision>449</cp:revision>
  <dcterms:created xsi:type="dcterms:W3CDTF">2022-08-27T08:34:00Z</dcterms:created>
  <dcterms:modified xsi:type="dcterms:W3CDTF">2023-11-03T09:36:00Z</dcterms:modified>
</cp:coreProperties>
</file>