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0A" w:rsidRDefault="002964BC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601069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西部黄金</w:t>
      </w:r>
      <w:r w:rsidR="0061335E">
        <w:rPr>
          <w:rFonts w:hint="eastAsia"/>
          <w:color w:val="000000"/>
          <w:sz w:val="24"/>
        </w:rPr>
        <w:t xml:space="preserve"> </w:t>
      </w:r>
      <w:r w:rsidR="0061335E">
        <w:rPr>
          <w:color w:val="000000"/>
          <w:sz w:val="24"/>
        </w:rPr>
        <w:t xml:space="preserve">    </w:t>
      </w:r>
      <w:r w:rsidR="0061335E">
        <w:rPr>
          <w:color w:val="000000"/>
          <w:sz w:val="24"/>
        </w:rPr>
        <w:t>记录表编号：</w:t>
      </w:r>
      <w:r w:rsidR="0061335E">
        <w:rPr>
          <w:rFonts w:hint="eastAsia"/>
          <w:color w:val="000000"/>
          <w:sz w:val="24"/>
        </w:rPr>
        <w:t>2</w:t>
      </w:r>
      <w:r w:rsidR="0061335E">
        <w:rPr>
          <w:color w:val="000000"/>
          <w:sz w:val="24"/>
        </w:rPr>
        <w:t>023-0</w:t>
      </w:r>
      <w:r w:rsidR="00727FFB">
        <w:rPr>
          <w:color w:val="000000"/>
          <w:sz w:val="24"/>
        </w:rPr>
        <w:t>1</w:t>
      </w:r>
      <w:bookmarkStart w:id="0" w:name="_GoBack"/>
      <w:bookmarkEnd w:id="0"/>
    </w:p>
    <w:p w:rsidR="008D230A" w:rsidRPr="0061335E" w:rsidRDefault="002964BC" w:rsidP="00A9182B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西部黄金股份有限公司</w:t>
      </w:r>
      <w:r w:rsidR="00E75707" w:rsidRPr="00E75707">
        <w:rPr>
          <w:rFonts w:ascii="宋体" w:hAnsi="宋体" w:hint="eastAsia"/>
          <w:b/>
          <w:bCs/>
          <w:iCs/>
          <w:color w:val="000000"/>
          <w:sz w:val="32"/>
          <w:szCs w:val="32"/>
        </w:rPr>
        <w:t>2023年新疆辖区投资者网上集体接待日活动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</w:tblGrid>
      <w:tr w:rsidR="008D230A" w:rsidTr="009815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Pr="00A451BF" w:rsidRDefault="002964BC" w:rsidP="00A451BF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Pr="004E1544" w:rsidRDefault="002964BC" w:rsidP="009815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业绩说明会</w:t>
            </w:r>
          </w:p>
        </w:tc>
      </w:tr>
      <w:tr w:rsidR="008D230A" w:rsidTr="00A9182B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9815F5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8D230A" w:rsidTr="009815F5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E75707" w:rsidP="009815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 w:rsidRPr="00E75707">
              <w:rPr>
                <w:rFonts w:hint="eastAsia"/>
                <w:bCs/>
                <w:iCs/>
                <w:color w:val="000000"/>
                <w:sz w:val="24"/>
              </w:rPr>
              <w:t>2023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16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 xml:space="preserve"> (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周五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 xml:space="preserve">) 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>下午</w:t>
            </w:r>
            <w:r w:rsidRPr="00E75707">
              <w:rPr>
                <w:rFonts w:hint="eastAsia"/>
                <w:bCs/>
                <w:iCs/>
                <w:color w:val="000000"/>
                <w:sz w:val="24"/>
              </w:rPr>
              <w:t xml:space="preserve"> 15:00~18:00</w:t>
            </w:r>
          </w:p>
        </w:tc>
      </w:tr>
      <w:tr w:rsidR="008D230A" w:rsidTr="00A9182B">
        <w:trPr>
          <w:trHeight w:val="9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9815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61335E" w:rsidTr="009815F5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5E" w:rsidRDefault="0061335E" w:rsidP="0061335E">
            <w:pPr>
              <w:spacing w:line="420" w:lineRule="exact"/>
              <w:jc w:val="center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召开形式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5E" w:rsidRDefault="004E1544" w:rsidP="009815F5">
            <w:pPr>
              <w:spacing w:line="420" w:lineRule="exact"/>
              <w:rPr>
                <w:rFonts w:ascii="宋体" w:hAnsi="宋体"/>
                <w:sz w:val="24"/>
              </w:rPr>
            </w:pPr>
            <w:r w:rsidRPr="004E1544">
              <w:rPr>
                <w:rFonts w:ascii="宋体" w:hAnsi="宋体" w:hint="eastAsia"/>
                <w:sz w:val="24"/>
              </w:rPr>
              <w:t>网络远程文字互动</w:t>
            </w:r>
          </w:p>
        </w:tc>
      </w:tr>
      <w:tr w:rsidR="008D230A" w:rsidTr="00A9182B">
        <w:trPr>
          <w:trHeight w:val="1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2B" w:rsidRPr="00A9182B" w:rsidRDefault="00A9182B" w:rsidP="00A9182B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A9182B">
              <w:rPr>
                <w:rFonts w:ascii="宋体" w:hAnsi="宋体" w:hint="eastAsia"/>
                <w:bCs/>
                <w:sz w:val="24"/>
              </w:rPr>
              <w:t>1、总经理</w:t>
            </w:r>
            <w:r w:rsidR="00553185">
              <w:rPr>
                <w:rFonts w:ascii="宋体" w:hAnsi="宋体" w:hint="eastAsia"/>
                <w:bCs/>
                <w:sz w:val="24"/>
              </w:rPr>
              <w:t>：</w:t>
            </w:r>
            <w:r w:rsidRPr="00A9182B">
              <w:rPr>
                <w:rFonts w:ascii="宋体" w:hAnsi="宋体" w:hint="eastAsia"/>
                <w:bCs/>
                <w:sz w:val="24"/>
              </w:rPr>
              <w:t>刘俊</w:t>
            </w:r>
          </w:p>
          <w:p w:rsidR="00A9182B" w:rsidRPr="00A9182B" w:rsidRDefault="00A9182B" w:rsidP="00A9182B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A9182B">
              <w:rPr>
                <w:rFonts w:ascii="宋体" w:hAnsi="宋体" w:hint="eastAsia"/>
                <w:bCs/>
                <w:sz w:val="24"/>
              </w:rPr>
              <w:t>2、董事会秘书</w:t>
            </w:r>
            <w:r w:rsidR="00553185">
              <w:rPr>
                <w:rFonts w:ascii="宋体" w:hAnsi="宋体" w:hint="eastAsia"/>
                <w:bCs/>
                <w:sz w:val="24"/>
              </w:rPr>
              <w:t>：</w:t>
            </w:r>
            <w:r w:rsidRPr="00A9182B">
              <w:rPr>
                <w:rFonts w:ascii="宋体" w:hAnsi="宋体" w:hint="eastAsia"/>
                <w:bCs/>
                <w:sz w:val="24"/>
              </w:rPr>
              <w:t>孙建华</w:t>
            </w:r>
          </w:p>
          <w:p w:rsidR="008D230A" w:rsidRDefault="00A9182B" w:rsidP="00A9182B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A9182B">
              <w:rPr>
                <w:rFonts w:ascii="宋体" w:hAnsi="宋体" w:hint="eastAsia"/>
                <w:bCs/>
                <w:sz w:val="24"/>
              </w:rPr>
              <w:t>3、财务总监</w:t>
            </w:r>
            <w:r w:rsidR="00553185">
              <w:rPr>
                <w:rFonts w:ascii="宋体" w:hAnsi="宋体" w:hint="eastAsia"/>
                <w:bCs/>
                <w:sz w:val="24"/>
              </w:rPr>
              <w:t>：</w:t>
            </w:r>
            <w:proofErr w:type="gramStart"/>
            <w:r w:rsidRPr="00A9182B">
              <w:rPr>
                <w:rFonts w:ascii="宋体" w:hAnsi="宋体" w:hint="eastAsia"/>
                <w:bCs/>
                <w:sz w:val="24"/>
              </w:rPr>
              <w:t>唐方</w:t>
            </w:r>
            <w:proofErr w:type="gramEnd"/>
          </w:p>
        </w:tc>
      </w:tr>
      <w:tr w:rsidR="008D230A" w:rsidTr="009815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8D230A" w:rsidRDefault="008D230A" w:rsidP="0061335E">
            <w:pPr>
              <w:spacing w:line="420" w:lineRule="exac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1、你好，公司今年一季度在黄金价格高位却出现亏损，请问公司在黄金加锰矿业务中如何实现业务盈利及净利润稳步增长？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尊敬的投资者您好，公司一季度子公司主要矿山停产，自产金产销量较上年同期减少，致使出现亏损。公司将持续夯实黄金产业，加快推进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锰产业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升级。感谢您的关注。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2、今年公司的战略规划如何？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尊敬的投资者您好，公司立足新发展阶段，贯彻新发展理念，构建新发展格局。以推动高质量发展为主线，以创新驱动为动力，以提质增效为抓手，持续夯实黄金产业，加快推进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锰产业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升级，做大做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强做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优黄金及锰产业，进一步提升企业的核心竞争力、效益及员工的幸福感，吹响新征程的号角，书写公司高质量发展的新篇章。感谢您的关注。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3、公司研发投入情况及成果如何？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尊敬的投资者您好，公司在2022年全年研发投入科技创新项目23项，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哈图金矿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、科技公司获得自治区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经信委授予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的首批创新型中小企业称号。全年有18项实用新型专利获得授权。科技公司自成立以来，自主研发了阿希环保提金剂产品，取得了2项发明专利和14项实用新型专利。并获得集团公司科技贡献二等奖、自治区科技进步三等奖、自治区优秀新产品三等奖、2022年关键核心技术创造性优秀创新成果二等奖。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4、刘总，您怎么看我国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锰行业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的未来发展形势？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尊敬的投资者您好，首先，由于钢铁生产中锰金属的不可替代性，加上全球锰金属供给相对充足，未来锰的消费总量不会发生较大变动，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锰市场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整体将趋于平稳运行。其次，我国锰的对外依存度或长期保持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极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高水平，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亦或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向稀缺金属迈进。在行业发展不确定因素增加的情况下，我国锰金属的对外依存度或仍将缓慢抬升。锰有可能向我国稀缺金属行列迈进。未来，我国锰系金属价格或持续呈震荡分化走势。钢铁行业作为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锰行业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下游主要的消费领域，行业发展压力较大，硅锰价格或因此受到压制。而新能源电池和储能领域对锰的需求将刺激电池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用锰相关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商品价格保持相对高位运行。电解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锰作为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钢铁和电池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行业用锰的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“调节池”，在细分市场双向供需调节中将发挥越来越大的作用，其价格或呈持续震荡态势。感谢您的关注。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5、请问董秘，公司的核心竞争力主要体现在哪些方面？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长期专注于黄金矿山开采与冶炼，拥有集矿山勘探、开采、选矿、冶炼、精炼、销售于一体的完整产业链，拥有自己独特的生产技术和丰富的管理经验。目前，西部黄金矿产金产量位列全国黄金十大矿产金企业。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锰产业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链的垂直一体化整合，一方面掌握优质的锰矿石资源，另一方面具备较强的锰矿深精加工能力，形成规模化生产运营能力，具有较强的综合实力。企业政策优势方面，继续巩固“双百行动”改革成果，持续优化任期制和契约化管理。公司入选国有企业公司治理示范企业。由于公司位于乌鲁木齐市，为国家“一带一路”战略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核心区，拥有区域经济优势。国家“一带一路”战略的实施必将推动区域经济实现更快更大的发展，将更加有利于公司获得更多机会参与、分享由此带来的发展机遇，加快公司产业结构调整和升级。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6、目前终端市场投资金条销售较好，贵司是否有做投资类金条产品线下零售或线上销售的计划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尊敬的投资者您好，公司暂未开展此项业务，感谢您的关注。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7、西部黄金上市以来股价一直维持在低位，请问有什么稳定股价的措施，这是投资者最关心的</w:t>
            </w:r>
          </w:p>
          <w:p w:rsidR="00A9182B" w:rsidRDefault="00A9182B" w:rsidP="00553185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尊敬的投资者，您好。公司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股价受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市场走势等宏观因素影响，具有一定的波动性，请注意投资风险。感谢您的关注。</w:t>
            </w:r>
          </w:p>
          <w:p w:rsidR="00A9182B" w:rsidRDefault="00A9182B" w:rsidP="00553185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8、公司上市以来股价一直维持在低位，请问有什么稳定股价的措施，这是投资者最关心的</w:t>
            </w:r>
          </w:p>
          <w:p w:rsidR="008D230A" w:rsidRPr="0061335E" w:rsidRDefault="00A9182B" w:rsidP="00553185">
            <w:pPr>
              <w:pStyle w:val="Style6"/>
              <w:spacing w:afterLines="100" w:after="312"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尊敬的投资者，您好。公司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股价受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市场走势等宏观因素影响，具有一定的波动性，请注意投资风险。感谢您的关注。</w:t>
            </w:r>
          </w:p>
        </w:tc>
      </w:tr>
    </w:tbl>
    <w:p w:rsidR="008D230A" w:rsidRDefault="008D230A"/>
    <w:sectPr w:rsidR="008D230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93" w:rsidRDefault="00E75193">
      <w:r>
        <w:separator/>
      </w:r>
    </w:p>
  </w:endnote>
  <w:endnote w:type="continuationSeparator" w:id="0">
    <w:p w:rsidR="00E75193" w:rsidRDefault="00E7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A" w:rsidRDefault="008D23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93" w:rsidRDefault="00E75193">
      <w:r>
        <w:separator/>
      </w:r>
    </w:p>
  </w:footnote>
  <w:footnote w:type="continuationSeparator" w:id="0">
    <w:p w:rsidR="00E75193" w:rsidRDefault="00E7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A" w:rsidRDefault="008D230A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64BC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544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3185"/>
    <w:rsid w:val="00555DD2"/>
    <w:rsid w:val="00565ED9"/>
    <w:rsid w:val="005760C6"/>
    <w:rsid w:val="00585A1B"/>
    <w:rsid w:val="00591260"/>
    <w:rsid w:val="00591314"/>
    <w:rsid w:val="00593D40"/>
    <w:rsid w:val="00595E8D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1335E"/>
    <w:rsid w:val="00622F13"/>
    <w:rsid w:val="00625503"/>
    <w:rsid w:val="0062662D"/>
    <w:rsid w:val="00632E78"/>
    <w:rsid w:val="006344F1"/>
    <w:rsid w:val="00637186"/>
    <w:rsid w:val="00640DF5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02198"/>
    <w:rsid w:val="007114A8"/>
    <w:rsid w:val="00727FFB"/>
    <w:rsid w:val="00753DB6"/>
    <w:rsid w:val="00763847"/>
    <w:rsid w:val="00771FE3"/>
    <w:rsid w:val="00776BDE"/>
    <w:rsid w:val="00786870"/>
    <w:rsid w:val="00792237"/>
    <w:rsid w:val="0079272A"/>
    <w:rsid w:val="007A1DA9"/>
    <w:rsid w:val="007A4743"/>
    <w:rsid w:val="007B2252"/>
    <w:rsid w:val="007B79D9"/>
    <w:rsid w:val="007C67B1"/>
    <w:rsid w:val="007E354A"/>
    <w:rsid w:val="007E69C8"/>
    <w:rsid w:val="007F268F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D230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15F5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9F7F8D"/>
    <w:rsid w:val="00A13CB6"/>
    <w:rsid w:val="00A14A1A"/>
    <w:rsid w:val="00A22CDD"/>
    <w:rsid w:val="00A25AEE"/>
    <w:rsid w:val="00A31EB1"/>
    <w:rsid w:val="00A33AEA"/>
    <w:rsid w:val="00A451BF"/>
    <w:rsid w:val="00A461CD"/>
    <w:rsid w:val="00A469C5"/>
    <w:rsid w:val="00A5317D"/>
    <w:rsid w:val="00A6284E"/>
    <w:rsid w:val="00A63E81"/>
    <w:rsid w:val="00A8775A"/>
    <w:rsid w:val="00A9182B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6662D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80B9A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75193"/>
    <w:rsid w:val="00E75707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9B7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D57746-DD68-4005-8135-33F0A0DD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6133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13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金雅楠</cp:lastModifiedBy>
  <cp:revision>7</cp:revision>
  <cp:lastPrinted>2023-11-07T09:26:00Z</cp:lastPrinted>
  <dcterms:created xsi:type="dcterms:W3CDTF">2023-11-08T02:09:00Z</dcterms:created>
  <dcterms:modified xsi:type="dcterms:W3CDTF">2023-11-08T03:46:00Z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