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A" w:rsidRDefault="002964BC" w:rsidP="00FF0C40">
      <w:pPr>
        <w:spacing w:beforeLines="100" w:before="312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601069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西部黄金</w:t>
      </w:r>
      <w:r w:rsidR="0061335E">
        <w:rPr>
          <w:rFonts w:hint="eastAsia"/>
          <w:color w:val="000000"/>
          <w:sz w:val="24"/>
        </w:rPr>
        <w:t xml:space="preserve"> </w:t>
      </w:r>
      <w:r w:rsidR="0061335E">
        <w:rPr>
          <w:color w:val="000000"/>
          <w:sz w:val="24"/>
        </w:rPr>
        <w:t xml:space="preserve">    </w:t>
      </w:r>
      <w:r w:rsidR="0061335E">
        <w:rPr>
          <w:color w:val="000000"/>
          <w:sz w:val="24"/>
        </w:rPr>
        <w:t>记录表编号：</w:t>
      </w:r>
      <w:r w:rsidR="0061335E">
        <w:rPr>
          <w:rFonts w:hint="eastAsia"/>
          <w:color w:val="000000"/>
          <w:sz w:val="24"/>
        </w:rPr>
        <w:t>2</w:t>
      </w:r>
      <w:r w:rsidR="0061335E">
        <w:rPr>
          <w:color w:val="000000"/>
          <w:sz w:val="24"/>
        </w:rPr>
        <w:t>023-0</w:t>
      </w:r>
      <w:r w:rsidR="00DC6D37">
        <w:rPr>
          <w:color w:val="000000"/>
          <w:sz w:val="24"/>
        </w:rPr>
        <w:t>4</w:t>
      </w:r>
    </w:p>
    <w:p w:rsidR="0074676D" w:rsidRDefault="002964BC" w:rsidP="00FF0C40">
      <w:pPr>
        <w:spacing w:beforeLines="100" w:before="312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西部黄金股份有限公司</w:t>
      </w:r>
      <w:r w:rsid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2023</w:t>
      </w:r>
      <w:r w:rsidR="0074676D" w:rsidRP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DC6D37">
        <w:rPr>
          <w:rFonts w:ascii="宋体" w:hAnsi="宋体" w:hint="eastAsia"/>
          <w:b/>
          <w:bCs/>
          <w:iCs/>
          <w:color w:val="000000"/>
          <w:sz w:val="32"/>
          <w:szCs w:val="32"/>
        </w:rPr>
        <w:t>第三季度</w:t>
      </w:r>
      <w:r w:rsidR="0074676D" w:rsidRP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业绩说明会</w:t>
      </w:r>
    </w:p>
    <w:p w:rsidR="008D230A" w:rsidRPr="0061335E" w:rsidRDefault="002964BC" w:rsidP="0074676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</w:tblGrid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A451BF" w:rsidRDefault="002964BC" w:rsidP="00A451BF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4E1544" w:rsidRDefault="002964BC" w:rsidP="009815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业绩说明会</w:t>
            </w:r>
          </w:p>
        </w:tc>
      </w:tr>
      <w:tr w:rsidR="008D230A" w:rsidTr="00A9182B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9815F5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8D230A" w:rsidTr="009815F5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DC6D37" w:rsidP="00DC6D3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 w:rsidRPr="00DC6D37">
              <w:rPr>
                <w:rFonts w:hint="eastAsia"/>
                <w:bCs/>
                <w:iCs/>
                <w:color w:val="000000"/>
                <w:sz w:val="24"/>
              </w:rPr>
              <w:t>2023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(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星期二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)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下午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16:00-17:00</w:t>
            </w:r>
          </w:p>
        </w:tc>
      </w:tr>
      <w:tr w:rsidR="008D230A" w:rsidTr="00A9182B">
        <w:trPr>
          <w:trHeight w:val="9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6D" w:rsidRPr="0074676D" w:rsidRDefault="0074676D" w:rsidP="0074676D">
            <w:pPr>
              <w:spacing w:line="420" w:lineRule="exact"/>
              <w:rPr>
                <w:rFonts w:ascii="宋体" w:hAnsi="宋体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上海证券交易所</w:t>
            </w:r>
            <w:proofErr w:type="gramStart"/>
            <w:r w:rsidRPr="0074676D">
              <w:rPr>
                <w:rFonts w:ascii="宋体" w:hAnsi="宋体" w:hint="eastAsia"/>
                <w:sz w:val="24"/>
              </w:rPr>
              <w:t>上证路演</w:t>
            </w:r>
            <w:proofErr w:type="gramEnd"/>
            <w:r w:rsidRPr="0074676D">
              <w:rPr>
                <w:rFonts w:ascii="宋体" w:hAnsi="宋体" w:hint="eastAsia"/>
                <w:sz w:val="24"/>
              </w:rPr>
              <w:t>中心（网址：https://roadshow.sse</w:t>
            </w:r>
          </w:p>
          <w:p w:rsidR="008D230A" w:rsidRDefault="0074676D" w:rsidP="0074676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info.com/）</w:t>
            </w:r>
          </w:p>
        </w:tc>
      </w:tr>
      <w:tr w:rsidR="0061335E" w:rsidTr="009815F5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61335E" w:rsidP="0061335E">
            <w:pPr>
              <w:spacing w:line="420" w:lineRule="exact"/>
              <w:jc w:val="center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召开形式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74676D" w:rsidP="009815F5">
            <w:pPr>
              <w:spacing w:line="420" w:lineRule="exact"/>
              <w:rPr>
                <w:rFonts w:ascii="宋体" w:hAnsi="宋体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上</w:t>
            </w:r>
            <w:proofErr w:type="gramStart"/>
            <w:r w:rsidRPr="0074676D">
              <w:rPr>
                <w:rFonts w:ascii="宋体" w:hAnsi="宋体" w:hint="eastAsia"/>
                <w:sz w:val="24"/>
              </w:rPr>
              <w:t>证路演中心</w:t>
            </w:r>
            <w:proofErr w:type="gramEnd"/>
            <w:r w:rsidRPr="0074676D">
              <w:rPr>
                <w:rFonts w:ascii="宋体" w:hAnsi="宋体" w:hint="eastAsia"/>
                <w:sz w:val="24"/>
              </w:rPr>
              <w:t>网络互动</w:t>
            </w:r>
            <w:r w:rsidR="006D5198">
              <w:rPr>
                <w:rFonts w:ascii="宋体" w:hAnsi="宋体" w:hint="eastAsia"/>
                <w:sz w:val="24"/>
              </w:rPr>
              <w:t>（文字路演）</w:t>
            </w:r>
          </w:p>
        </w:tc>
      </w:tr>
      <w:tr w:rsidR="008D230A" w:rsidTr="00A9182B">
        <w:trPr>
          <w:trHeight w:val="1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董事长：唐向阳</w:t>
            </w:r>
          </w:p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总经理：金国彬</w:t>
            </w:r>
          </w:p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董事会秘书、财务总监：孙建华</w:t>
            </w:r>
          </w:p>
          <w:p w:rsidR="008D230A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独立董事：冯念仁</w:t>
            </w:r>
          </w:p>
        </w:tc>
      </w:tr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8D230A" w:rsidRDefault="008D230A" w:rsidP="0061335E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7" w:rsidRDefault="00DC6D37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1、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1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近来以来，黄金价格大幅上涨，大部分金矿企业获利丰厚，为什么西部黄金还能陷入亏损？是否意味着</w:t>
            </w:r>
            <w:proofErr w:type="gramStart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西部环境</w:t>
            </w:r>
            <w:proofErr w:type="gramEnd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经营能力每况愈下，生产成本大幅提高？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2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2022年12月公告</w:t>
            </w:r>
            <w:proofErr w:type="gramStart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的矿难后续</w:t>
            </w:r>
            <w:proofErr w:type="gramEnd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处理结果如何？为什么没有后续的公告？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3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卡特巴阿苏金矿建设进度如何？何时能注入上市公司？注入上市公司时，公司拿什么钱买？是否又要低价增发？</w:t>
            </w:r>
          </w:p>
          <w:p w:rsidR="00C4617E" w:rsidRDefault="00DC6D37" w:rsidP="00FF0C40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DC6D37">
              <w:rPr>
                <w:rFonts w:ascii="宋体" w:hAnsi="宋体" w:hint="eastAsia"/>
                <w:sz w:val="24"/>
                <w:szCs w:val="24"/>
              </w:rPr>
              <w:t>尊敬的投资者，您好。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1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公司各年的经营业绩主要受自产金产销量及矿石品位、选冶回收率等多种因素影响。公司前三季度净利润亏损主要原因为子公司部分矿山停产，矿山生产黄金产销量较上年同期减少；以及电解金属锰销售价格较上年同期下降所致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2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去年12月的安全事故调查如有新进展，公司会及时公告。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3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公司积极督促托管企业新疆美</w:t>
            </w:r>
            <w:proofErr w:type="gramStart"/>
            <w:r w:rsidRPr="00DC6D37">
              <w:rPr>
                <w:rFonts w:ascii="宋体" w:hAnsi="宋体" w:hint="eastAsia"/>
                <w:sz w:val="24"/>
                <w:szCs w:val="24"/>
              </w:rPr>
              <w:t>盛加快</w:t>
            </w:r>
            <w:proofErr w:type="gramEnd"/>
            <w:r w:rsidRPr="00DC6D37">
              <w:rPr>
                <w:rFonts w:ascii="宋体" w:hAnsi="宋体" w:hint="eastAsia"/>
                <w:sz w:val="24"/>
                <w:szCs w:val="24"/>
              </w:rPr>
              <w:t>卡特巴阿苏金铜矿项目建设进度。基于多种原因综合考虑，公司控股股东对美盛</w:t>
            </w:r>
            <w:r w:rsidRPr="00DC6D37">
              <w:rPr>
                <w:rFonts w:ascii="宋体" w:hAnsi="宋体" w:hint="eastAsia"/>
                <w:sz w:val="24"/>
                <w:szCs w:val="24"/>
              </w:rPr>
              <w:lastRenderedPageBreak/>
              <w:t>公司（卡特巴阿苏金铜矿）先行收购并培育，待该矿山实现正式生产经营、产生业务收益前注入上市公司。感谢您的关注。</w:t>
            </w:r>
          </w:p>
          <w:p w:rsidR="00DC6D37" w:rsidRPr="00DC6D37" w:rsidRDefault="00402E3E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r w:rsidR="00DC6D37" w:rsidRPr="00DC6D37">
              <w:rPr>
                <w:rFonts w:ascii="宋体" w:hAnsi="宋体" w:hint="eastAsia"/>
                <w:b/>
                <w:sz w:val="24"/>
                <w:szCs w:val="24"/>
              </w:rPr>
              <w:t>为什么你公司生产的成品（黄金）价格暴涨，你公司还能持续亏损，是经营能力每况愈下吗？</w:t>
            </w:r>
          </w:p>
          <w:p w:rsidR="00DC6D37" w:rsidRDefault="00402E3E" w:rsidP="00FF0C40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02E3E">
              <w:rPr>
                <w:rFonts w:ascii="宋体" w:hAnsi="宋体" w:hint="eastAsia"/>
                <w:sz w:val="24"/>
                <w:szCs w:val="24"/>
              </w:rPr>
              <w:t>尊敬的投资者，您好。公司各年的经营业绩主要受自产金产销量及矿石品位、选冶回收率等多种因素影响。公司前三季度净利润亏损主要原因为子公司部分矿山停产，矿山生产黄金产销量较上年同期减少；以及电解金属锰销售价格较上年同期下降所致。感谢您的关注。</w:t>
            </w:r>
          </w:p>
          <w:p w:rsidR="00402E3E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3、钢铁行业不景气，公司的电解</w:t>
            </w:r>
            <w:proofErr w:type="gramStart"/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锰业务</w:t>
            </w:r>
            <w:proofErr w:type="gramEnd"/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会有所调整吗？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尊敬的投资者，您好。公司按照年度生产计划进行经营管理。感谢您的关注。</w:t>
            </w:r>
          </w:p>
          <w:p w:rsidR="006C114D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4、公司第三季度的负债率情况，以及偿债能力如何？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尊敬的投资者，您好。公司资产负债率水平控制在合理水平，且较往年有明显下降，截至2023年三季度末，公司资产负债率为26.93%，较上年同期下降6.98个百分点，处于稳健水平，感谢您的关注。</w:t>
            </w:r>
          </w:p>
          <w:p w:rsidR="006C114D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5、现在金价这么好，今年还能实现盈利吗？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尊敬的投资者，您好。公司年度业绩将以定期报告的形式公告。感谢您的关注。</w:t>
            </w:r>
          </w:p>
          <w:p w:rsidR="006C114D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6、请问，前三季度亏损的原因？</w:t>
            </w:r>
          </w:p>
          <w:p w:rsidR="006C114D" w:rsidRPr="0061335E" w:rsidRDefault="006C114D" w:rsidP="004A66FF">
            <w:pPr>
              <w:pStyle w:val="Style6"/>
              <w:tabs>
                <w:tab w:val="left" w:pos="1305"/>
              </w:tabs>
              <w:spacing w:afterLines="100" w:after="312"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尊敬的投资者，您好。公司前三季度净利润亏损主要原因为子公司部分矿山停产，矿山生产黄金产销量较上年同</w:t>
            </w:r>
            <w:r>
              <w:rPr>
                <w:rFonts w:ascii="宋体" w:hAnsi="宋体" w:hint="eastAsia"/>
                <w:sz w:val="24"/>
                <w:szCs w:val="24"/>
              </w:rPr>
              <w:t>期减少；以及电解金属锰销售价格较上年同期下降所致。感谢您的关注。</w:t>
            </w:r>
          </w:p>
        </w:tc>
      </w:tr>
    </w:tbl>
    <w:p w:rsidR="008D230A" w:rsidRDefault="008D230A"/>
    <w:sectPr w:rsidR="008D230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CD" w:rsidRDefault="00BF5ACD">
      <w:r>
        <w:separator/>
      </w:r>
    </w:p>
  </w:endnote>
  <w:endnote w:type="continuationSeparator" w:id="0">
    <w:p w:rsidR="00BF5ACD" w:rsidRDefault="00B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CD" w:rsidRDefault="00BF5ACD">
      <w:r>
        <w:separator/>
      </w:r>
    </w:p>
  </w:footnote>
  <w:footnote w:type="continuationSeparator" w:id="0">
    <w:p w:rsidR="00BF5ACD" w:rsidRDefault="00BF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6BC"/>
    <w:multiLevelType w:val="hybridMultilevel"/>
    <w:tmpl w:val="D0D6544E"/>
    <w:lvl w:ilvl="0" w:tplc="3470273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5DF22FD"/>
    <w:multiLevelType w:val="hybridMultilevel"/>
    <w:tmpl w:val="2CC4B810"/>
    <w:lvl w:ilvl="0" w:tplc="D11E145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ACA63A7"/>
    <w:multiLevelType w:val="hybridMultilevel"/>
    <w:tmpl w:val="43F696B2"/>
    <w:lvl w:ilvl="0" w:tplc="BA6A02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64BC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062D2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2E3E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66FF"/>
    <w:rsid w:val="004A73E5"/>
    <w:rsid w:val="004C19BF"/>
    <w:rsid w:val="004D092C"/>
    <w:rsid w:val="004D7640"/>
    <w:rsid w:val="004E1544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57D5A"/>
    <w:rsid w:val="00565ED9"/>
    <w:rsid w:val="005760C6"/>
    <w:rsid w:val="00585A1B"/>
    <w:rsid w:val="00591260"/>
    <w:rsid w:val="00591314"/>
    <w:rsid w:val="00593D40"/>
    <w:rsid w:val="00595E8D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351E"/>
    <w:rsid w:val="0060779A"/>
    <w:rsid w:val="0061335E"/>
    <w:rsid w:val="00622F13"/>
    <w:rsid w:val="00625503"/>
    <w:rsid w:val="0062662D"/>
    <w:rsid w:val="00632E78"/>
    <w:rsid w:val="006344F1"/>
    <w:rsid w:val="00637186"/>
    <w:rsid w:val="00640DF5"/>
    <w:rsid w:val="00646DF4"/>
    <w:rsid w:val="00651DE6"/>
    <w:rsid w:val="006523BB"/>
    <w:rsid w:val="0065347E"/>
    <w:rsid w:val="00654B49"/>
    <w:rsid w:val="00662505"/>
    <w:rsid w:val="0066674C"/>
    <w:rsid w:val="00670F26"/>
    <w:rsid w:val="006760F7"/>
    <w:rsid w:val="006861C7"/>
    <w:rsid w:val="00686DDF"/>
    <w:rsid w:val="00697B12"/>
    <w:rsid w:val="006A55BB"/>
    <w:rsid w:val="006A7613"/>
    <w:rsid w:val="006B661A"/>
    <w:rsid w:val="006B7D00"/>
    <w:rsid w:val="006C114D"/>
    <w:rsid w:val="006C6BC5"/>
    <w:rsid w:val="006D5198"/>
    <w:rsid w:val="006D61A2"/>
    <w:rsid w:val="006E1DB4"/>
    <w:rsid w:val="00702198"/>
    <w:rsid w:val="007114A8"/>
    <w:rsid w:val="0074676D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7F268F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D230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15F5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9F7F8D"/>
    <w:rsid w:val="00A13CB6"/>
    <w:rsid w:val="00A14A1A"/>
    <w:rsid w:val="00A22CDD"/>
    <w:rsid w:val="00A25AEE"/>
    <w:rsid w:val="00A31EB1"/>
    <w:rsid w:val="00A33AEA"/>
    <w:rsid w:val="00A451BF"/>
    <w:rsid w:val="00A461CD"/>
    <w:rsid w:val="00A469C5"/>
    <w:rsid w:val="00A5317D"/>
    <w:rsid w:val="00A6284E"/>
    <w:rsid w:val="00A63E81"/>
    <w:rsid w:val="00A8775A"/>
    <w:rsid w:val="00A9182B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BF5ACD"/>
    <w:rsid w:val="00C00A72"/>
    <w:rsid w:val="00C04F82"/>
    <w:rsid w:val="00C15AC0"/>
    <w:rsid w:val="00C26030"/>
    <w:rsid w:val="00C41091"/>
    <w:rsid w:val="00C4617E"/>
    <w:rsid w:val="00C63056"/>
    <w:rsid w:val="00C661D1"/>
    <w:rsid w:val="00C703E6"/>
    <w:rsid w:val="00C775BA"/>
    <w:rsid w:val="00C8023E"/>
    <w:rsid w:val="00C85331"/>
    <w:rsid w:val="00C85A50"/>
    <w:rsid w:val="00C94D46"/>
    <w:rsid w:val="00CA443A"/>
    <w:rsid w:val="00CB2461"/>
    <w:rsid w:val="00CB37FD"/>
    <w:rsid w:val="00CB7794"/>
    <w:rsid w:val="00CC4D65"/>
    <w:rsid w:val="00CC61E7"/>
    <w:rsid w:val="00CD25AD"/>
    <w:rsid w:val="00CD3FFC"/>
    <w:rsid w:val="00CF565C"/>
    <w:rsid w:val="00D016A3"/>
    <w:rsid w:val="00D312FF"/>
    <w:rsid w:val="00D512E3"/>
    <w:rsid w:val="00D602C9"/>
    <w:rsid w:val="00D80B9A"/>
    <w:rsid w:val="00DA26A9"/>
    <w:rsid w:val="00DB01FF"/>
    <w:rsid w:val="00DC6D37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75707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9B7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0C40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D57746-DD68-4005-8135-33F0A0D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6133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3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金雅楠</cp:lastModifiedBy>
  <cp:revision>32</cp:revision>
  <cp:lastPrinted>2023-11-07T09:26:00Z</cp:lastPrinted>
  <dcterms:created xsi:type="dcterms:W3CDTF">2023-11-08T02:31:00Z</dcterms:created>
  <dcterms:modified xsi:type="dcterms:W3CDTF">2023-11-08T08:11:00Z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