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CC" w:rsidRDefault="005C1E93">
      <w:pPr>
        <w:widowControl/>
        <w:jc w:val="center"/>
        <w:rPr>
          <w:rFonts w:ascii="宋体" w:hAnsi="宋体"/>
          <w:bCs/>
          <w:iCs/>
          <w:color w:val="000000"/>
          <w:sz w:val="24"/>
        </w:rPr>
      </w:pPr>
      <w:bookmarkStart w:id="0" w:name="_Toc515462335"/>
      <w:r>
        <w:rPr>
          <w:rFonts w:ascii="宋体" w:hAnsi="宋体" w:hint="eastAsia"/>
          <w:bCs/>
          <w:iCs/>
          <w:color w:val="000000"/>
          <w:sz w:val="24"/>
        </w:rPr>
        <w:t xml:space="preserve">证券代码：600392  </w:t>
      </w:r>
      <w:r>
        <w:rPr>
          <w:rFonts w:ascii="宋体" w:hAnsi="宋体"/>
          <w:bCs/>
          <w:iCs/>
          <w:color w:val="000000"/>
          <w:sz w:val="24"/>
        </w:rPr>
        <w:t xml:space="preserve">         </w:t>
      </w:r>
      <w:r>
        <w:rPr>
          <w:rFonts w:ascii="宋体" w:hAnsi="宋体" w:hint="eastAsia"/>
          <w:bCs/>
          <w:iCs/>
          <w:color w:val="000000"/>
          <w:sz w:val="24"/>
        </w:rPr>
        <w:t xml:space="preserve">           证券简称：盛和资源</w:t>
      </w:r>
    </w:p>
    <w:p w:rsidR="004D4ECC" w:rsidRDefault="004D4ECC">
      <w:pPr>
        <w:widowControl/>
        <w:jc w:val="center"/>
        <w:rPr>
          <w:rFonts w:ascii="宋体" w:hAnsi="宋体"/>
          <w:bCs/>
          <w:iCs/>
          <w:color w:val="000000"/>
          <w:sz w:val="24"/>
        </w:rPr>
      </w:pPr>
    </w:p>
    <w:p w:rsidR="004D4ECC" w:rsidRDefault="005C1E93">
      <w:pPr>
        <w:widowControl/>
        <w:spacing w:beforeLines="100" w:before="312"/>
        <w:jc w:val="center"/>
        <w:rPr>
          <w:rFonts w:ascii="宋体" w:hAnsi="宋体"/>
          <w:bCs/>
          <w:iCs/>
          <w:color w:val="000000"/>
          <w:sz w:val="36"/>
          <w:szCs w:val="36"/>
        </w:rPr>
      </w:pPr>
      <w:r>
        <w:rPr>
          <w:rFonts w:ascii="宋体" w:hAnsi="宋体" w:hint="eastAsia"/>
          <w:bCs/>
          <w:iCs/>
          <w:color w:val="000000"/>
          <w:sz w:val="36"/>
          <w:szCs w:val="36"/>
        </w:rPr>
        <w:t>盛和资源控股股份有限公司</w:t>
      </w:r>
    </w:p>
    <w:p w:rsidR="004D4ECC" w:rsidRDefault="005C1E93">
      <w:pPr>
        <w:widowControl/>
        <w:spacing w:afterLines="100" w:after="312"/>
        <w:jc w:val="center"/>
        <w:rPr>
          <w:rFonts w:ascii="宋体" w:hAnsi="宋体"/>
          <w:color w:val="000000"/>
          <w:sz w:val="36"/>
          <w:szCs w:val="36"/>
        </w:rPr>
      </w:pPr>
      <w:r>
        <w:rPr>
          <w:rFonts w:ascii="宋体" w:hAnsi="宋体" w:hint="eastAsia"/>
          <w:bCs/>
          <w:iCs/>
          <w:color w:val="000000"/>
          <w:sz w:val="36"/>
          <w:szCs w:val="36"/>
        </w:rPr>
        <w:t>投资者关系活动记录表</w:t>
      </w:r>
    </w:p>
    <w:p w:rsidR="004D4ECC" w:rsidRDefault="005C1E93">
      <w:pPr>
        <w:spacing w:line="360" w:lineRule="auto"/>
        <w:rPr>
          <w:rFonts w:ascii="宋体" w:hAnsi="宋体"/>
          <w:bCs/>
          <w:iCs/>
          <w:color w:val="000000"/>
          <w:szCs w:val="21"/>
        </w:rPr>
      </w:pPr>
      <w:r>
        <w:rPr>
          <w:rFonts w:ascii="宋体" w:hAnsi="宋体"/>
          <w:bCs/>
          <w:iCs/>
          <w:color w:val="000000"/>
          <w:szCs w:val="21"/>
        </w:rPr>
        <w:t xml:space="preserve">                                                     </w:t>
      </w:r>
      <w:r>
        <w:rPr>
          <w:rFonts w:ascii="宋体" w:hAnsi="宋体" w:hint="eastAsia"/>
          <w:bCs/>
          <w:iCs/>
          <w:color w:val="000000"/>
          <w:szCs w:val="21"/>
        </w:rPr>
        <w:t xml:space="preserve">            </w:t>
      </w:r>
      <w:r>
        <w:rPr>
          <w:rFonts w:ascii="宋体" w:hAnsi="宋体"/>
          <w:bCs/>
          <w:iCs/>
          <w:color w:val="000000"/>
          <w:szCs w:val="21"/>
        </w:rPr>
        <w:t>编号：</w:t>
      </w:r>
      <w:r w:rsidRPr="00992AD5">
        <w:rPr>
          <w:rFonts w:ascii="宋体" w:hAnsi="宋体" w:hint="eastAsia"/>
          <w:bCs/>
          <w:iCs/>
          <w:color w:val="000000"/>
          <w:szCs w:val="21"/>
        </w:rPr>
        <w:t>2</w:t>
      </w:r>
      <w:r w:rsidRPr="00992AD5">
        <w:rPr>
          <w:rFonts w:ascii="宋体" w:hAnsi="宋体"/>
          <w:bCs/>
          <w:iCs/>
          <w:color w:val="000000"/>
          <w:szCs w:val="21"/>
        </w:rPr>
        <w:t>023-07</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88"/>
      </w:tblGrid>
      <w:tr w:rsidR="004D4ECC">
        <w:trPr>
          <w:jc w:val="center"/>
        </w:trPr>
        <w:tc>
          <w:tcPr>
            <w:tcW w:w="2547" w:type="dxa"/>
            <w:vAlign w:val="center"/>
          </w:tcPr>
          <w:p w:rsidR="004D4ECC" w:rsidRDefault="005C1E93">
            <w:pPr>
              <w:spacing w:line="360" w:lineRule="auto"/>
              <w:rPr>
                <w:rFonts w:ascii="宋体" w:hAnsi="宋体"/>
                <w:b/>
                <w:bCs/>
                <w:iCs/>
                <w:color w:val="000000"/>
                <w:szCs w:val="21"/>
              </w:rPr>
            </w:pPr>
            <w:r>
              <w:rPr>
                <w:rFonts w:ascii="宋体" w:hAnsi="宋体"/>
                <w:b/>
                <w:bCs/>
                <w:iCs/>
                <w:color w:val="000000"/>
                <w:szCs w:val="21"/>
              </w:rPr>
              <w:t>投资者关系活动类别</w:t>
            </w:r>
            <w:r>
              <w:rPr>
                <w:rFonts w:ascii="宋体" w:hAnsi="宋体" w:hint="eastAsia"/>
                <w:b/>
                <w:bCs/>
                <w:iCs/>
                <w:color w:val="000000"/>
                <w:szCs w:val="21"/>
              </w:rPr>
              <w:t>“选中项请打√”</w:t>
            </w:r>
          </w:p>
        </w:tc>
        <w:tc>
          <w:tcPr>
            <w:tcW w:w="7088" w:type="dxa"/>
          </w:tcPr>
          <w:p w:rsidR="004D4ECC" w:rsidRDefault="005C1E93">
            <w:pPr>
              <w:spacing w:line="360" w:lineRule="auto"/>
              <w:jc w:val="left"/>
              <w:rPr>
                <w:rFonts w:ascii="宋体" w:hAnsi="宋体"/>
                <w:bCs/>
                <w:iCs/>
                <w:color w:val="000000"/>
                <w:szCs w:val="21"/>
              </w:rPr>
            </w:pPr>
            <w:r>
              <w:rPr>
                <w:rFonts w:ascii="宋体" w:hAnsi="宋体"/>
                <w:bCs/>
                <w:iCs/>
                <w:color w:val="000000"/>
                <w:szCs w:val="21"/>
              </w:rPr>
              <w:sym w:font="Wingdings 2" w:char="0052"/>
            </w:r>
            <w:r>
              <w:rPr>
                <w:rFonts w:ascii="宋体" w:hAnsi="宋体"/>
                <w:color w:val="000000"/>
                <w:szCs w:val="21"/>
              </w:rPr>
              <w:t xml:space="preserve">特定对象调研   </w:t>
            </w:r>
            <w:r>
              <w:rPr>
                <w:rFonts w:ascii="宋体" w:hAnsi="宋体"/>
                <w:bCs/>
                <w:iCs/>
                <w:color w:val="000000"/>
                <w:szCs w:val="21"/>
              </w:rPr>
              <w:sym w:font="Wingdings 2" w:char="00A3"/>
            </w:r>
            <w:r>
              <w:rPr>
                <w:rFonts w:ascii="宋体" w:hAnsi="宋体"/>
                <w:color w:val="000000"/>
                <w:szCs w:val="21"/>
              </w:rPr>
              <w:t>分析师会议</w:t>
            </w:r>
            <w:r>
              <w:rPr>
                <w:rFonts w:ascii="宋体" w:hAnsi="宋体" w:hint="eastAsia"/>
                <w:bCs/>
                <w:iCs/>
                <w:color w:val="000000"/>
                <w:szCs w:val="21"/>
              </w:rPr>
              <w:t xml:space="preserve">    </w:t>
            </w:r>
            <w:bookmarkStart w:id="1" w:name="OLE_LINK1"/>
            <w:r>
              <w:rPr>
                <w:rFonts w:ascii="宋体" w:hAnsi="宋体"/>
                <w:bCs/>
                <w:iCs/>
                <w:color w:val="000000"/>
                <w:szCs w:val="21"/>
              </w:rPr>
              <w:t>□</w:t>
            </w:r>
            <w:bookmarkEnd w:id="1"/>
            <w:r>
              <w:rPr>
                <w:rFonts w:ascii="宋体" w:hAnsi="宋体"/>
                <w:color w:val="000000"/>
                <w:szCs w:val="21"/>
              </w:rPr>
              <w:t xml:space="preserve">媒体采访   </w:t>
            </w:r>
            <w:r>
              <w:rPr>
                <w:rFonts w:ascii="宋体" w:hAnsi="宋体" w:hint="eastAsia"/>
                <w:color w:val="000000"/>
                <w:szCs w:val="21"/>
              </w:rPr>
              <w:t xml:space="preserve"> □</w:t>
            </w:r>
            <w:r>
              <w:rPr>
                <w:rFonts w:ascii="宋体" w:hAnsi="宋体"/>
                <w:color w:val="000000"/>
                <w:szCs w:val="21"/>
              </w:rPr>
              <w:t>业绩说明会</w:t>
            </w:r>
            <w:r>
              <w:rPr>
                <w:rFonts w:ascii="宋体" w:hAnsi="宋体" w:hint="eastAsia"/>
                <w:bCs/>
                <w:iCs/>
                <w:color w:val="000000"/>
                <w:szCs w:val="21"/>
              </w:rPr>
              <w:t xml:space="preserve">          </w:t>
            </w:r>
            <w:r>
              <w:rPr>
                <w:rFonts w:ascii="宋体" w:hAnsi="宋体"/>
                <w:bCs/>
                <w:iCs/>
                <w:color w:val="000000"/>
                <w:szCs w:val="21"/>
              </w:rPr>
              <w:t>□</w:t>
            </w:r>
            <w:r>
              <w:rPr>
                <w:rFonts w:ascii="宋体" w:hAnsi="宋体"/>
                <w:color w:val="000000"/>
                <w:szCs w:val="21"/>
              </w:rPr>
              <w:t xml:space="preserve">新闻发布会     </w:t>
            </w:r>
            <w:r>
              <w:rPr>
                <w:rFonts w:ascii="宋体" w:hAnsi="宋体"/>
                <w:bCs/>
                <w:iCs/>
                <w:color w:val="000000"/>
                <w:szCs w:val="21"/>
              </w:rPr>
              <w:t>□</w:t>
            </w:r>
            <w:r>
              <w:rPr>
                <w:rFonts w:ascii="宋体" w:hAnsi="宋体"/>
                <w:color w:val="000000"/>
                <w:szCs w:val="21"/>
              </w:rPr>
              <w:t>路演活动</w:t>
            </w:r>
            <w:r>
              <w:rPr>
                <w:rFonts w:ascii="宋体" w:hAnsi="宋体" w:hint="eastAsia"/>
                <w:bCs/>
                <w:iCs/>
                <w:color w:val="000000"/>
                <w:szCs w:val="21"/>
              </w:rPr>
              <w:t xml:space="preserve">      </w:t>
            </w:r>
            <w:r>
              <w:rPr>
                <w:rFonts w:ascii="宋体" w:hAnsi="宋体"/>
                <w:bCs/>
                <w:iCs/>
                <w:color w:val="000000"/>
                <w:szCs w:val="21"/>
              </w:rPr>
              <w:t>□</w:t>
            </w:r>
            <w:r>
              <w:rPr>
                <w:rFonts w:ascii="宋体" w:hAnsi="宋体"/>
                <w:color w:val="000000"/>
                <w:szCs w:val="21"/>
              </w:rPr>
              <w:t>现场参观</w:t>
            </w:r>
            <w:r>
              <w:rPr>
                <w:rFonts w:ascii="宋体" w:hAnsi="宋体"/>
                <w:bCs/>
                <w:iCs/>
                <w:color w:val="000000"/>
                <w:szCs w:val="21"/>
              </w:rPr>
              <w:tab/>
            </w:r>
            <w:r>
              <w:rPr>
                <w:rFonts w:ascii="宋体" w:hAnsi="宋体" w:hint="eastAsia"/>
                <w:bCs/>
                <w:iCs/>
                <w:color w:val="000000"/>
                <w:szCs w:val="21"/>
              </w:rPr>
              <w:t xml:space="preserve">  </w:t>
            </w:r>
            <w:r>
              <w:rPr>
                <w:rFonts w:ascii="宋体" w:hAnsi="宋体" w:hint="eastAsia"/>
                <w:color w:val="000000"/>
                <w:szCs w:val="21"/>
              </w:rPr>
              <w:sym w:font="Wingdings 2" w:char="00A3"/>
            </w:r>
            <w:r>
              <w:rPr>
                <w:rFonts w:ascii="宋体" w:hAnsi="宋体" w:hint="eastAsia"/>
                <w:bCs/>
                <w:iCs/>
                <w:color w:val="000000"/>
                <w:szCs w:val="21"/>
              </w:rPr>
              <w:t xml:space="preserve"> </w:t>
            </w:r>
            <w:r>
              <w:rPr>
                <w:rFonts w:ascii="宋体" w:hAnsi="宋体"/>
                <w:color w:val="000000"/>
                <w:szCs w:val="21"/>
              </w:rPr>
              <w:t>其他</w:t>
            </w:r>
            <w:r>
              <w:rPr>
                <w:rFonts w:ascii="宋体" w:hAnsi="宋体" w:hint="eastAsia"/>
                <w:color w:val="000000"/>
                <w:szCs w:val="21"/>
              </w:rPr>
              <w:t>（电话</w:t>
            </w:r>
            <w:r>
              <w:rPr>
                <w:rFonts w:ascii="宋体" w:hAnsi="宋体"/>
                <w:color w:val="000000"/>
                <w:szCs w:val="21"/>
              </w:rPr>
              <w:t>会议</w:t>
            </w:r>
            <w:r>
              <w:rPr>
                <w:rFonts w:ascii="宋体" w:hAnsi="宋体" w:hint="eastAsia"/>
                <w:color w:val="000000"/>
                <w:szCs w:val="21"/>
              </w:rPr>
              <w:t>）</w:t>
            </w:r>
          </w:p>
        </w:tc>
      </w:tr>
      <w:tr w:rsidR="004D4ECC">
        <w:trPr>
          <w:trHeight w:val="569"/>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b/>
                <w:bCs/>
                <w:iCs/>
                <w:color w:val="000000"/>
                <w:szCs w:val="21"/>
              </w:rPr>
              <w:t>参与单位名称</w:t>
            </w:r>
          </w:p>
        </w:tc>
        <w:tc>
          <w:tcPr>
            <w:tcW w:w="7088" w:type="dxa"/>
            <w:vAlign w:val="center"/>
          </w:tcPr>
          <w:p w:rsidR="004D4ECC" w:rsidRDefault="005C1E93">
            <w:pPr>
              <w:widowControl/>
              <w:jc w:val="left"/>
              <w:textAlignment w:val="center"/>
              <w:rPr>
                <w:rFonts w:ascii="宋体" w:hAnsi="宋体" w:cs="宋体"/>
                <w:color w:val="000000"/>
                <w:sz w:val="22"/>
                <w:szCs w:val="22"/>
              </w:rPr>
            </w:pPr>
            <w:r>
              <w:rPr>
                <w:rFonts w:ascii="宋体" w:hAnsi="宋体" w:hint="eastAsia"/>
                <w:iCs/>
                <w:color w:val="000000"/>
                <w:szCs w:val="21"/>
              </w:rPr>
              <w:t>中泰证券、上海普行资产、南方基金、国金证券、青骊资产、中睿合银投资、长江证券、华西证券、盘京资本</w:t>
            </w:r>
          </w:p>
        </w:tc>
      </w:tr>
      <w:tr w:rsidR="004D4ECC">
        <w:trPr>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b/>
                <w:bCs/>
                <w:iCs/>
                <w:color w:val="000000"/>
                <w:szCs w:val="21"/>
              </w:rPr>
              <w:t>时间</w:t>
            </w:r>
          </w:p>
        </w:tc>
        <w:tc>
          <w:tcPr>
            <w:tcW w:w="7088" w:type="dxa"/>
            <w:vAlign w:val="center"/>
          </w:tcPr>
          <w:p w:rsidR="004D4ECC" w:rsidRDefault="005C1E93">
            <w:pPr>
              <w:spacing w:line="276" w:lineRule="auto"/>
              <w:rPr>
                <w:rFonts w:ascii="宋体" w:hAnsi="宋体"/>
                <w:bCs/>
                <w:iCs/>
                <w:color w:val="000000"/>
                <w:szCs w:val="21"/>
              </w:rPr>
            </w:pPr>
            <w:r>
              <w:rPr>
                <w:rFonts w:ascii="宋体" w:hAnsi="宋体"/>
                <w:bCs/>
                <w:iCs/>
                <w:color w:val="000000"/>
                <w:szCs w:val="21"/>
              </w:rPr>
              <w:t>202</w:t>
            </w:r>
            <w:r>
              <w:rPr>
                <w:rFonts w:ascii="宋体" w:hAnsi="宋体" w:hint="eastAsia"/>
                <w:bCs/>
                <w:iCs/>
                <w:color w:val="000000"/>
                <w:szCs w:val="21"/>
              </w:rPr>
              <w:t>3年11月2日、2023年11月9日、2023年11月10日</w:t>
            </w:r>
          </w:p>
        </w:tc>
      </w:tr>
      <w:tr w:rsidR="004D4ECC">
        <w:trPr>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hint="eastAsia"/>
                <w:b/>
                <w:bCs/>
                <w:iCs/>
                <w:color w:val="000000"/>
                <w:szCs w:val="21"/>
              </w:rPr>
              <w:t>地点</w:t>
            </w:r>
          </w:p>
        </w:tc>
        <w:tc>
          <w:tcPr>
            <w:tcW w:w="7088" w:type="dxa"/>
            <w:vAlign w:val="center"/>
          </w:tcPr>
          <w:p w:rsidR="004D4ECC" w:rsidRDefault="005C1E93">
            <w:pPr>
              <w:spacing w:line="276" w:lineRule="auto"/>
              <w:rPr>
                <w:rFonts w:ascii="宋体" w:hAnsi="宋体"/>
                <w:bCs/>
                <w:iCs/>
                <w:color w:val="000000"/>
                <w:szCs w:val="21"/>
              </w:rPr>
            </w:pPr>
            <w:r>
              <w:rPr>
                <w:rFonts w:ascii="宋体" w:hAnsi="宋体" w:hint="eastAsia"/>
                <w:bCs/>
                <w:iCs/>
                <w:color w:val="000000"/>
                <w:szCs w:val="21"/>
              </w:rPr>
              <w:t>公司总部会议室</w:t>
            </w:r>
          </w:p>
        </w:tc>
      </w:tr>
      <w:tr w:rsidR="004D4ECC">
        <w:trPr>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b/>
                <w:bCs/>
                <w:iCs/>
                <w:color w:val="000000"/>
                <w:szCs w:val="21"/>
              </w:rPr>
              <w:t>上市公司接待人员姓名</w:t>
            </w:r>
          </w:p>
        </w:tc>
        <w:tc>
          <w:tcPr>
            <w:tcW w:w="7088" w:type="dxa"/>
            <w:vAlign w:val="center"/>
          </w:tcPr>
          <w:p w:rsidR="004D4ECC" w:rsidRDefault="005C1E93">
            <w:pPr>
              <w:spacing w:line="276" w:lineRule="auto"/>
              <w:rPr>
                <w:rFonts w:ascii="宋体" w:hAnsi="宋体"/>
                <w:bCs/>
                <w:iCs/>
                <w:color w:val="000000"/>
                <w:szCs w:val="21"/>
              </w:rPr>
            </w:pPr>
            <w:r>
              <w:rPr>
                <w:rFonts w:ascii="宋体" w:hAnsi="宋体" w:cs="宋体" w:hint="eastAsia"/>
                <w:color w:val="000000"/>
                <w:kern w:val="0"/>
                <w:szCs w:val="21"/>
              </w:rPr>
              <w:t>董事会秘书：郭晓雷   证券事务代表：陈冬梅</w:t>
            </w:r>
          </w:p>
        </w:tc>
      </w:tr>
      <w:tr w:rsidR="004D4ECC">
        <w:trPr>
          <w:jc w:val="center"/>
        </w:trPr>
        <w:tc>
          <w:tcPr>
            <w:tcW w:w="2547" w:type="dxa"/>
            <w:vAlign w:val="center"/>
          </w:tcPr>
          <w:p w:rsidR="004D4ECC" w:rsidRDefault="005C1E93">
            <w:pPr>
              <w:spacing w:line="360" w:lineRule="auto"/>
              <w:jc w:val="center"/>
              <w:rPr>
                <w:rFonts w:ascii="宋体" w:hAnsi="宋体"/>
                <w:b/>
                <w:bCs/>
                <w:iCs/>
                <w:szCs w:val="21"/>
              </w:rPr>
            </w:pPr>
            <w:r>
              <w:rPr>
                <w:rFonts w:ascii="宋体" w:hAnsi="宋体" w:hint="eastAsia"/>
                <w:b/>
                <w:bCs/>
                <w:iCs/>
                <w:szCs w:val="21"/>
              </w:rPr>
              <w:t>调研</w:t>
            </w:r>
            <w:r>
              <w:rPr>
                <w:rFonts w:ascii="宋体" w:hAnsi="宋体"/>
                <w:b/>
                <w:bCs/>
                <w:iCs/>
                <w:szCs w:val="21"/>
              </w:rPr>
              <w:t>主要内容介绍</w:t>
            </w:r>
          </w:p>
          <w:p w:rsidR="004D4ECC" w:rsidRDefault="004D4ECC">
            <w:pPr>
              <w:spacing w:line="360" w:lineRule="auto"/>
              <w:rPr>
                <w:rFonts w:ascii="宋体" w:hAnsi="宋体"/>
                <w:b/>
                <w:bCs/>
                <w:iCs/>
                <w:szCs w:val="21"/>
              </w:rPr>
            </w:pPr>
          </w:p>
        </w:tc>
        <w:tc>
          <w:tcPr>
            <w:tcW w:w="7088" w:type="dxa"/>
          </w:tcPr>
          <w:p w:rsidR="004D4ECC" w:rsidRDefault="005C1E93" w:rsidP="00992AD5">
            <w:pPr>
              <w:numPr>
                <w:ilvl w:val="255"/>
                <w:numId w:val="0"/>
              </w:numPr>
              <w:spacing w:beforeLines="50" w:before="156"/>
              <w:ind w:firstLineChars="200" w:firstLine="420"/>
            </w:pPr>
            <w:r>
              <w:rPr>
                <w:rFonts w:hint="eastAsia"/>
              </w:rPr>
              <w:t>董秘郭晓雷先向投资者介绍了公司情况。盛和资源定位为一家负责任的关键原材料国际化供应商。公司的主要产品稀土氧化物、稀土金属以及锆英砂、钛精矿是应用在新能源汽车、风电、节能家电、节能工业电机、消费电子、机器人、高端医疗设备、航空航天等领域的关键原材料。为稳定产品供应，盛和资源在资源拓展、产能提升、工艺升级等方面持续发力，确立了稀土产业链、锆钛独居石产业链和循环经济产业链三大发展方向，目标是到</w:t>
            </w:r>
            <w:r>
              <w:rPr>
                <w:rFonts w:hint="eastAsia"/>
              </w:rPr>
              <w:t>2025</w:t>
            </w:r>
            <w:r>
              <w:rPr>
                <w:rFonts w:hint="eastAsia"/>
              </w:rPr>
              <w:t>年全面实现国内国外双重业务布局，各类稀土资源保障和冶炼分离能力达到</w:t>
            </w:r>
            <w:r>
              <w:rPr>
                <w:rFonts w:hint="eastAsia"/>
              </w:rPr>
              <w:t xml:space="preserve"> 6</w:t>
            </w:r>
            <w:r>
              <w:rPr>
                <w:rFonts w:hint="eastAsia"/>
              </w:rPr>
              <w:t>万吨</w:t>
            </w:r>
            <w:r>
              <w:rPr>
                <w:rFonts w:hint="eastAsia"/>
              </w:rPr>
              <w:t>/</w:t>
            </w:r>
            <w:r>
              <w:rPr>
                <w:rFonts w:hint="eastAsia"/>
              </w:rPr>
              <w:t>年以上，稀土金属加工能力达到</w:t>
            </w:r>
            <w:r>
              <w:rPr>
                <w:rFonts w:hint="eastAsia"/>
              </w:rPr>
              <w:t>3</w:t>
            </w:r>
            <w:r>
              <w:rPr>
                <w:rFonts w:hint="eastAsia"/>
              </w:rPr>
              <w:t>万吨</w:t>
            </w:r>
            <w:r>
              <w:rPr>
                <w:rFonts w:hint="eastAsia"/>
              </w:rPr>
              <w:t>/</w:t>
            </w:r>
            <w:r>
              <w:rPr>
                <w:rFonts w:hint="eastAsia"/>
              </w:rPr>
              <w:t>年，稀土废料综合回收利用能力达</w:t>
            </w:r>
            <w:r>
              <w:rPr>
                <w:rFonts w:hint="eastAsia"/>
              </w:rPr>
              <w:t xml:space="preserve">10000 </w:t>
            </w:r>
            <w:r>
              <w:rPr>
                <w:rFonts w:hint="eastAsia"/>
              </w:rPr>
              <w:t>吨</w:t>
            </w:r>
            <w:r>
              <w:rPr>
                <w:rFonts w:hint="eastAsia"/>
              </w:rPr>
              <w:t>/</w:t>
            </w:r>
            <w:r>
              <w:rPr>
                <w:rFonts w:hint="eastAsia"/>
              </w:rPr>
              <w:t>年，海滨砂选矿处理能力达到</w:t>
            </w:r>
            <w:r>
              <w:rPr>
                <w:rFonts w:hint="eastAsia"/>
              </w:rPr>
              <w:t>200</w:t>
            </w:r>
            <w:r>
              <w:rPr>
                <w:rFonts w:hint="eastAsia"/>
              </w:rPr>
              <w:t>万吨</w:t>
            </w:r>
            <w:r>
              <w:rPr>
                <w:rFonts w:hint="eastAsia"/>
              </w:rPr>
              <w:t>/</w:t>
            </w:r>
            <w:r>
              <w:rPr>
                <w:rFonts w:hint="eastAsia"/>
              </w:rPr>
              <w:t>年，成为全球重要的关键原材料国际化供应商。</w:t>
            </w:r>
          </w:p>
          <w:p w:rsidR="004D4ECC" w:rsidRDefault="005C1E93">
            <w:pPr>
              <w:numPr>
                <w:ilvl w:val="0"/>
                <w:numId w:val="1"/>
              </w:numPr>
              <w:spacing w:beforeLines="50" w:before="156"/>
              <w:ind w:firstLineChars="200" w:firstLine="420"/>
            </w:pPr>
            <w:r>
              <w:rPr>
                <w:rFonts w:hint="eastAsia"/>
              </w:rPr>
              <w:t>公司目前废料回收方面的业务情况如何？</w:t>
            </w:r>
          </w:p>
          <w:p w:rsidR="004D4ECC" w:rsidRDefault="005C1E93">
            <w:pPr>
              <w:spacing w:beforeLines="50" w:before="156"/>
              <w:ind w:firstLineChars="200" w:firstLine="420"/>
            </w:pPr>
            <w:r>
              <w:rPr>
                <w:rFonts w:hint="eastAsia"/>
              </w:rPr>
              <w:t>公司在江西原有一家废料回收工厂，拥有约</w:t>
            </w:r>
            <w:r>
              <w:rPr>
                <w:rFonts w:hint="eastAsia"/>
              </w:rPr>
              <w:t>10000</w:t>
            </w:r>
            <w:r>
              <w:rPr>
                <w:rFonts w:hint="eastAsia"/>
              </w:rPr>
              <w:t>吨稀土钕铁硼、荧光粉等废料的处理能力。目前在建的“年产</w:t>
            </w:r>
            <w:r>
              <w:rPr>
                <w:rFonts w:hint="eastAsia"/>
              </w:rPr>
              <w:t>3300</w:t>
            </w:r>
            <w:r>
              <w:rPr>
                <w:rFonts w:hint="eastAsia"/>
              </w:rPr>
              <w:t>吨稀土氧化物项目”也是一处废料回收工厂，预计今年年底可以建成投产。同时公司也在废料拆解领域进行了布局，公司江西丰城的拆解工厂已经建成投产。公司规划的废料回收规模比较大，保证原材料供应是公司未来的工作重点。</w:t>
            </w:r>
          </w:p>
          <w:p w:rsidR="004D4ECC" w:rsidRDefault="005C1E93">
            <w:pPr>
              <w:numPr>
                <w:ilvl w:val="0"/>
                <w:numId w:val="1"/>
              </w:numPr>
              <w:spacing w:beforeLines="50" w:before="156"/>
              <w:ind w:firstLineChars="200" w:firstLine="420"/>
              <w:rPr>
                <w:rFonts w:ascii="宋体" w:hAnsi="宋体" w:cs="宋体"/>
                <w:color w:val="2A2B2E"/>
                <w:szCs w:val="21"/>
                <w:shd w:val="clear" w:color="auto" w:fill="FFFFFF"/>
              </w:rPr>
            </w:pPr>
            <w:r>
              <w:rPr>
                <w:rFonts w:ascii="宋体" w:hAnsi="宋体" w:cs="宋体" w:hint="eastAsia"/>
                <w:color w:val="2A2B2E"/>
                <w:szCs w:val="21"/>
                <w:shd w:val="clear" w:color="auto" w:fill="FFFFFF"/>
              </w:rPr>
              <w:t>公司投资VML公司目前进展如何？</w:t>
            </w:r>
          </w:p>
          <w:p w:rsidR="004D4ECC" w:rsidRDefault="005C1E93">
            <w:pPr>
              <w:spacing w:beforeLines="50" w:before="156"/>
              <w:ind w:firstLineChars="200" w:firstLine="420"/>
              <w:rPr>
                <w:rFonts w:ascii="宋体" w:hAnsi="宋体"/>
              </w:rPr>
            </w:pPr>
            <w:r>
              <w:rPr>
                <w:rFonts w:ascii="宋体" w:hAnsi="宋体" w:hint="eastAsia"/>
              </w:rPr>
              <w:t>公司10月23日公告了与澳洲上市公司VML签订的《股份认购协议》。VML公司是一家澳大利亚上市公司。本次股份认购分两期，第一期拟认购VML公司增发的普通股，占增发后VML公司全部已发行股份的9.99%，第二期在先决条件满足的前提下，拟认购VML公司增发的普通股，两期共认购VML公司全部已发行股份18.2%的股权。同时，公司与VML约定在满足先决条件的前提下，公司将分三个阶段收购VML公司持有的Wigu Hill项目最高可达</w:t>
            </w:r>
            <w:r>
              <w:rPr>
                <w:rFonts w:ascii="宋体" w:hAnsi="宋体" w:hint="eastAsia"/>
              </w:rPr>
              <w:lastRenderedPageBreak/>
              <w:t>75%的权益。Wigu Hill项目是一个位于坦桑尼亚的轻稀土元素矿床，资源量约为330万吨，轻稀土平均品位为2.6%，包括10个可能的钻探目标中2个目标上的51万吨平均品位4.4%的资源量。</w:t>
            </w:r>
          </w:p>
          <w:p w:rsidR="004D4ECC" w:rsidRDefault="005C1E93">
            <w:pPr>
              <w:spacing w:beforeLines="50" w:before="156"/>
              <w:ind w:firstLineChars="200" w:firstLine="420"/>
              <w:rPr>
                <w:rFonts w:ascii="宋体" w:hAnsi="宋体"/>
              </w:rPr>
            </w:pPr>
            <w:r>
              <w:rPr>
                <w:rFonts w:ascii="宋体" w:hAnsi="宋体" w:hint="eastAsia"/>
              </w:rPr>
              <w:t>以上内容详见公司于2023年10月23日发布的“临2023-040”号</w:t>
            </w:r>
            <w:bookmarkStart w:id="2" w:name="_GoBack"/>
            <w:bookmarkEnd w:id="2"/>
            <w:r>
              <w:rPr>
                <w:rFonts w:ascii="宋体" w:hAnsi="宋体" w:hint="eastAsia"/>
              </w:rPr>
              <w:t>公告。目前公司正在积极推进该项目的境外投资备案登记等相关工作。</w:t>
            </w:r>
          </w:p>
          <w:p w:rsidR="004D4ECC" w:rsidRDefault="005C1E93">
            <w:pPr>
              <w:numPr>
                <w:ilvl w:val="0"/>
                <w:numId w:val="1"/>
              </w:numPr>
              <w:spacing w:beforeLines="50" w:before="156"/>
              <w:ind w:firstLineChars="200" w:firstLine="420"/>
              <w:rPr>
                <w:rFonts w:ascii="宋体" w:hAnsi="宋体"/>
              </w:rPr>
            </w:pPr>
            <w:r>
              <w:rPr>
                <w:rFonts w:ascii="宋体" w:hAnsi="宋体" w:hint="eastAsia"/>
              </w:rPr>
              <w:t>公司稀土指标是从哪获得？今年的稀土指标是多少？</w:t>
            </w:r>
          </w:p>
          <w:p w:rsidR="004D4ECC" w:rsidRDefault="005C1E93">
            <w:pPr>
              <w:spacing w:beforeLines="50" w:before="156"/>
              <w:ind w:firstLineChars="200" w:firstLine="420"/>
            </w:pPr>
            <w:r>
              <w:rPr>
                <w:rFonts w:hint="eastAsia"/>
              </w:rPr>
              <w:t>公司使用国内资源开展稀土冶炼分离的生产指标通过中国稀土集团下发，保持相对稳定。使用进口稀土资源不占用国内生产指标。</w:t>
            </w:r>
          </w:p>
          <w:p w:rsidR="004D4ECC" w:rsidRDefault="005C1E93">
            <w:pPr>
              <w:numPr>
                <w:ilvl w:val="0"/>
                <w:numId w:val="1"/>
              </w:numPr>
              <w:spacing w:beforeLines="50" w:before="156"/>
              <w:ind w:firstLineChars="200" w:firstLine="420"/>
              <w:rPr>
                <w:rFonts w:ascii="宋体" w:hAnsi="宋体"/>
              </w:rPr>
            </w:pPr>
            <w:r>
              <w:rPr>
                <w:rFonts w:ascii="宋体" w:hAnsi="宋体" w:hint="eastAsia"/>
              </w:rPr>
              <w:t>连云港工厂的产量如何？</w:t>
            </w:r>
          </w:p>
          <w:p w:rsidR="004D4ECC" w:rsidRDefault="005C1E93">
            <w:pPr>
              <w:spacing w:beforeLines="50" w:before="156"/>
              <w:ind w:firstLineChars="200" w:firstLine="420"/>
            </w:pPr>
            <w:r>
              <w:rPr>
                <w:rFonts w:ascii="宋体" w:hAnsi="宋体" w:hint="eastAsia"/>
              </w:rPr>
              <w:t>连云港</w:t>
            </w:r>
            <w:r>
              <w:rPr>
                <w:rFonts w:hint="eastAsia"/>
              </w:rPr>
              <w:t>锆钛矿选矿厂的产能在逐步释放，独居石的产量受到原料中独居石含量的影响。</w:t>
            </w:r>
          </w:p>
          <w:p w:rsidR="004D4ECC" w:rsidRDefault="005C1E93">
            <w:pPr>
              <w:spacing w:beforeLines="50" w:before="156"/>
              <w:ind w:firstLineChars="200" w:firstLine="420"/>
            </w:pPr>
            <w:r>
              <w:rPr>
                <w:rFonts w:hint="eastAsia"/>
              </w:rPr>
              <w:t>截止三季度公司稀土精矿（含独居石）总生产量为</w:t>
            </w:r>
            <w:r w:rsidRPr="00B10F99">
              <w:t>16,571.68</w:t>
            </w:r>
            <w:r>
              <w:rPr>
                <w:rFonts w:hint="eastAsia"/>
              </w:rPr>
              <w:t>吨。</w:t>
            </w:r>
          </w:p>
          <w:p w:rsidR="004D4ECC" w:rsidRDefault="005C1E93">
            <w:pPr>
              <w:numPr>
                <w:ilvl w:val="0"/>
                <w:numId w:val="1"/>
              </w:numPr>
              <w:spacing w:beforeLines="50" w:before="156"/>
              <w:ind w:firstLineChars="200" w:firstLine="420"/>
            </w:pPr>
            <w:r>
              <w:rPr>
                <w:rFonts w:hint="eastAsia"/>
              </w:rPr>
              <w:t>与</w:t>
            </w:r>
            <w:r>
              <w:rPr>
                <w:rFonts w:hint="eastAsia"/>
              </w:rPr>
              <w:t>MP</w:t>
            </w:r>
            <w:r>
              <w:rPr>
                <w:rFonts w:hint="eastAsia"/>
              </w:rPr>
              <w:t>公司的包销情况？</w:t>
            </w:r>
          </w:p>
          <w:p w:rsidR="004D4ECC" w:rsidRDefault="005C1E93">
            <w:pPr>
              <w:spacing w:beforeLines="50" w:before="156"/>
              <w:ind w:firstLineChars="200" w:firstLine="420"/>
            </w:pPr>
            <w:r>
              <w:rPr>
                <w:rFonts w:hint="eastAsia"/>
              </w:rPr>
              <w:t>公司</w:t>
            </w:r>
            <w:r>
              <w:t xml:space="preserve">2022 </w:t>
            </w:r>
            <w:r>
              <w:t>年</w:t>
            </w:r>
            <w:r>
              <w:t xml:space="preserve">3 </w:t>
            </w:r>
            <w:r>
              <w:t>月</w:t>
            </w:r>
            <w:r>
              <w:rPr>
                <w:rFonts w:hint="eastAsia"/>
              </w:rPr>
              <w:t>与</w:t>
            </w:r>
            <w:r>
              <w:t xml:space="preserve">MP </w:t>
            </w:r>
            <w:r>
              <w:t>公司</w:t>
            </w:r>
            <w:r>
              <w:rPr>
                <w:rFonts w:hint="eastAsia"/>
              </w:rPr>
              <w:t>续签了包销协议。</w:t>
            </w:r>
            <w:r>
              <w:t>协议期限</w:t>
            </w:r>
            <w:r>
              <w:t xml:space="preserve">2 </w:t>
            </w:r>
            <w:r>
              <w:t>年，到期后可延长</w:t>
            </w:r>
            <w:r>
              <w:t>1</w:t>
            </w:r>
            <w:r>
              <w:t>年。</w:t>
            </w:r>
            <w:r>
              <w:rPr>
                <w:rFonts w:hint="eastAsia"/>
              </w:rPr>
              <w:t>包销产品的范围并不局限于稀土精矿，也包括氧化物类的产品。目前</w:t>
            </w:r>
            <w:r>
              <w:rPr>
                <w:rFonts w:ascii="宋体" w:hAnsi="宋体" w:hint="eastAsia"/>
              </w:rPr>
              <w:t>美国矿的包销正常进行。</w:t>
            </w:r>
            <w:r>
              <w:rPr>
                <w:rFonts w:hint="eastAsia"/>
              </w:rPr>
              <w:t>M</w:t>
            </w:r>
            <w:r>
              <w:t>P</w:t>
            </w:r>
            <w:r>
              <w:rPr>
                <w:rFonts w:hint="eastAsia"/>
              </w:rPr>
              <w:t>三季度已经有分离出来的稀土氧化物产品，目前产量较小。</w:t>
            </w:r>
            <w:r>
              <w:rPr>
                <w:rFonts w:hint="eastAsia"/>
              </w:rPr>
              <w:t>MP</w:t>
            </w:r>
            <w:r>
              <w:rPr>
                <w:rFonts w:hint="eastAsia"/>
              </w:rPr>
              <w:t>委托公司将稀土氧化物加工成稀土金属，公司向</w:t>
            </w:r>
            <w:r>
              <w:rPr>
                <w:rFonts w:hint="eastAsia"/>
              </w:rPr>
              <w:t>MP</w:t>
            </w:r>
            <w:r>
              <w:rPr>
                <w:rFonts w:hint="eastAsia"/>
              </w:rPr>
              <w:t>收取加工费用。</w:t>
            </w:r>
          </w:p>
          <w:p w:rsidR="004D4ECC" w:rsidRDefault="005C1E93">
            <w:pPr>
              <w:numPr>
                <w:ilvl w:val="0"/>
                <w:numId w:val="1"/>
              </w:numPr>
              <w:spacing w:beforeLines="50" w:before="156"/>
              <w:ind w:firstLineChars="200" w:firstLine="420"/>
              <w:rPr>
                <w:rFonts w:ascii="宋体" w:hAnsi="宋体"/>
              </w:rPr>
            </w:pPr>
            <w:r>
              <w:rPr>
                <w:rFonts w:ascii="宋体" w:hAnsi="宋体" w:hint="eastAsia"/>
              </w:rPr>
              <w:t>缅甸矿的进口有受到影响吗？</w:t>
            </w:r>
          </w:p>
          <w:p w:rsidR="004D4ECC" w:rsidRDefault="005C1E93">
            <w:pPr>
              <w:spacing w:beforeLines="50" w:before="156"/>
              <w:ind w:firstLineChars="200" w:firstLine="420"/>
            </w:pPr>
            <w:r>
              <w:rPr>
                <w:rFonts w:hint="eastAsia"/>
              </w:rPr>
              <w:t>目前，缅甸矿的进口受当地局势影响不大。国内从东南亚其他国家也进口离子矿。</w:t>
            </w:r>
          </w:p>
        </w:tc>
      </w:tr>
      <w:tr w:rsidR="004D4ECC">
        <w:trPr>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hint="eastAsia"/>
                <w:b/>
                <w:bCs/>
                <w:iCs/>
                <w:color w:val="000000"/>
                <w:szCs w:val="21"/>
              </w:rPr>
              <w:lastRenderedPageBreak/>
              <w:t xml:space="preserve"> </w:t>
            </w:r>
            <w:r>
              <w:rPr>
                <w:rFonts w:ascii="宋体" w:hAnsi="宋体"/>
                <w:b/>
                <w:bCs/>
                <w:iCs/>
                <w:color w:val="000000"/>
                <w:szCs w:val="21"/>
              </w:rPr>
              <w:t>附件清单（如有）</w:t>
            </w:r>
          </w:p>
        </w:tc>
        <w:tc>
          <w:tcPr>
            <w:tcW w:w="7088" w:type="dxa"/>
          </w:tcPr>
          <w:p w:rsidR="004D4ECC" w:rsidRDefault="005C1E93">
            <w:pPr>
              <w:spacing w:line="360" w:lineRule="auto"/>
              <w:ind w:firstLineChars="50" w:firstLine="105"/>
              <w:jc w:val="center"/>
              <w:rPr>
                <w:rFonts w:ascii="宋体" w:hAnsi="宋体"/>
                <w:bCs/>
                <w:iCs/>
                <w:color w:val="000000"/>
                <w:szCs w:val="21"/>
              </w:rPr>
            </w:pPr>
            <w:r>
              <w:rPr>
                <w:rFonts w:ascii="宋体" w:hAnsi="宋体" w:hint="eastAsia"/>
                <w:bCs/>
                <w:iCs/>
                <w:color w:val="000000"/>
                <w:szCs w:val="21"/>
              </w:rPr>
              <w:t>无</w:t>
            </w:r>
          </w:p>
        </w:tc>
      </w:tr>
      <w:tr w:rsidR="004D4ECC">
        <w:trPr>
          <w:jc w:val="center"/>
        </w:trPr>
        <w:tc>
          <w:tcPr>
            <w:tcW w:w="2547" w:type="dxa"/>
            <w:vAlign w:val="center"/>
          </w:tcPr>
          <w:p w:rsidR="004D4ECC" w:rsidRDefault="005C1E93">
            <w:pPr>
              <w:spacing w:line="360" w:lineRule="auto"/>
              <w:jc w:val="center"/>
              <w:rPr>
                <w:rFonts w:ascii="宋体" w:hAnsi="宋体"/>
                <w:b/>
                <w:bCs/>
                <w:iCs/>
                <w:color w:val="000000"/>
                <w:szCs w:val="21"/>
              </w:rPr>
            </w:pPr>
            <w:r>
              <w:rPr>
                <w:rFonts w:ascii="宋体" w:hAnsi="宋体"/>
                <w:b/>
                <w:bCs/>
                <w:iCs/>
                <w:color w:val="000000"/>
                <w:szCs w:val="21"/>
              </w:rPr>
              <w:t>日期</w:t>
            </w:r>
          </w:p>
        </w:tc>
        <w:tc>
          <w:tcPr>
            <w:tcW w:w="7088" w:type="dxa"/>
          </w:tcPr>
          <w:p w:rsidR="004D4ECC" w:rsidRDefault="005C1E93">
            <w:pPr>
              <w:spacing w:line="360" w:lineRule="auto"/>
              <w:jc w:val="center"/>
              <w:rPr>
                <w:rFonts w:ascii="宋体" w:hAnsi="宋体"/>
                <w:bCs/>
                <w:iCs/>
                <w:color w:val="000000"/>
                <w:szCs w:val="21"/>
              </w:rPr>
            </w:pPr>
            <w:r>
              <w:rPr>
                <w:rFonts w:ascii="宋体" w:hAnsi="宋体"/>
                <w:bCs/>
                <w:iCs/>
                <w:color w:val="000000"/>
                <w:szCs w:val="21"/>
              </w:rPr>
              <w:t>202</w:t>
            </w:r>
            <w:r>
              <w:rPr>
                <w:rFonts w:ascii="宋体" w:hAnsi="宋体" w:hint="eastAsia"/>
                <w:bCs/>
                <w:iCs/>
                <w:color w:val="000000"/>
                <w:szCs w:val="21"/>
              </w:rPr>
              <w:t>3年11月13日</w:t>
            </w:r>
          </w:p>
        </w:tc>
      </w:tr>
      <w:bookmarkEnd w:id="0"/>
    </w:tbl>
    <w:p w:rsidR="004D4ECC" w:rsidRDefault="004D4ECC">
      <w:pPr>
        <w:widowControl/>
        <w:jc w:val="left"/>
        <w:rPr>
          <w:rFonts w:ascii="仿宋" w:eastAsia="仿宋" w:hAnsi="仿宋"/>
          <w:sz w:val="28"/>
          <w:szCs w:val="28"/>
        </w:rPr>
      </w:pPr>
    </w:p>
    <w:sectPr w:rsidR="004D4ECC">
      <w:footerReference w:type="even" r:id="rId7"/>
      <w:footerReference w:type="default" r:id="rId8"/>
      <w:pgSz w:w="11906" w:h="16838"/>
      <w:pgMar w:top="1701" w:right="1797" w:bottom="1134"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7F" w:rsidRDefault="005B097F">
      <w:r>
        <w:separator/>
      </w:r>
    </w:p>
  </w:endnote>
  <w:endnote w:type="continuationSeparator" w:id="0">
    <w:p w:rsidR="005B097F" w:rsidRDefault="005B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CC" w:rsidRDefault="005C1E93">
    <w:pPr>
      <w:pStyle w:val="a8"/>
      <w:framePr w:wrap="around" w:vAnchor="text" w:hAnchor="margin" w:xAlign="center" w:y="1"/>
      <w:rPr>
        <w:rStyle w:val="ad"/>
      </w:rPr>
    </w:pPr>
    <w:r>
      <w:fldChar w:fldCharType="begin"/>
    </w:r>
    <w:r>
      <w:rPr>
        <w:rStyle w:val="ad"/>
      </w:rPr>
      <w:instrText xml:space="preserve">PAGE  </w:instrText>
    </w:r>
    <w:r>
      <w:fldChar w:fldCharType="end"/>
    </w:r>
  </w:p>
  <w:p w:rsidR="004D4ECC" w:rsidRDefault="004D4E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CC" w:rsidRDefault="005C1E93">
    <w:pPr>
      <w:pStyle w:val="a8"/>
      <w:framePr w:wrap="around" w:vAnchor="text" w:hAnchor="margin" w:xAlign="center" w:y="1"/>
      <w:rPr>
        <w:rStyle w:val="ad"/>
        <w:rFonts w:ascii="宋体" w:hAnsi="宋体"/>
        <w:sz w:val="28"/>
        <w:szCs w:val="28"/>
      </w:rPr>
    </w:pPr>
    <w:r>
      <w:rPr>
        <w:rStyle w:val="ad"/>
        <w:rFonts w:ascii="宋体" w:hAnsi="宋体" w:hint="eastAsia"/>
        <w:sz w:val="28"/>
        <w:szCs w:val="28"/>
      </w:rPr>
      <w:t>—</w:t>
    </w:r>
    <w:r>
      <w:rPr>
        <w:rFonts w:ascii="宋体" w:hAnsi="宋体" w:hint="eastAsia"/>
        <w:sz w:val="28"/>
        <w:szCs w:val="28"/>
      </w:rPr>
      <w:fldChar w:fldCharType="begin"/>
    </w:r>
    <w:r>
      <w:rPr>
        <w:rStyle w:val="ad"/>
        <w:rFonts w:ascii="宋体" w:hAnsi="宋体" w:hint="eastAsia"/>
        <w:sz w:val="28"/>
        <w:szCs w:val="28"/>
      </w:rPr>
      <w:instrText xml:space="preserve">PAGE  </w:instrText>
    </w:r>
    <w:r>
      <w:rPr>
        <w:rFonts w:ascii="宋体" w:hAnsi="宋体" w:hint="eastAsia"/>
        <w:sz w:val="28"/>
        <w:szCs w:val="28"/>
      </w:rPr>
      <w:fldChar w:fldCharType="separate"/>
    </w:r>
    <w:r w:rsidR="00992AD5">
      <w:rPr>
        <w:rStyle w:val="ad"/>
        <w:rFonts w:ascii="宋体" w:hAnsi="宋体"/>
        <w:noProof/>
        <w:sz w:val="28"/>
        <w:szCs w:val="28"/>
      </w:rPr>
      <w:t>2</w:t>
    </w:r>
    <w:r>
      <w:rPr>
        <w:rFonts w:ascii="宋体" w:hAnsi="宋体" w:hint="eastAsia"/>
        <w:sz w:val="28"/>
        <w:szCs w:val="28"/>
      </w:rPr>
      <w:fldChar w:fldCharType="end"/>
    </w:r>
    <w:r>
      <w:rPr>
        <w:rStyle w:val="ad"/>
        <w:rFonts w:ascii="宋体" w:hAnsi="宋体" w:hint="eastAsia"/>
        <w:sz w:val="28"/>
        <w:szCs w:val="28"/>
      </w:rPr>
      <w:t>—</w:t>
    </w:r>
  </w:p>
  <w:p w:rsidR="004D4ECC" w:rsidRDefault="004D4E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7F" w:rsidRDefault="005B097F">
      <w:r>
        <w:separator/>
      </w:r>
    </w:p>
  </w:footnote>
  <w:footnote w:type="continuationSeparator" w:id="0">
    <w:p w:rsidR="005B097F" w:rsidRDefault="005B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D8BAE6"/>
    <w:multiLevelType w:val="singleLevel"/>
    <w:tmpl w:val="CAD8BAE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WU0ODljM2NmZjU5OGNmMjFkOGY5YmJkOTk2ODUifQ=="/>
  </w:docVars>
  <w:rsids>
    <w:rsidRoot w:val="00953981"/>
    <w:rsid w:val="0007285A"/>
    <w:rsid w:val="00081574"/>
    <w:rsid w:val="00177EC3"/>
    <w:rsid w:val="00180568"/>
    <w:rsid w:val="001C1D99"/>
    <w:rsid w:val="004D4ECC"/>
    <w:rsid w:val="00593A9B"/>
    <w:rsid w:val="005B097F"/>
    <w:rsid w:val="005C1E93"/>
    <w:rsid w:val="009456A9"/>
    <w:rsid w:val="00953981"/>
    <w:rsid w:val="00992AD5"/>
    <w:rsid w:val="00AB65AE"/>
    <w:rsid w:val="00B10F99"/>
    <w:rsid w:val="00B61558"/>
    <w:rsid w:val="00F536E6"/>
    <w:rsid w:val="035E62A9"/>
    <w:rsid w:val="0ECB5A9B"/>
    <w:rsid w:val="1E38504E"/>
    <w:rsid w:val="222A111F"/>
    <w:rsid w:val="2C0B44D1"/>
    <w:rsid w:val="36C22E36"/>
    <w:rsid w:val="3A8638A8"/>
    <w:rsid w:val="3ED65E91"/>
    <w:rsid w:val="41C10393"/>
    <w:rsid w:val="4599357F"/>
    <w:rsid w:val="58535244"/>
    <w:rsid w:val="5CC34FC4"/>
    <w:rsid w:val="5D864CC7"/>
    <w:rsid w:val="60F224FB"/>
    <w:rsid w:val="658E7179"/>
    <w:rsid w:val="6AC9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A5C2C"/>
  <w15:docId w15:val="{D0707BA9-2A19-4421-B855-60B5D57A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28"/>
    </w:rPr>
  </w:style>
  <w:style w:type="paragraph" w:styleId="a5">
    <w:name w:val="Date"/>
    <w:basedOn w:val="a"/>
    <w:next w:val="a"/>
    <w:qFormat/>
    <w:pPr>
      <w:ind w:leftChars="2500" w:left="10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Pr>
      <w:rFonts w:ascii="Calibri" w:hAnsi="Calibri"/>
      <w:sz w:val="24"/>
    </w:rPr>
  </w:style>
  <w:style w:type="table" w:styleId="ab">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page number"/>
    <w:qFormat/>
  </w:style>
  <w:style w:type="character" w:styleId="ae">
    <w:name w:val="Emphasis"/>
    <w:qFormat/>
    <w:rPr>
      <w:i/>
    </w:rPr>
  </w:style>
  <w:style w:type="character" w:styleId="af">
    <w:name w:val="Hyperlink"/>
    <w:uiPriority w:val="99"/>
    <w:qFormat/>
    <w:rPr>
      <w:rFonts w:cs="Times New Roman"/>
      <w:color w:val="0000FF"/>
      <w:u w:val="single"/>
    </w:rPr>
  </w:style>
  <w:style w:type="character" w:customStyle="1" w:styleId="10">
    <w:name w:val="标题 1 字符"/>
    <w:link w:val="1"/>
    <w:uiPriority w:val="9"/>
    <w:qFormat/>
    <w:rPr>
      <w:rFonts w:ascii="Calibri" w:hAnsi="Calibri"/>
      <w:b/>
      <w:bCs/>
      <w:kern w:val="44"/>
      <w:sz w:val="44"/>
      <w:szCs w:val="44"/>
    </w:rPr>
  </w:style>
  <w:style w:type="character" w:customStyle="1" w:styleId="20">
    <w:name w:val="标题 2 字符"/>
    <w:link w:val="2"/>
    <w:uiPriority w:val="9"/>
    <w:qFormat/>
    <w:rPr>
      <w:rFonts w:ascii="Calibri Light" w:hAnsi="Calibri Light"/>
      <w:b/>
      <w:bCs/>
      <w:kern w:val="2"/>
      <w:sz w:val="32"/>
      <w:szCs w:val="32"/>
    </w:rPr>
  </w:style>
  <w:style w:type="character" w:customStyle="1" w:styleId="a4">
    <w:name w:val="正文文本 字符"/>
    <w:link w:val="a3"/>
    <w:qFormat/>
    <w:rPr>
      <w:kern w:val="2"/>
      <w:sz w:val="28"/>
      <w:szCs w:val="24"/>
    </w:rPr>
  </w:style>
  <w:style w:type="character" w:customStyle="1" w:styleId="a7">
    <w:name w:val="批注框文本 字符"/>
    <w:link w:val="a6"/>
    <w:qFormat/>
    <w:rPr>
      <w:kern w:val="2"/>
      <w:sz w:val="18"/>
      <w:szCs w:val="18"/>
    </w:rPr>
  </w:style>
  <w:style w:type="paragraph" w:styleId="af0">
    <w:name w:val="List Paragraph"/>
    <w:basedOn w:val="a"/>
    <w:uiPriority w:val="34"/>
    <w:qFormat/>
    <w:pPr>
      <w:ind w:firstLineChars="200" w:firstLine="420"/>
    </w:pPr>
    <w:rPr>
      <w:rFonts w:ascii="Calibri" w:hAnsi="Calibri"/>
      <w:szCs w:val="22"/>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msolistparagraph0">
    <w:name w:val="msolistparagraph"/>
    <w:basedOn w:val="a"/>
    <w:qFormat/>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253</Words>
  <Characters>1443</Characters>
  <Application>Microsoft Office Word</Application>
  <DocSecurity>0</DocSecurity>
  <Lines>12</Lines>
  <Paragraphs>3</Paragraphs>
  <ScaleCrop>false</ScaleCrop>
  <Company>SC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四川省上市公司协会文件</dc:title>
  <dc:creator>Li</dc:creator>
  <cp:lastModifiedBy>Administrator</cp:lastModifiedBy>
  <cp:revision>11</cp:revision>
  <cp:lastPrinted>2010-08-04T06:50:00Z</cp:lastPrinted>
  <dcterms:created xsi:type="dcterms:W3CDTF">2023-03-24T02:05:00Z</dcterms:created>
  <dcterms:modified xsi:type="dcterms:W3CDTF">2023-11-13T08:02:00Z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B971AA8E5BE54E9C8AB82D49A6664F65_13</vt:lpwstr>
  </property>
</Properties>
</file>