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B4" w:rsidRDefault="007F6C6C">
      <w:pPr>
        <w:jc w:val="left"/>
        <w:rPr>
          <w:rFonts w:eastAsiaTheme="minorEastAsia"/>
          <w:bCs/>
          <w:iCs/>
          <w:color w:val="000000"/>
          <w:szCs w:val="21"/>
        </w:rPr>
      </w:pPr>
      <w:r>
        <w:rPr>
          <w:rFonts w:eastAsiaTheme="minorEastAsia"/>
          <w:bCs/>
          <w:iCs/>
          <w:color w:val="000000"/>
          <w:szCs w:val="21"/>
        </w:rPr>
        <w:t>证券代码：</w:t>
      </w:r>
      <w:r>
        <w:rPr>
          <w:rFonts w:eastAsiaTheme="minorEastAsia"/>
          <w:bCs/>
          <w:iCs/>
          <w:color w:val="000000"/>
          <w:szCs w:val="21"/>
        </w:rPr>
        <w:t xml:space="preserve">603379                                              </w:t>
      </w:r>
      <w:r>
        <w:rPr>
          <w:rFonts w:eastAsiaTheme="minorEastAsia"/>
          <w:bCs/>
          <w:iCs/>
          <w:color w:val="000000"/>
          <w:szCs w:val="21"/>
        </w:rPr>
        <w:t>证券简称：三美股份</w:t>
      </w:r>
    </w:p>
    <w:p w:rsidR="00F743B4" w:rsidRDefault="007F6C6C">
      <w:pPr>
        <w:spacing w:beforeLines="150" w:before="468" w:afterLines="50" w:after="156" w:line="400" w:lineRule="exact"/>
        <w:jc w:val="center"/>
        <w:rPr>
          <w:rFonts w:eastAsiaTheme="minorEastAsia"/>
          <w:b/>
          <w:bCs/>
          <w:iCs/>
          <w:color w:val="000000"/>
          <w:sz w:val="32"/>
          <w:szCs w:val="32"/>
        </w:rPr>
      </w:pPr>
      <w:r>
        <w:rPr>
          <w:rFonts w:eastAsiaTheme="minorEastAsia"/>
          <w:b/>
          <w:bCs/>
          <w:iCs/>
          <w:color w:val="000000"/>
          <w:sz w:val="32"/>
          <w:szCs w:val="32"/>
        </w:rPr>
        <w:t>浙江三美化工股份有限公司</w:t>
      </w:r>
    </w:p>
    <w:p w:rsidR="00F743B4" w:rsidRDefault="007F6C6C" w:rsidP="008664B9">
      <w:pPr>
        <w:spacing w:beforeLines="50" w:before="156" w:afterLines="100" w:after="312" w:line="400" w:lineRule="exact"/>
        <w:jc w:val="center"/>
        <w:rPr>
          <w:rFonts w:eastAsiaTheme="minorEastAsia"/>
          <w:b/>
          <w:bCs/>
          <w:iCs/>
          <w:color w:val="000000"/>
          <w:sz w:val="32"/>
          <w:szCs w:val="32"/>
        </w:rPr>
      </w:pPr>
      <w:r>
        <w:rPr>
          <w:rFonts w:eastAsiaTheme="minorEastAsia" w:hint="eastAsia"/>
          <w:b/>
          <w:bCs/>
          <w:iCs/>
          <w:color w:val="000000"/>
          <w:sz w:val="32"/>
          <w:szCs w:val="32"/>
        </w:rPr>
        <w:t>2023</w:t>
      </w:r>
      <w:r>
        <w:rPr>
          <w:rFonts w:eastAsiaTheme="minorEastAsia"/>
          <w:b/>
          <w:bCs/>
          <w:iCs/>
          <w:color w:val="000000"/>
          <w:sz w:val="32"/>
          <w:szCs w:val="32"/>
        </w:rPr>
        <w:t>年</w:t>
      </w:r>
      <w:r>
        <w:rPr>
          <w:rFonts w:eastAsiaTheme="minorEastAsia" w:hint="eastAsia"/>
          <w:b/>
          <w:bCs/>
          <w:iCs/>
          <w:color w:val="000000"/>
          <w:sz w:val="32"/>
          <w:szCs w:val="32"/>
        </w:rPr>
        <w:t>11</w:t>
      </w:r>
      <w:r>
        <w:rPr>
          <w:rFonts w:eastAsiaTheme="minorEastAsia" w:hint="eastAsia"/>
          <w:b/>
          <w:bCs/>
          <w:iCs/>
          <w:color w:val="000000"/>
          <w:sz w:val="32"/>
          <w:szCs w:val="32"/>
        </w:rPr>
        <w:t>月</w:t>
      </w:r>
      <w:r>
        <w:rPr>
          <w:rFonts w:eastAsiaTheme="minorEastAsia" w:hint="eastAsia"/>
          <w:b/>
          <w:bCs/>
          <w:iCs/>
          <w:color w:val="000000"/>
          <w:sz w:val="32"/>
          <w:szCs w:val="32"/>
        </w:rPr>
        <w:t>10</w:t>
      </w:r>
      <w:r>
        <w:rPr>
          <w:rFonts w:eastAsiaTheme="minorEastAsia" w:hint="eastAsia"/>
          <w:b/>
          <w:bCs/>
          <w:iCs/>
          <w:color w:val="000000"/>
          <w:sz w:val="32"/>
          <w:szCs w:val="32"/>
        </w:rPr>
        <w:t>、</w:t>
      </w:r>
      <w:r>
        <w:rPr>
          <w:rFonts w:eastAsiaTheme="minorEastAsia" w:hint="eastAsia"/>
          <w:b/>
          <w:bCs/>
          <w:iCs/>
          <w:color w:val="000000"/>
          <w:sz w:val="32"/>
          <w:szCs w:val="32"/>
        </w:rPr>
        <w:t>13</w:t>
      </w:r>
      <w:r>
        <w:rPr>
          <w:rFonts w:eastAsiaTheme="minorEastAsia" w:hint="eastAsia"/>
          <w:b/>
          <w:bCs/>
          <w:iCs/>
          <w:color w:val="000000"/>
          <w:sz w:val="32"/>
          <w:szCs w:val="32"/>
        </w:rPr>
        <w:t>日</w:t>
      </w:r>
      <w:r>
        <w:rPr>
          <w:rFonts w:eastAsiaTheme="minorEastAsia"/>
          <w:b/>
          <w:bCs/>
          <w:iCs/>
          <w:color w:val="000000"/>
          <w:sz w:val="32"/>
          <w:szCs w:val="32"/>
        </w:rPr>
        <w:t>投资者关系活动记录表</w:t>
      </w:r>
    </w:p>
    <w:p w:rsidR="00F743B4" w:rsidRDefault="007F6C6C">
      <w:pPr>
        <w:wordWrap w:val="0"/>
        <w:spacing w:line="400" w:lineRule="exact"/>
        <w:ind w:rightChars="-27" w:right="-57"/>
        <w:jc w:val="right"/>
        <w:rPr>
          <w:rFonts w:eastAsiaTheme="minorEastAsia"/>
          <w:bCs/>
          <w:iCs/>
          <w:color w:val="000000"/>
          <w:szCs w:val="21"/>
        </w:rPr>
      </w:pPr>
      <w:r>
        <w:rPr>
          <w:rFonts w:eastAsiaTheme="minorEastAsia"/>
          <w:bCs/>
          <w:iCs/>
          <w:color w:val="000000"/>
          <w:szCs w:val="21"/>
        </w:rPr>
        <w:t>编号：</w:t>
      </w:r>
      <w:r>
        <w:rPr>
          <w:rFonts w:eastAsiaTheme="minorEastAsia" w:hint="eastAsia"/>
          <w:bCs/>
          <w:iCs/>
          <w:color w:val="000000"/>
          <w:szCs w:val="21"/>
        </w:rPr>
        <w:t>2023</w:t>
      </w:r>
      <w:r>
        <w:rPr>
          <w:rFonts w:eastAsiaTheme="minorEastAsia"/>
          <w:bCs/>
          <w:iCs/>
          <w:color w:val="000000"/>
          <w:szCs w:val="21"/>
        </w:rPr>
        <w:t>-</w:t>
      </w:r>
      <w:r>
        <w:rPr>
          <w:rFonts w:eastAsiaTheme="minorEastAsia" w:hint="eastAsia"/>
          <w:bCs/>
          <w:iCs/>
          <w:color w:val="000000"/>
          <w:szCs w:val="21"/>
        </w:rPr>
        <w:t>1113</w:t>
      </w:r>
      <w:r>
        <w:rPr>
          <w:rFonts w:eastAsiaTheme="minorEastAsia"/>
          <w:bCs/>
          <w:iCs/>
          <w:color w:val="000000"/>
          <w:szCs w:val="21"/>
        </w:rPr>
        <w:t>-</w:t>
      </w:r>
      <w:r>
        <w:rPr>
          <w:rFonts w:eastAsiaTheme="minorEastAsia" w:hint="eastAsia"/>
          <w:bCs/>
          <w:iCs/>
          <w:color w:val="000000"/>
          <w:szCs w:val="21"/>
        </w:rPr>
        <w:t>014</w:t>
      </w: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298"/>
      </w:tblGrid>
      <w:tr w:rsidR="00F743B4" w:rsidTr="001A4477">
        <w:trPr>
          <w:jc w:val="center"/>
        </w:trPr>
        <w:tc>
          <w:tcPr>
            <w:tcW w:w="878" w:type="pct"/>
            <w:shd w:val="clear" w:color="auto" w:fill="auto"/>
            <w:vAlign w:val="center"/>
          </w:tcPr>
          <w:p w:rsidR="00F743B4" w:rsidRDefault="007F6C6C" w:rsidP="001A4477">
            <w:pPr>
              <w:spacing w:line="480" w:lineRule="atLeast"/>
              <w:rPr>
                <w:rFonts w:eastAsiaTheme="minorEastAsia"/>
                <w:b/>
                <w:bCs/>
                <w:iCs/>
                <w:color w:val="000000"/>
                <w:sz w:val="24"/>
              </w:rPr>
            </w:pPr>
            <w:bookmarkStart w:id="0" w:name="_GoBack" w:colFirst="0" w:colLast="0"/>
            <w:r>
              <w:rPr>
                <w:rFonts w:eastAsiaTheme="minorEastAsia"/>
                <w:b/>
                <w:bCs/>
                <w:iCs/>
                <w:color w:val="000000"/>
                <w:sz w:val="24"/>
              </w:rPr>
              <w:t>投资者关系</w:t>
            </w:r>
          </w:p>
          <w:p w:rsidR="00F743B4" w:rsidRDefault="007F6C6C" w:rsidP="001A4477">
            <w:pPr>
              <w:spacing w:line="480" w:lineRule="atLeast"/>
              <w:rPr>
                <w:rFonts w:eastAsiaTheme="minorEastAsia"/>
                <w:b/>
                <w:bCs/>
                <w:iCs/>
                <w:color w:val="000000"/>
                <w:sz w:val="24"/>
              </w:rPr>
            </w:pPr>
            <w:r>
              <w:rPr>
                <w:rFonts w:eastAsiaTheme="minorEastAsia"/>
                <w:b/>
                <w:bCs/>
                <w:iCs/>
                <w:color w:val="000000"/>
                <w:sz w:val="24"/>
              </w:rPr>
              <w:t>活动类别</w:t>
            </w:r>
          </w:p>
        </w:tc>
        <w:tc>
          <w:tcPr>
            <w:tcW w:w="4121" w:type="pct"/>
            <w:shd w:val="clear" w:color="auto" w:fill="auto"/>
            <w:vAlign w:val="center"/>
          </w:tcPr>
          <w:p w:rsidR="00F743B4" w:rsidRDefault="007F6C6C">
            <w:pPr>
              <w:spacing w:line="480" w:lineRule="atLeast"/>
              <w:ind w:firstLineChars="50" w:firstLine="120"/>
              <w:rPr>
                <w:rFonts w:eastAsiaTheme="minorEastAsia"/>
                <w:sz w:val="24"/>
              </w:rPr>
            </w:pPr>
            <w:r>
              <w:rPr>
                <w:rFonts w:eastAsiaTheme="minorEastAsia"/>
                <w:sz w:val="24"/>
              </w:rPr>
              <w:sym w:font="Wingdings" w:char="00FE"/>
            </w:r>
            <w:r>
              <w:rPr>
                <w:rFonts w:eastAsiaTheme="minorEastAsia"/>
                <w:sz w:val="24"/>
              </w:rPr>
              <w:t>特定对象调研</w:t>
            </w:r>
            <w:r>
              <w:rPr>
                <w:rFonts w:eastAsiaTheme="minorEastAsia"/>
                <w:sz w:val="24"/>
              </w:rPr>
              <w:t xml:space="preserve">    </w:t>
            </w:r>
            <w:r>
              <w:rPr>
                <w:rFonts w:eastAsiaTheme="minorEastAsia"/>
                <w:sz w:val="24"/>
              </w:rPr>
              <w:sym w:font="Wingdings" w:char="00A8"/>
            </w:r>
            <w:r>
              <w:rPr>
                <w:rFonts w:eastAsiaTheme="minorEastAsia"/>
                <w:sz w:val="24"/>
              </w:rPr>
              <w:t>分析</w:t>
            </w:r>
            <w:proofErr w:type="gramStart"/>
            <w:r>
              <w:rPr>
                <w:rFonts w:eastAsiaTheme="minorEastAsia"/>
                <w:sz w:val="24"/>
              </w:rPr>
              <w:t>师会议</w:t>
            </w:r>
            <w:proofErr w:type="gramEnd"/>
            <w:r>
              <w:rPr>
                <w:rFonts w:eastAsiaTheme="minorEastAsia"/>
                <w:sz w:val="24"/>
              </w:rPr>
              <w:t xml:space="preserve">   </w:t>
            </w:r>
            <w:r>
              <w:rPr>
                <w:rFonts w:eastAsiaTheme="minorEastAsia"/>
                <w:sz w:val="24"/>
              </w:rPr>
              <w:sym w:font="Wingdings" w:char="00A8"/>
            </w:r>
            <w:r>
              <w:rPr>
                <w:rFonts w:eastAsiaTheme="minorEastAsia"/>
                <w:sz w:val="24"/>
              </w:rPr>
              <w:t>媒体采访</w:t>
            </w:r>
            <w:r>
              <w:rPr>
                <w:rFonts w:eastAsiaTheme="minorEastAsia"/>
                <w:sz w:val="24"/>
              </w:rPr>
              <w:t xml:space="preserve">  </w:t>
            </w:r>
            <w:r>
              <w:rPr>
                <w:rFonts w:eastAsiaTheme="minorEastAsia"/>
                <w:sz w:val="24"/>
              </w:rPr>
              <w:sym w:font="Wingdings" w:char="00A8"/>
            </w:r>
            <w:r>
              <w:rPr>
                <w:rFonts w:eastAsiaTheme="minorEastAsia"/>
                <w:sz w:val="24"/>
              </w:rPr>
              <w:t>业绩说明会</w:t>
            </w:r>
          </w:p>
          <w:p w:rsidR="00F743B4" w:rsidRDefault="007F6C6C">
            <w:pPr>
              <w:spacing w:line="480" w:lineRule="atLeast"/>
              <w:ind w:firstLineChars="50" w:firstLine="120"/>
              <w:rPr>
                <w:rFonts w:eastAsiaTheme="minorEastAsia"/>
                <w:bCs/>
                <w:iCs/>
                <w:color w:val="000000"/>
                <w:sz w:val="24"/>
              </w:rPr>
            </w:pPr>
            <w:r>
              <w:rPr>
                <w:rFonts w:eastAsiaTheme="minorEastAsia"/>
                <w:sz w:val="24"/>
              </w:rPr>
              <w:sym w:font="Wingdings" w:char="00A8"/>
            </w:r>
            <w:r>
              <w:rPr>
                <w:rFonts w:eastAsiaTheme="minorEastAsia"/>
                <w:sz w:val="24"/>
              </w:rPr>
              <w:t>新闻发布会</w:t>
            </w:r>
            <w:r>
              <w:rPr>
                <w:rFonts w:eastAsiaTheme="minorEastAsia"/>
                <w:sz w:val="24"/>
              </w:rPr>
              <w:t xml:space="preserve">      </w:t>
            </w:r>
            <w:r>
              <w:rPr>
                <w:rFonts w:eastAsiaTheme="minorEastAsia"/>
                <w:sz w:val="24"/>
              </w:rPr>
              <w:sym w:font="Wingdings" w:char="00A8"/>
            </w:r>
            <w:r>
              <w:rPr>
                <w:rFonts w:eastAsiaTheme="minorEastAsia"/>
                <w:sz w:val="24"/>
              </w:rPr>
              <w:t>路演活动</w:t>
            </w:r>
            <w:r>
              <w:rPr>
                <w:rFonts w:eastAsiaTheme="minorEastAsia"/>
                <w:sz w:val="24"/>
              </w:rPr>
              <w:t xml:space="preserve">     </w:t>
            </w:r>
            <w:r>
              <w:rPr>
                <w:rFonts w:eastAsiaTheme="minorEastAsia"/>
                <w:sz w:val="24"/>
              </w:rPr>
              <w:sym w:font="Wingdings" w:char="00A8"/>
            </w:r>
            <w:r>
              <w:rPr>
                <w:rFonts w:eastAsiaTheme="minorEastAsia"/>
                <w:sz w:val="24"/>
              </w:rPr>
              <w:t>现场参观</w:t>
            </w:r>
            <w:r>
              <w:rPr>
                <w:rFonts w:eastAsiaTheme="minorEastAsia"/>
                <w:sz w:val="24"/>
              </w:rPr>
              <w:t xml:space="preserve">  </w:t>
            </w:r>
            <w:r>
              <w:rPr>
                <w:rFonts w:eastAsiaTheme="minorEastAsia"/>
                <w:sz w:val="24"/>
              </w:rPr>
              <w:sym w:font="Wingdings" w:char="00FE"/>
            </w:r>
            <w:r>
              <w:rPr>
                <w:rFonts w:eastAsiaTheme="minorEastAsia" w:hint="eastAsia"/>
                <w:sz w:val="24"/>
              </w:rPr>
              <w:t>线上</w:t>
            </w:r>
            <w:r>
              <w:rPr>
                <w:rFonts w:eastAsiaTheme="minorEastAsia"/>
                <w:sz w:val="24"/>
              </w:rPr>
              <w:t>会议</w:t>
            </w:r>
          </w:p>
        </w:tc>
      </w:tr>
      <w:tr w:rsidR="00F743B4" w:rsidTr="001A4477">
        <w:trPr>
          <w:trHeight w:val="693"/>
          <w:jc w:val="center"/>
        </w:trPr>
        <w:tc>
          <w:tcPr>
            <w:tcW w:w="878" w:type="pct"/>
            <w:shd w:val="clear" w:color="auto" w:fill="auto"/>
            <w:vAlign w:val="center"/>
          </w:tcPr>
          <w:p w:rsidR="00F743B4" w:rsidRDefault="007F6C6C" w:rsidP="001A4477">
            <w:pPr>
              <w:rPr>
                <w:rFonts w:eastAsiaTheme="minorEastAsia"/>
                <w:b/>
                <w:bCs/>
                <w:iCs/>
                <w:color w:val="000000"/>
                <w:sz w:val="24"/>
              </w:rPr>
            </w:pPr>
            <w:r>
              <w:rPr>
                <w:rFonts w:eastAsiaTheme="minorEastAsia"/>
                <w:b/>
                <w:bCs/>
                <w:iCs/>
                <w:color w:val="000000"/>
                <w:sz w:val="24"/>
              </w:rPr>
              <w:t>参与单位</w:t>
            </w:r>
            <w:r>
              <w:rPr>
                <w:rFonts w:eastAsiaTheme="minorEastAsia" w:hint="eastAsia"/>
                <w:b/>
                <w:bCs/>
                <w:iCs/>
                <w:color w:val="000000"/>
                <w:sz w:val="24"/>
              </w:rPr>
              <w:t>及人员</w:t>
            </w:r>
          </w:p>
        </w:tc>
        <w:tc>
          <w:tcPr>
            <w:tcW w:w="4121" w:type="pct"/>
            <w:shd w:val="clear" w:color="auto" w:fill="auto"/>
            <w:vAlign w:val="center"/>
          </w:tcPr>
          <w:p w:rsidR="00F743B4" w:rsidRDefault="007F6C6C" w:rsidP="007F6C6C">
            <w:pPr>
              <w:rPr>
                <w:rFonts w:eastAsiaTheme="minorEastAsia"/>
                <w:bCs/>
                <w:iCs/>
                <w:color w:val="000000"/>
                <w:sz w:val="24"/>
              </w:rPr>
            </w:pPr>
            <w:r>
              <w:rPr>
                <w:rFonts w:eastAsiaTheme="minorEastAsia" w:hint="eastAsia"/>
                <w:bCs/>
                <w:iCs/>
                <w:color w:val="000000"/>
                <w:sz w:val="24"/>
              </w:rPr>
              <w:t>中欧基金：王习、李波</w:t>
            </w:r>
          </w:p>
          <w:p w:rsidR="00F743B4" w:rsidRDefault="007F6C6C" w:rsidP="007F6C6C">
            <w:pPr>
              <w:rPr>
                <w:rFonts w:eastAsiaTheme="minorEastAsia"/>
                <w:bCs/>
                <w:iCs/>
                <w:color w:val="000000"/>
                <w:sz w:val="24"/>
              </w:rPr>
            </w:pPr>
            <w:r>
              <w:rPr>
                <w:rFonts w:eastAsiaTheme="minorEastAsia" w:hint="eastAsia"/>
                <w:bCs/>
                <w:iCs/>
                <w:color w:val="000000"/>
                <w:sz w:val="24"/>
              </w:rPr>
              <w:t>东方红：向仕杰</w:t>
            </w:r>
          </w:p>
        </w:tc>
      </w:tr>
      <w:tr w:rsidR="00F743B4" w:rsidTr="001A4477">
        <w:trPr>
          <w:jc w:val="center"/>
        </w:trPr>
        <w:tc>
          <w:tcPr>
            <w:tcW w:w="878" w:type="pct"/>
            <w:shd w:val="clear" w:color="auto" w:fill="auto"/>
            <w:vAlign w:val="center"/>
          </w:tcPr>
          <w:p w:rsidR="00F743B4" w:rsidRDefault="007F6C6C" w:rsidP="001A4477">
            <w:pPr>
              <w:spacing w:line="480" w:lineRule="atLeast"/>
              <w:rPr>
                <w:rFonts w:eastAsiaTheme="minorEastAsia"/>
                <w:b/>
                <w:bCs/>
                <w:iCs/>
                <w:color w:val="000000"/>
                <w:sz w:val="24"/>
              </w:rPr>
            </w:pPr>
            <w:r>
              <w:rPr>
                <w:rFonts w:eastAsiaTheme="minorEastAsia"/>
                <w:b/>
                <w:bCs/>
                <w:iCs/>
                <w:color w:val="000000"/>
                <w:sz w:val="24"/>
              </w:rPr>
              <w:t>时间</w:t>
            </w:r>
          </w:p>
        </w:tc>
        <w:tc>
          <w:tcPr>
            <w:tcW w:w="4121" w:type="pct"/>
            <w:shd w:val="clear" w:color="auto" w:fill="auto"/>
            <w:vAlign w:val="center"/>
          </w:tcPr>
          <w:p w:rsidR="00F743B4" w:rsidRDefault="007F6C6C">
            <w:pPr>
              <w:spacing w:line="480" w:lineRule="atLeast"/>
              <w:rPr>
                <w:bCs/>
                <w:iCs/>
                <w:color w:val="000000"/>
                <w:sz w:val="24"/>
              </w:rPr>
            </w:pPr>
            <w:r>
              <w:rPr>
                <w:bCs/>
                <w:iCs/>
                <w:color w:val="000000"/>
                <w:sz w:val="24"/>
              </w:rPr>
              <w:t>202</w:t>
            </w:r>
            <w:r>
              <w:rPr>
                <w:rFonts w:hint="eastAsia"/>
                <w:bCs/>
                <w:iCs/>
                <w:color w:val="000000"/>
                <w:sz w:val="24"/>
              </w:rPr>
              <w:t>3</w:t>
            </w:r>
            <w:r>
              <w:rPr>
                <w:bCs/>
                <w:iCs/>
                <w:color w:val="000000"/>
                <w:sz w:val="24"/>
              </w:rPr>
              <w:t>年</w:t>
            </w:r>
            <w:r>
              <w:rPr>
                <w:rFonts w:hint="eastAsia"/>
                <w:bCs/>
                <w:iCs/>
                <w:color w:val="000000"/>
                <w:sz w:val="24"/>
              </w:rPr>
              <w:t>11</w:t>
            </w:r>
            <w:r>
              <w:rPr>
                <w:rFonts w:hint="eastAsia"/>
                <w:bCs/>
                <w:iCs/>
                <w:color w:val="000000"/>
                <w:sz w:val="24"/>
              </w:rPr>
              <w:t>月</w:t>
            </w:r>
            <w:r>
              <w:rPr>
                <w:rFonts w:hint="eastAsia"/>
                <w:bCs/>
                <w:iCs/>
                <w:color w:val="000000"/>
                <w:sz w:val="24"/>
              </w:rPr>
              <w:t>10</w:t>
            </w:r>
            <w:r>
              <w:rPr>
                <w:rFonts w:hint="eastAsia"/>
                <w:bCs/>
                <w:iCs/>
                <w:color w:val="000000"/>
                <w:sz w:val="24"/>
              </w:rPr>
              <w:t>日上午</w:t>
            </w:r>
            <w:r>
              <w:rPr>
                <w:rFonts w:hint="eastAsia"/>
                <w:bCs/>
                <w:iCs/>
                <w:color w:val="000000"/>
                <w:sz w:val="24"/>
              </w:rPr>
              <w:t>10:00--10:50</w:t>
            </w:r>
            <w:r>
              <w:rPr>
                <w:rFonts w:hint="eastAsia"/>
                <w:bCs/>
                <w:iCs/>
                <w:color w:val="000000"/>
                <w:sz w:val="24"/>
              </w:rPr>
              <w:t>、</w:t>
            </w:r>
            <w:r>
              <w:rPr>
                <w:rFonts w:hint="eastAsia"/>
                <w:bCs/>
                <w:iCs/>
                <w:color w:val="000000"/>
                <w:sz w:val="24"/>
              </w:rPr>
              <w:t>13</w:t>
            </w:r>
            <w:r>
              <w:rPr>
                <w:rFonts w:hint="eastAsia"/>
                <w:bCs/>
                <w:iCs/>
                <w:color w:val="000000"/>
                <w:sz w:val="24"/>
              </w:rPr>
              <w:t>日下午</w:t>
            </w:r>
            <w:r>
              <w:rPr>
                <w:rFonts w:hint="eastAsia"/>
                <w:bCs/>
                <w:iCs/>
                <w:color w:val="000000"/>
                <w:sz w:val="24"/>
              </w:rPr>
              <w:t>15:00--15:30</w:t>
            </w:r>
          </w:p>
        </w:tc>
      </w:tr>
      <w:tr w:rsidR="00F743B4" w:rsidTr="001A4477">
        <w:trPr>
          <w:jc w:val="center"/>
        </w:trPr>
        <w:tc>
          <w:tcPr>
            <w:tcW w:w="878" w:type="pct"/>
            <w:shd w:val="clear" w:color="auto" w:fill="auto"/>
            <w:vAlign w:val="center"/>
          </w:tcPr>
          <w:p w:rsidR="00F743B4" w:rsidRDefault="007F6C6C" w:rsidP="001A4477">
            <w:pPr>
              <w:spacing w:line="480" w:lineRule="atLeast"/>
              <w:rPr>
                <w:rFonts w:eastAsiaTheme="minorEastAsia"/>
                <w:b/>
                <w:bCs/>
                <w:iCs/>
                <w:color w:val="000000"/>
                <w:sz w:val="24"/>
              </w:rPr>
            </w:pPr>
            <w:r>
              <w:rPr>
                <w:rFonts w:eastAsiaTheme="minorEastAsia" w:hint="eastAsia"/>
                <w:b/>
                <w:bCs/>
                <w:iCs/>
                <w:color w:val="000000"/>
                <w:sz w:val="24"/>
              </w:rPr>
              <w:t>地点</w:t>
            </w:r>
          </w:p>
        </w:tc>
        <w:tc>
          <w:tcPr>
            <w:tcW w:w="4121" w:type="pct"/>
            <w:shd w:val="clear" w:color="auto" w:fill="auto"/>
            <w:vAlign w:val="center"/>
          </w:tcPr>
          <w:p w:rsidR="00F743B4" w:rsidRDefault="007F6C6C">
            <w:pPr>
              <w:spacing w:line="480" w:lineRule="atLeast"/>
              <w:rPr>
                <w:bCs/>
                <w:iCs/>
                <w:color w:val="000000"/>
                <w:sz w:val="24"/>
              </w:rPr>
            </w:pPr>
            <w:r>
              <w:rPr>
                <w:rFonts w:hint="eastAsia"/>
                <w:bCs/>
                <w:iCs/>
                <w:color w:val="000000"/>
                <w:sz w:val="24"/>
              </w:rPr>
              <w:t>公司会议室</w:t>
            </w:r>
          </w:p>
        </w:tc>
      </w:tr>
      <w:tr w:rsidR="00F743B4" w:rsidTr="001A4477">
        <w:trPr>
          <w:trHeight w:val="626"/>
          <w:jc w:val="center"/>
        </w:trPr>
        <w:tc>
          <w:tcPr>
            <w:tcW w:w="878" w:type="pct"/>
            <w:shd w:val="clear" w:color="auto" w:fill="auto"/>
            <w:vAlign w:val="center"/>
          </w:tcPr>
          <w:p w:rsidR="00F743B4" w:rsidRDefault="007F6C6C" w:rsidP="001A4477">
            <w:pPr>
              <w:spacing w:line="480" w:lineRule="atLeast"/>
              <w:rPr>
                <w:rFonts w:eastAsiaTheme="minorEastAsia"/>
                <w:b/>
                <w:bCs/>
                <w:iCs/>
                <w:color w:val="000000"/>
                <w:sz w:val="24"/>
              </w:rPr>
            </w:pPr>
            <w:r>
              <w:rPr>
                <w:rFonts w:eastAsiaTheme="minorEastAsia" w:hint="eastAsia"/>
                <w:b/>
                <w:bCs/>
                <w:iCs/>
                <w:color w:val="000000"/>
                <w:sz w:val="24"/>
              </w:rPr>
              <w:t>公司</w:t>
            </w:r>
            <w:r>
              <w:rPr>
                <w:rFonts w:eastAsiaTheme="minorEastAsia"/>
                <w:b/>
                <w:bCs/>
                <w:iCs/>
                <w:color w:val="000000"/>
                <w:sz w:val="24"/>
              </w:rPr>
              <w:t>接待</w:t>
            </w:r>
          </w:p>
          <w:p w:rsidR="00F743B4" w:rsidRDefault="007F6C6C" w:rsidP="001A4477">
            <w:pPr>
              <w:spacing w:line="480" w:lineRule="atLeast"/>
              <w:rPr>
                <w:rFonts w:eastAsiaTheme="minorEastAsia"/>
                <w:b/>
                <w:bCs/>
                <w:iCs/>
                <w:color w:val="000000"/>
                <w:sz w:val="24"/>
              </w:rPr>
            </w:pPr>
            <w:r>
              <w:rPr>
                <w:rFonts w:eastAsiaTheme="minorEastAsia"/>
                <w:b/>
                <w:bCs/>
                <w:iCs/>
                <w:color w:val="000000"/>
                <w:sz w:val="24"/>
              </w:rPr>
              <w:t>人员</w:t>
            </w:r>
          </w:p>
        </w:tc>
        <w:tc>
          <w:tcPr>
            <w:tcW w:w="4121" w:type="pct"/>
            <w:shd w:val="clear" w:color="auto" w:fill="auto"/>
            <w:vAlign w:val="center"/>
          </w:tcPr>
          <w:p w:rsidR="00F743B4" w:rsidRDefault="007F6C6C">
            <w:pPr>
              <w:spacing w:line="480" w:lineRule="atLeast"/>
              <w:rPr>
                <w:bCs/>
                <w:iCs/>
                <w:color w:val="000000"/>
                <w:sz w:val="24"/>
              </w:rPr>
            </w:pPr>
            <w:r>
              <w:rPr>
                <w:bCs/>
                <w:iCs/>
                <w:color w:val="000000"/>
                <w:sz w:val="24"/>
              </w:rPr>
              <w:t>董事会秘书林卫</w:t>
            </w:r>
          </w:p>
        </w:tc>
      </w:tr>
      <w:bookmarkEnd w:id="0"/>
      <w:tr w:rsidR="00F743B4">
        <w:trPr>
          <w:jc w:val="center"/>
        </w:trPr>
        <w:tc>
          <w:tcPr>
            <w:tcW w:w="878" w:type="pct"/>
            <w:shd w:val="clear" w:color="auto" w:fill="auto"/>
            <w:vAlign w:val="center"/>
          </w:tcPr>
          <w:p w:rsidR="00F743B4" w:rsidRDefault="007F6C6C">
            <w:pPr>
              <w:spacing w:line="480" w:lineRule="atLeast"/>
              <w:rPr>
                <w:rFonts w:eastAsiaTheme="minorEastAsia"/>
                <w:b/>
                <w:bCs/>
                <w:iCs/>
                <w:color w:val="000000"/>
                <w:sz w:val="24"/>
              </w:rPr>
            </w:pPr>
            <w:r>
              <w:rPr>
                <w:rFonts w:eastAsiaTheme="minorEastAsia"/>
                <w:b/>
                <w:bCs/>
                <w:iCs/>
                <w:color w:val="000000"/>
                <w:sz w:val="24"/>
              </w:rPr>
              <w:t>主要内容</w:t>
            </w:r>
          </w:p>
          <w:p w:rsidR="00F743B4" w:rsidRDefault="007F6C6C">
            <w:pPr>
              <w:spacing w:line="480" w:lineRule="atLeast"/>
              <w:rPr>
                <w:rFonts w:eastAsiaTheme="minorEastAsia"/>
                <w:b/>
                <w:bCs/>
                <w:iCs/>
                <w:color w:val="000000"/>
                <w:sz w:val="24"/>
              </w:rPr>
            </w:pPr>
            <w:r>
              <w:rPr>
                <w:rFonts w:eastAsiaTheme="minorEastAsia"/>
                <w:b/>
                <w:bCs/>
                <w:iCs/>
                <w:color w:val="000000"/>
                <w:sz w:val="24"/>
              </w:rPr>
              <w:t>介绍</w:t>
            </w:r>
          </w:p>
        </w:tc>
        <w:tc>
          <w:tcPr>
            <w:tcW w:w="4121" w:type="pct"/>
            <w:shd w:val="clear" w:color="auto" w:fill="auto"/>
            <w:vAlign w:val="center"/>
          </w:tcPr>
          <w:p w:rsidR="00F743B4" w:rsidRPr="008E5F15" w:rsidRDefault="007F6C6C" w:rsidP="00B2200D">
            <w:pPr>
              <w:spacing w:beforeLines="40" w:before="124" w:afterLines="40" w:after="124"/>
              <w:ind w:firstLine="420"/>
              <w:rPr>
                <w:rFonts w:ascii="宋体" w:hAnsi="宋体" w:cs="宋体"/>
                <w:b/>
                <w:bCs/>
                <w:sz w:val="24"/>
              </w:rPr>
            </w:pPr>
            <w:r w:rsidRPr="008E5F15">
              <w:rPr>
                <w:rFonts w:ascii="宋体" w:hAnsi="宋体" w:cs="宋体" w:hint="eastAsia"/>
                <w:b/>
                <w:bCs/>
                <w:sz w:val="24"/>
              </w:rPr>
              <w:t>Q：去年四季度，海外、国内的流通及终端环节都有囤货的行为；今年是否也会有？</w:t>
            </w:r>
          </w:p>
          <w:p w:rsidR="00F743B4" w:rsidRPr="008E5F15" w:rsidRDefault="007F6C6C" w:rsidP="00B2200D">
            <w:pPr>
              <w:spacing w:beforeLines="40" w:before="124" w:afterLines="40" w:after="124"/>
              <w:ind w:firstLine="420"/>
              <w:rPr>
                <w:rFonts w:ascii="宋体" w:hAnsi="宋体" w:cs="宋体"/>
                <w:sz w:val="24"/>
              </w:rPr>
            </w:pPr>
            <w:r w:rsidRPr="008E5F15">
              <w:rPr>
                <w:rFonts w:ascii="宋体" w:hAnsi="宋体" w:cs="宋体" w:hint="eastAsia"/>
                <w:sz w:val="24"/>
              </w:rPr>
              <w:t>A：去年四季度，基于配额的争夺、产品处于低价等特殊原因，生产厂家、流通、终端环节，都有超出常规的囤库存；今年来说，配额基线期已结束，生产厂家会基于保障正常的生产、发货而</w:t>
            </w:r>
            <w:proofErr w:type="gramStart"/>
            <w:r w:rsidRPr="008E5F15">
              <w:rPr>
                <w:rFonts w:ascii="宋体" w:hAnsi="宋体" w:cs="宋体" w:hint="eastAsia"/>
                <w:sz w:val="24"/>
              </w:rPr>
              <w:t>备安全</w:t>
            </w:r>
            <w:proofErr w:type="gramEnd"/>
            <w:r w:rsidRPr="008E5F15">
              <w:rPr>
                <w:rFonts w:ascii="宋体" w:hAnsi="宋体" w:cs="宋体" w:hint="eastAsia"/>
                <w:sz w:val="24"/>
              </w:rPr>
              <w:t>库存，流通和终端环节也更多属于是正常的备货、补库行为。</w:t>
            </w:r>
          </w:p>
          <w:p w:rsidR="00F743B4" w:rsidRPr="008E5F15" w:rsidRDefault="007F6C6C" w:rsidP="00B2200D">
            <w:pPr>
              <w:widowControl/>
              <w:adjustRightInd w:val="0"/>
              <w:snapToGrid w:val="0"/>
              <w:spacing w:beforeLines="40" w:before="124" w:afterLines="40" w:after="124"/>
              <w:ind w:firstLine="420"/>
              <w:rPr>
                <w:rFonts w:asciiTheme="minorEastAsia" w:eastAsiaTheme="minorEastAsia" w:hAnsiTheme="minorEastAsia" w:cstheme="minorEastAsia"/>
                <w:b/>
                <w:bCs/>
                <w:sz w:val="24"/>
              </w:rPr>
            </w:pPr>
            <w:r w:rsidRPr="008E5F15">
              <w:rPr>
                <w:rFonts w:asciiTheme="minorEastAsia" w:eastAsiaTheme="minorEastAsia" w:hAnsiTheme="minorEastAsia" w:cstheme="minorEastAsia" w:hint="eastAsia"/>
                <w:b/>
                <w:bCs/>
                <w:sz w:val="24"/>
              </w:rPr>
              <w:t>Q：生产企业的正常库存是多少？</w:t>
            </w:r>
          </w:p>
          <w:p w:rsidR="00F743B4" w:rsidRPr="008E5F15" w:rsidRDefault="007F6C6C" w:rsidP="00B2200D">
            <w:pPr>
              <w:adjustRightInd w:val="0"/>
              <w:snapToGrid w:val="0"/>
              <w:spacing w:beforeLines="40" w:before="124" w:afterLines="40" w:after="124"/>
              <w:ind w:firstLine="420"/>
              <w:rPr>
                <w:rFonts w:ascii="宋体" w:hAnsi="宋体" w:cs="宋体"/>
                <w:sz w:val="24"/>
              </w:rPr>
            </w:pPr>
            <w:r w:rsidRPr="008E5F15">
              <w:rPr>
                <w:rFonts w:ascii="宋体" w:hAnsi="宋体" w:cs="宋体" w:hint="eastAsia"/>
                <w:sz w:val="24"/>
              </w:rPr>
              <w:t>A：为保障连续化生产、正常供货等，生产企业会维持40-50%库位的安全库存，约占全年产量的10%。</w:t>
            </w:r>
          </w:p>
          <w:p w:rsidR="00F743B4" w:rsidRPr="008E5F15" w:rsidRDefault="007F6C6C" w:rsidP="00B2200D">
            <w:pPr>
              <w:adjustRightInd w:val="0"/>
              <w:snapToGrid w:val="0"/>
              <w:spacing w:beforeLines="40" w:before="124" w:afterLines="40" w:after="124"/>
              <w:ind w:firstLine="420"/>
              <w:rPr>
                <w:rFonts w:ascii="宋体" w:hAnsi="宋体" w:cs="宋体"/>
                <w:b/>
                <w:bCs/>
                <w:sz w:val="24"/>
              </w:rPr>
            </w:pPr>
            <w:r w:rsidRPr="008E5F15">
              <w:rPr>
                <w:rFonts w:ascii="宋体" w:hAnsi="宋体" w:cs="宋体" w:hint="eastAsia"/>
                <w:b/>
                <w:bCs/>
                <w:sz w:val="24"/>
              </w:rPr>
              <w:t>Q：如何看待未来三代制冷剂的竞争格局？</w:t>
            </w:r>
          </w:p>
          <w:p w:rsidR="00F743B4" w:rsidRPr="008E5F15" w:rsidRDefault="007F6C6C" w:rsidP="00B2200D">
            <w:pPr>
              <w:adjustRightInd w:val="0"/>
              <w:snapToGrid w:val="0"/>
              <w:spacing w:beforeLines="40" w:before="124" w:afterLines="40" w:after="124"/>
              <w:ind w:firstLine="420"/>
              <w:rPr>
                <w:rFonts w:ascii="宋体" w:hAnsi="宋体" w:cs="宋体"/>
                <w:sz w:val="24"/>
              </w:rPr>
            </w:pPr>
            <w:r w:rsidRPr="008E5F15">
              <w:rPr>
                <w:rFonts w:ascii="宋体" w:hAnsi="宋体" w:cs="宋体" w:hint="eastAsia"/>
                <w:sz w:val="24"/>
              </w:rPr>
              <w:t>A：三代制冷剂的配额政策已正式发布，整体的竞争格局基本确定。分产品来看，我们认为HFC-134的集中度高、竞争格局要优于其他产品。</w:t>
            </w:r>
          </w:p>
          <w:p w:rsidR="00F743B4" w:rsidRPr="008E5F15" w:rsidRDefault="007F6C6C" w:rsidP="00B2200D">
            <w:pPr>
              <w:adjustRightInd w:val="0"/>
              <w:snapToGrid w:val="0"/>
              <w:spacing w:beforeLines="40" w:before="124" w:afterLines="40" w:after="124"/>
              <w:ind w:firstLine="420"/>
              <w:rPr>
                <w:rFonts w:ascii="宋体" w:hAnsi="宋体" w:cs="宋体"/>
                <w:b/>
                <w:bCs/>
                <w:sz w:val="24"/>
              </w:rPr>
            </w:pPr>
            <w:r w:rsidRPr="008E5F15">
              <w:rPr>
                <w:rFonts w:ascii="宋体" w:hAnsi="宋体" w:cs="宋体" w:hint="eastAsia"/>
                <w:b/>
                <w:bCs/>
                <w:sz w:val="24"/>
              </w:rPr>
              <w:t>Q：三代制冷剂的削减进度</w:t>
            </w:r>
          </w:p>
          <w:p w:rsidR="00F743B4" w:rsidRPr="008E5F15" w:rsidRDefault="007F6C6C" w:rsidP="00B2200D">
            <w:pPr>
              <w:adjustRightInd w:val="0"/>
              <w:snapToGrid w:val="0"/>
              <w:spacing w:beforeLines="40" w:before="124" w:afterLines="40" w:after="124"/>
              <w:ind w:firstLine="420"/>
              <w:rPr>
                <w:rFonts w:ascii="宋体" w:hAnsi="宋体" w:cs="宋体"/>
                <w:sz w:val="24"/>
              </w:rPr>
            </w:pPr>
            <w:r w:rsidRPr="008E5F15">
              <w:rPr>
                <w:rFonts w:ascii="宋体" w:hAnsi="宋体" w:cs="宋体" w:hint="eastAsia"/>
                <w:sz w:val="24"/>
              </w:rPr>
              <w:t>A：2021年9月15日，《&lt;关于消耗臭氧层物质的蒙特利尔议定书&gt;基加利修正案》对中国正式生效。根据基加利修正案约定，HFCs削减时间表如下：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44"/>
              <w:gridCol w:w="1545"/>
              <w:gridCol w:w="1543"/>
              <w:gridCol w:w="1544"/>
            </w:tblGrid>
            <w:tr w:rsidR="00F743B4">
              <w:trPr>
                <w:trHeight w:val="20"/>
              </w:trPr>
              <w:tc>
                <w:tcPr>
                  <w:tcW w:w="632" w:type="pct"/>
                  <w:vMerge w:val="restar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b/>
                      <w:color w:val="000000"/>
                      <w:szCs w:val="21"/>
                    </w:rPr>
                  </w:pPr>
                  <w:r>
                    <w:rPr>
                      <w:rFonts w:ascii="宋体" w:hAnsi="宋体" w:cs="宋体" w:hint="eastAsia"/>
                      <w:b/>
                      <w:color w:val="000000"/>
                      <w:szCs w:val="21"/>
                    </w:rPr>
                    <w:t>进度</w:t>
                  </w:r>
                </w:p>
              </w:tc>
              <w:tc>
                <w:tcPr>
                  <w:tcW w:w="2183" w:type="pct"/>
                  <w:gridSpan w:val="2"/>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b/>
                      <w:color w:val="000000"/>
                      <w:szCs w:val="21"/>
                    </w:rPr>
                  </w:pPr>
                  <w:r>
                    <w:rPr>
                      <w:rFonts w:ascii="宋体" w:hAnsi="宋体" w:cs="宋体" w:hint="eastAsia"/>
                      <w:b/>
                      <w:color w:val="000000"/>
                      <w:szCs w:val="21"/>
                    </w:rPr>
                    <w:t>第2条款国</w:t>
                  </w:r>
                </w:p>
              </w:tc>
              <w:tc>
                <w:tcPr>
                  <w:tcW w:w="2183" w:type="pct"/>
                  <w:gridSpan w:val="2"/>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b/>
                      <w:color w:val="000000"/>
                      <w:szCs w:val="21"/>
                    </w:rPr>
                  </w:pPr>
                  <w:r>
                    <w:rPr>
                      <w:rFonts w:ascii="宋体" w:hAnsi="宋体" w:cs="宋体" w:hint="eastAsia"/>
                      <w:b/>
                      <w:color w:val="000000"/>
                      <w:szCs w:val="21"/>
                    </w:rPr>
                    <w:t>第5条款国</w:t>
                  </w:r>
                </w:p>
              </w:tc>
            </w:tr>
            <w:tr w:rsidR="00F743B4">
              <w:trPr>
                <w:trHeight w:val="20"/>
              </w:trPr>
              <w:tc>
                <w:tcPr>
                  <w:tcW w:w="632" w:type="pct"/>
                  <w:vMerge/>
                  <w:tcBorders>
                    <w:top w:val="single" w:sz="4" w:space="0" w:color="auto"/>
                    <w:left w:val="single" w:sz="4" w:space="0" w:color="auto"/>
                    <w:bottom w:val="single" w:sz="4" w:space="0" w:color="auto"/>
                    <w:right w:val="single" w:sz="4" w:space="0" w:color="auto"/>
                  </w:tcBorders>
                  <w:vAlign w:val="center"/>
                </w:tcPr>
                <w:p w:rsidR="00F743B4" w:rsidRDefault="00F743B4">
                  <w:pPr>
                    <w:adjustRightInd w:val="0"/>
                    <w:snapToGrid w:val="0"/>
                    <w:rPr>
                      <w:rFonts w:ascii="宋体" w:hAnsi="宋体" w:cs="宋体"/>
                      <w:b/>
                      <w:color w:val="000000"/>
                      <w:szCs w:val="21"/>
                    </w:rPr>
                  </w:pP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b/>
                      <w:color w:val="000000"/>
                      <w:szCs w:val="21"/>
                    </w:rPr>
                  </w:pPr>
                  <w:r>
                    <w:rPr>
                      <w:rFonts w:ascii="宋体" w:hAnsi="宋体" w:cs="宋体" w:hint="eastAsia"/>
                      <w:b/>
                      <w:color w:val="000000"/>
                      <w:szCs w:val="21"/>
                    </w:rPr>
                    <w:t>大部分发达国家</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b/>
                      <w:color w:val="000000"/>
                      <w:szCs w:val="21"/>
                    </w:rPr>
                  </w:pPr>
                  <w:r>
                    <w:rPr>
                      <w:rFonts w:ascii="宋体" w:hAnsi="宋体" w:cs="宋体" w:hint="eastAsia"/>
                      <w:b/>
                      <w:color w:val="000000"/>
                      <w:szCs w:val="21"/>
                    </w:rPr>
                    <w:t>俄罗斯、白俄罗斯、哈萨克斯坦、塔吉克斯坦、乌兹别</w:t>
                  </w:r>
                  <w:r>
                    <w:rPr>
                      <w:rFonts w:ascii="宋体" w:hAnsi="宋体" w:cs="宋体" w:hint="eastAsia"/>
                      <w:b/>
                      <w:color w:val="000000"/>
                      <w:szCs w:val="21"/>
                    </w:rPr>
                    <w:lastRenderedPageBreak/>
                    <w:t>克斯坦</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b/>
                      <w:color w:val="000000"/>
                      <w:szCs w:val="21"/>
                    </w:rPr>
                  </w:pPr>
                  <w:r>
                    <w:rPr>
                      <w:rFonts w:ascii="宋体" w:hAnsi="宋体" w:cs="宋体" w:hint="eastAsia"/>
                      <w:b/>
                      <w:color w:val="000000"/>
                      <w:szCs w:val="21"/>
                    </w:rPr>
                    <w:lastRenderedPageBreak/>
                    <w:t>大部分发展中国家（含中国）</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b/>
                      <w:color w:val="000000"/>
                      <w:szCs w:val="21"/>
                    </w:rPr>
                  </w:pPr>
                  <w:r>
                    <w:rPr>
                      <w:rFonts w:ascii="宋体" w:hAnsi="宋体" w:cs="宋体" w:hint="eastAsia"/>
                      <w:b/>
                      <w:color w:val="000000"/>
                      <w:szCs w:val="21"/>
                    </w:rPr>
                    <w:t>印度、沙特阿拉伯、巴基斯坦、科威特、巴林、伊朗、</w:t>
                  </w:r>
                  <w:r>
                    <w:rPr>
                      <w:rFonts w:ascii="宋体" w:hAnsi="宋体" w:cs="宋体" w:hint="eastAsia"/>
                      <w:b/>
                      <w:color w:val="000000"/>
                      <w:szCs w:val="21"/>
                    </w:rPr>
                    <w:lastRenderedPageBreak/>
                    <w:t>伊拉克、阿曼、卡塔尔、阿联酋</w:t>
                  </w:r>
                </w:p>
              </w:tc>
            </w:tr>
            <w:tr w:rsidR="00F743B4">
              <w:trPr>
                <w:trHeight w:val="20"/>
              </w:trPr>
              <w:tc>
                <w:tcPr>
                  <w:tcW w:w="632"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lastRenderedPageBreak/>
                    <w:t>基线值</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rPr>
                      <w:rFonts w:ascii="宋体" w:hAnsi="宋体" w:cs="宋体"/>
                      <w:color w:val="000000"/>
                      <w:szCs w:val="21"/>
                    </w:rPr>
                  </w:pPr>
                  <w:r>
                    <w:rPr>
                      <w:rFonts w:ascii="宋体" w:hAnsi="宋体" w:cs="宋体" w:hint="eastAsia"/>
                      <w:color w:val="000000"/>
                      <w:szCs w:val="21"/>
                    </w:rPr>
                    <w:t>2011-2013年</w:t>
                  </w:r>
                  <w:r>
                    <w:rPr>
                      <w:rFonts w:ascii="宋体" w:hAnsi="宋体" w:cs="宋体" w:hint="eastAsia"/>
                      <w:szCs w:val="21"/>
                    </w:rPr>
                    <w:t>HFCs</w:t>
                  </w:r>
                  <w:r>
                    <w:rPr>
                      <w:rFonts w:ascii="宋体" w:hAnsi="宋体" w:cs="宋体" w:hint="eastAsia"/>
                      <w:color w:val="000000"/>
                      <w:szCs w:val="21"/>
                    </w:rPr>
                    <w:t>平均值+</w:t>
                  </w:r>
                  <w:r>
                    <w:rPr>
                      <w:rFonts w:ascii="宋体" w:hAnsi="宋体" w:cs="宋体" w:hint="eastAsia"/>
                      <w:szCs w:val="21"/>
                    </w:rPr>
                    <w:t>HCFCs</w:t>
                  </w:r>
                  <w:r>
                    <w:rPr>
                      <w:rFonts w:ascii="宋体" w:hAnsi="宋体" w:cs="宋体" w:hint="eastAsia"/>
                      <w:color w:val="000000"/>
                      <w:szCs w:val="21"/>
                    </w:rPr>
                    <w:t>基线值的15%</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rPr>
                      <w:rFonts w:ascii="宋体" w:hAnsi="宋体" w:cs="宋体"/>
                      <w:color w:val="000000"/>
                      <w:szCs w:val="21"/>
                    </w:rPr>
                  </w:pPr>
                  <w:r>
                    <w:rPr>
                      <w:rFonts w:ascii="宋体" w:hAnsi="宋体" w:cs="宋体" w:hint="eastAsia"/>
                      <w:color w:val="000000"/>
                      <w:szCs w:val="21"/>
                    </w:rPr>
                    <w:t>2011-2013年</w:t>
                  </w:r>
                  <w:r>
                    <w:rPr>
                      <w:rFonts w:ascii="宋体" w:hAnsi="宋体" w:cs="宋体" w:hint="eastAsia"/>
                      <w:szCs w:val="21"/>
                    </w:rPr>
                    <w:t>HFCs</w:t>
                  </w:r>
                  <w:r>
                    <w:rPr>
                      <w:rFonts w:ascii="宋体" w:hAnsi="宋体" w:cs="宋体" w:hint="eastAsia"/>
                      <w:color w:val="000000"/>
                      <w:szCs w:val="21"/>
                    </w:rPr>
                    <w:t>平均值+</w:t>
                  </w:r>
                  <w:r>
                    <w:rPr>
                      <w:rFonts w:ascii="宋体" w:hAnsi="宋体" w:cs="宋体" w:hint="eastAsia"/>
                      <w:szCs w:val="21"/>
                    </w:rPr>
                    <w:t>HCFCs</w:t>
                  </w:r>
                  <w:r>
                    <w:rPr>
                      <w:rFonts w:ascii="宋体" w:hAnsi="宋体" w:cs="宋体" w:hint="eastAsia"/>
                      <w:color w:val="000000"/>
                      <w:szCs w:val="21"/>
                    </w:rPr>
                    <w:t>基线值的25%</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rPr>
                      <w:rFonts w:ascii="宋体" w:hAnsi="宋体" w:cs="宋体"/>
                      <w:color w:val="000000"/>
                      <w:szCs w:val="21"/>
                    </w:rPr>
                  </w:pPr>
                  <w:r>
                    <w:rPr>
                      <w:rFonts w:ascii="宋体" w:hAnsi="宋体" w:cs="宋体" w:hint="eastAsia"/>
                      <w:color w:val="000000"/>
                      <w:szCs w:val="21"/>
                    </w:rPr>
                    <w:t>2020-2022年</w:t>
                  </w:r>
                  <w:r>
                    <w:rPr>
                      <w:rFonts w:ascii="宋体" w:hAnsi="宋体" w:cs="宋体" w:hint="eastAsia"/>
                      <w:szCs w:val="21"/>
                    </w:rPr>
                    <w:t>HFCs</w:t>
                  </w:r>
                  <w:r>
                    <w:rPr>
                      <w:rFonts w:ascii="宋体" w:hAnsi="宋体" w:cs="宋体" w:hint="eastAsia"/>
                      <w:color w:val="000000"/>
                      <w:szCs w:val="21"/>
                    </w:rPr>
                    <w:t>平均值+</w:t>
                  </w:r>
                  <w:r>
                    <w:rPr>
                      <w:rFonts w:ascii="宋体" w:hAnsi="宋体" w:cs="宋体" w:hint="eastAsia"/>
                      <w:szCs w:val="21"/>
                    </w:rPr>
                    <w:t>HCFCs</w:t>
                  </w:r>
                  <w:r>
                    <w:rPr>
                      <w:rFonts w:ascii="宋体" w:hAnsi="宋体" w:cs="宋体" w:hint="eastAsia"/>
                      <w:color w:val="000000"/>
                      <w:szCs w:val="21"/>
                    </w:rPr>
                    <w:t>基线值的65%</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rPr>
                      <w:rFonts w:ascii="宋体" w:hAnsi="宋体" w:cs="宋体"/>
                      <w:color w:val="000000"/>
                      <w:szCs w:val="21"/>
                    </w:rPr>
                  </w:pPr>
                  <w:r>
                    <w:rPr>
                      <w:rFonts w:ascii="宋体" w:hAnsi="宋体" w:cs="宋体" w:hint="eastAsia"/>
                      <w:color w:val="000000"/>
                      <w:szCs w:val="21"/>
                    </w:rPr>
                    <w:t>2024-2026年</w:t>
                  </w:r>
                  <w:r>
                    <w:rPr>
                      <w:rFonts w:ascii="宋体" w:hAnsi="宋体" w:cs="宋体" w:hint="eastAsia"/>
                      <w:szCs w:val="21"/>
                    </w:rPr>
                    <w:t>HFCs</w:t>
                  </w:r>
                  <w:r>
                    <w:rPr>
                      <w:rFonts w:ascii="宋体" w:hAnsi="宋体" w:cs="宋体" w:hint="eastAsia"/>
                      <w:color w:val="000000"/>
                      <w:szCs w:val="21"/>
                    </w:rPr>
                    <w:t>平均值+</w:t>
                  </w:r>
                  <w:r>
                    <w:rPr>
                      <w:rFonts w:ascii="宋体" w:hAnsi="宋体" w:cs="宋体" w:hint="eastAsia"/>
                      <w:szCs w:val="21"/>
                    </w:rPr>
                    <w:t>HCFCs</w:t>
                  </w:r>
                  <w:r>
                    <w:rPr>
                      <w:rFonts w:ascii="宋体" w:hAnsi="宋体" w:cs="宋体" w:hint="eastAsia"/>
                      <w:color w:val="000000"/>
                      <w:szCs w:val="21"/>
                    </w:rPr>
                    <w:t>基线值的65%</w:t>
                  </w:r>
                </w:p>
              </w:tc>
            </w:tr>
            <w:tr w:rsidR="00F743B4">
              <w:trPr>
                <w:trHeight w:val="20"/>
              </w:trPr>
              <w:tc>
                <w:tcPr>
                  <w:tcW w:w="632"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冻结</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2024年</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2028年</w:t>
                  </w:r>
                </w:p>
              </w:tc>
            </w:tr>
            <w:tr w:rsidR="00F743B4">
              <w:trPr>
                <w:trHeight w:val="20"/>
              </w:trPr>
              <w:tc>
                <w:tcPr>
                  <w:tcW w:w="632" w:type="pct"/>
                  <w:vMerge w:val="restar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削减</w:t>
                  </w:r>
                </w:p>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进度</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2019年削减10%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2020年削减5%</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2029年削减10%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2032年削减10%</w:t>
                  </w:r>
                </w:p>
              </w:tc>
            </w:tr>
            <w:tr w:rsidR="00F743B4">
              <w:trPr>
                <w:trHeight w:val="20"/>
              </w:trPr>
              <w:tc>
                <w:tcPr>
                  <w:tcW w:w="632" w:type="pct"/>
                  <w:vMerge/>
                  <w:tcBorders>
                    <w:top w:val="single" w:sz="4" w:space="0" w:color="auto"/>
                    <w:left w:val="single" w:sz="4" w:space="0" w:color="auto"/>
                    <w:bottom w:val="single" w:sz="4" w:space="0" w:color="auto"/>
                    <w:right w:val="single" w:sz="4" w:space="0" w:color="auto"/>
                  </w:tcBorders>
                  <w:vAlign w:val="center"/>
                </w:tcPr>
                <w:p w:rsidR="00F743B4" w:rsidRDefault="00F743B4">
                  <w:pPr>
                    <w:adjustRightInd w:val="0"/>
                    <w:snapToGrid w:val="0"/>
                    <w:rPr>
                      <w:rFonts w:ascii="宋体" w:hAnsi="宋体" w:cs="宋体"/>
                      <w:color w:val="000000"/>
                      <w:szCs w:val="21"/>
                    </w:rPr>
                  </w:pP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2024年削减40%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2025年削减35%</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2035年削减30%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2037年削减20%</w:t>
                  </w:r>
                </w:p>
              </w:tc>
            </w:tr>
            <w:tr w:rsidR="00F743B4">
              <w:trPr>
                <w:trHeight w:val="20"/>
              </w:trPr>
              <w:tc>
                <w:tcPr>
                  <w:tcW w:w="632" w:type="pct"/>
                  <w:vMerge/>
                  <w:tcBorders>
                    <w:top w:val="single" w:sz="4" w:space="0" w:color="auto"/>
                    <w:left w:val="single" w:sz="4" w:space="0" w:color="auto"/>
                    <w:bottom w:val="single" w:sz="4" w:space="0" w:color="auto"/>
                    <w:right w:val="single" w:sz="4" w:space="0" w:color="auto"/>
                  </w:tcBorders>
                  <w:vAlign w:val="center"/>
                </w:tcPr>
                <w:p w:rsidR="00F743B4" w:rsidRDefault="00F743B4">
                  <w:pPr>
                    <w:adjustRightInd w:val="0"/>
                    <w:snapToGrid w:val="0"/>
                    <w:rPr>
                      <w:rFonts w:ascii="宋体" w:hAnsi="宋体" w:cs="宋体"/>
                      <w:color w:val="000000"/>
                      <w:szCs w:val="21"/>
                    </w:rPr>
                  </w:pP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2029年削减70%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2029年削减70%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2040年削减50%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2042年削减30%</w:t>
                  </w:r>
                </w:p>
              </w:tc>
            </w:tr>
            <w:tr w:rsidR="00F743B4">
              <w:trPr>
                <w:trHeight w:val="20"/>
              </w:trPr>
              <w:tc>
                <w:tcPr>
                  <w:tcW w:w="632" w:type="pct"/>
                  <w:vMerge/>
                  <w:tcBorders>
                    <w:top w:val="single" w:sz="4" w:space="0" w:color="auto"/>
                    <w:left w:val="single" w:sz="4" w:space="0" w:color="auto"/>
                    <w:bottom w:val="single" w:sz="4" w:space="0" w:color="auto"/>
                    <w:right w:val="single" w:sz="4" w:space="0" w:color="auto"/>
                  </w:tcBorders>
                  <w:vAlign w:val="center"/>
                </w:tcPr>
                <w:p w:rsidR="00F743B4" w:rsidRDefault="00F743B4">
                  <w:pPr>
                    <w:adjustRightInd w:val="0"/>
                    <w:snapToGrid w:val="0"/>
                    <w:rPr>
                      <w:rFonts w:ascii="宋体" w:hAnsi="宋体" w:cs="宋体"/>
                      <w:color w:val="000000"/>
                      <w:szCs w:val="21"/>
                    </w:rPr>
                  </w:pP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2034年削减80%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2034年削减80%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2045年削减80%</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2047年削减85%</w:t>
                  </w:r>
                </w:p>
              </w:tc>
            </w:tr>
            <w:tr w:rsidR="00F743B4">
              <w:trPr>
                <w:trHeight w:val="20"/>
              </w:trPr>
              <w:tc>
                <w:tcPr>
                  <w:tcW w:w="632" w:type="pct"/>
                  <w:vMerge/>
                  <w:tcBorders>
                    <w:top w:val="single" w:sz="4" w:space="0" w:color="auto"/>
                    <w:left w:val="single" w:sz="4" w:space="0" w:color="auto"/>
                    <w:bottom w:val="single" w:sz="4" w:space="0" w:color="auto"/>
                    <w:right w:val="single" w:sz="4" w:space="0" w:color="auto"/>
                  </w:tcBorders>
                  <w:vAlign w:val="center"/>
                </w:tcPr>
                <w:p w:rsidR="00F743B4" w:rsidRDefault="00F743B4">
                  <w:pPr>
                    <w:adjustRightInd w:val="0"/>
                    <w:snapToGrid w:val="0"/>
                    <w:rPr>
                      <w:rFonts w:ascii="宋体" w:hAnsi="宋体" w:cs="宋体"/>
                      <w:color w:val="000000"/>
                      <w:szCs w:val="21"/>
                    </w:rPr>
                  </w:pP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2036年削减85%</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2036年削减85%</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1091" w:type="pct"/>
                  <w:tcBorders>
                    <w:top w:val="single" w:sz="4" w:space="0" w:color="auto"/>
                    <w:left w:val="single" w:sz="4" w:space="0" w:color="auto"/>
                    <w:bottom w:val="single" w:sz="4" w:space="0" w:color="auto"/>
                    <w:right w:val="single" w:sz="4" w:space="0" w:color="auto"/>
                  </w:tcBorders>
                  <w:vAlign w:val="center"/>
                </w:tcPr>
                <w:p w:rsidR="00F743B4" w:rsidRDefault="007F6C6C">
                  <w:pPr>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w:t>
                  </w:r>
                </w:p>
              </w:tc>
            </w:tr>
          </w:tbl>
          <w:p w:rsidR="00F743B4" w:rsidRDefault="007F6C6C">
            <w:pPr>
              <w:spacing w:before="157" w:after="157"/>
              <w:ind w:firstLine="420"/>
              <w:rPr>
                <w:rFonts w:ascii="宋体" w:hAnsi="宋体" w:cs="宋体"/>
                <w:b/>
                <w:bCs/>
                <w:sz w:val="24"/>
              </w:rPr>
            </w:pPr>
            <w:r>
              <w:rPr>
                <w:rFonts w:ascii="宋体" w:hAnsi="宋体" w:cs="宋体" w:hint="eastAsia"/>
                <w:b/>
                <w:bCs/>
                <w:sz w:val="24"/>
              </w:rPr>
              <w:t>Q：根据《基加利修正案》中关于HFCs削减进度的约定，大部分发达国家将于2024年削减40%，预计将会对明年制冷剂的市场行情有何影响？</w:t>
            </w:r>
          </w:p>
          <w:p w:rsidR="00F743B4" w:rsidRDefault="007F6C6C" w:rsidP="000944E1">
            <w:pPr>
              <w:spacing w:beforeLines="40" w:before="124" w:afterLines="40" w:after="124"/>
              <w:ind w:firstLine="420"/>
              <w:rPr>
                <w:rFonts w:ascii="宋体" w:hAnsi="宋体" w:cs="宋体"/>
                <w:sz w:val="24"/>
              </w:rPr>
            </w:pPr>
            <w:r>
              <w:rPr>
                <w:rFonts w:ascii="宋体" w:hAnsi="宋体" w:cs="宋体" w:hint="eastAsia"/>
                <w:sz w:val="24"/>
              </w:rPr>
              <w:t>A：大部分发达国家2019年削减10%、2024年削减40%，但削减是逐步推进的过程，2020年以来，各个</w:t>
            </w:r>
            <w:proofErr w:type="gramStart"/>
            <w:r>
              <w:rPr>
                <w:rFonts w:ascii="宋体" w:hAnsi="宋体" w:cs="宋体" w:hint="eastAsia"/>
                <w:sz w:val="24"/>
              </w:rPr>
              <w:t>履约国</w:t>
            </w:r>
            <w:proofErr w:type="gramEnd"/>
            <w:r>
              <w:rPr>
                <w:rFonts w:ascii="宋体" w:hAnsi="宋体" w:cs="宋体" w:hint="eastAsia"/>
                <w:sz w:val="24"/>
              </w:rPr>
              <w:t>每年应该都有相关的削减安排，而不是在2024年一步到位地削减40%。因此，从量的变化上来说，对明年影响是温和的。另外，虽然配额削减了，但制冷剂的市场需求量是相对稳定的；那么，可能会发生由高GWP</w:t>
            </w:r>
            <w:proofErr w:type="gramStart"/>
            <w:r>
              <w:rPr>
                <w:rFonts w:ascii="宋体" w:hAnsi="宋体" w:cs="宋体" w:hint="eastAsia"/>
                <w:sz w:val="24"/>
              </w:rPr>
              <w:t>值产品</w:t>
            </w:r>
            <w:proofErr w:type="gramEnd"/>
            <w:r>
              <w:rPr>
                <w:rFonts w:ascii="宋体" w:hAnsi="宋体" w:cs="宋体" w:hint="eastAsia"/>
                <w:sz w:val="24"/>
              </w:rPr>
              <w:t>向低</w:t>
            </w:r>
            <w:r>
              <w:rPr>
                <w:rFonts w:ascii="宋体" w:hAnsi="宋体" w:cs="宋体"/>
                <w:sz w:val="24"/>
              </w:rPr>
              <w:t>GWP</w:t>
            </w:r>
            <w:proofErr w:type="gramStart"/>
            <w:r>
              <w:rPr>
                <w:rFonts w:ascii="宋体" w:hAnsi="宋体" w:cs="宋体" w:hint="eastAsia"/>
                <w:sz w:val="24"/>
              </w:rPr>
              <w:t>值产品</w:t>
            </w:r>
            <w:proofErr w:type="gramEnd"/>
            <w:r>
              <w:rPr>
                <w:rFonts w:ascii="宋体" w:hAnsi="宋体" w:cs="宋体" w:hint="eastAsia"/>
                <w:sz w:val="24"/>
              </w:rPr>
              <w:t>转变的情形。</w:t>
            </w:r>
          </w:p>
          <w:p w:rsidR="00F743B4" w:rsidRDefault="007F6C6C" w:rsidP="000944E1">
            <w:pPr>
              <w:spacing w:beforeLines="40" w:before="124" w:afterLines="40" w:after="124"/>
              <w:ind w:firstLine="420"/>
              <w:rPr>
                <w:rFonts w:ascii="宋体" w:hAnsi="宋体" w:cs="宋体"/>
                <w:b/>
                <w:bCs/>
                <w:sz w:val="24"/>
              </w:rPr>
            </w:pPr>
            <w:r>
              <w:rPr>
                <w:rFonts w:ascii="宋体" w:hAnsi="宋体" w:cs="宋体" w:hint="eastAsia"/>
                <w:b/>
                <w:bCs/>
                <w:sz w:val="24"/>
              </w:rPr>
              <w:t>Q：2024年度HFCs配额方案有关内容</w:t>
            </w:r>
          </w:p>
          <w:p w:rsidR="00F743B4" w:rsidRDefault="007F6C6C" w:rsidP="000944E1">
            <w:pPr>
              <w:adjustRightInd w:val="0"/>
              <w:snapToGrid w:val="0"/>
              <w:spacing w:beforeLines="40" w:before="124" w:afterLines="40" w:after="124"/>
              <w:ind w:firstLineChars="200" w:firstLine="480"/>
              <w:rPr>
                <w:rFonts w:ascii="宋体" w:hAnsi="宋体" w:cs="宋体"/>
                <w:sz w:val="24"/>
              </w:rPr>
            </w:pPr>
            <w:r>
              <w:rPr>
                <w:rFonts w:ascii="宋体" w:hAnsi="宋体" w:cs="宋体" w:hint="eastAsia"/>
                <w:sz w:val="24"/>
              </w:rPr>
              <w:t>A：日前，生态环境部印发的《2024年度氢氟碳化物配额总量设定与分配方案》，与先前的征求意见</w:t>
            </w:r>
            <w:proofErr w:type="gramStart"/>
            <w:r>
              <w:rPr>
                <w:rFonts w:ascii="宋体" w:hAnsi="宋体" w:cs="宋体" w:hint="eastAsia"/>
                <w:sz w:val="24"/>
              </w:rPr>
              <w:t>稿内容</w:t>
            </w:r>
            <w:proofErr w:type="gramEnd"/>
            <w:r>
              <w:rPr>
                <w:rFonts w:ascii="宋体" w:hAnsi="宋体" w:cs="宋体" w:hint="eastAsia"/>
                <w:sz w:val="24"/>
              </w:rPr>
              <w:t>基本保持一致。</w:t>
            </w:r>
          </w:p>
          <w:p w:rsidR="00F743B4" w:rsidRDefault="007F6C6C" w:rsidP="000944E1">
            <w:pPr>
              <w:adjustRightInd w:val="0"/>
              <w:snapToGrid w:val="0"/>
              <w:spacing w:beforeLines="40" w:before="124" w:afterLines="40" w:after="124"/>
              <w:ind w:firstLineChars="200" w:firstLine="480"/>
              <w:rPr>
                <w:rFonts w:ascii="宋体" w:hAnsi="宋体" w:cs="宋体"/>
                <w:sz w:val="24"/>
              </w:rPr>
            </w:pPr>
            <w:r>
              <w:rPr>
                <w:rFonts w:ascii="宋体" w:hAnsi="宋体" w:cs="宋体" w:hint="eastAsia"/>
                <w:sz w:val="24"/>
              </w:rPr>
              <w:t>1、HFCs（不包括 HFC-23）生产配额：以生态环境部组织的基线年HFCs生产核查核定的生产量为基准，确定各生产单位2024年度生产配额，按HFCs品种发放。</w:t>
            </w:r>
          </w:p>
          <w:p w:rsidR="00F743B4" w:rsidRDefault="007F6C6C" w:rsidP="000944E1">
            <w:pPr>
              <w:adjustRightInd w:val="0"/>
              <w:snapToGrid w:val="0"/>
              <w:spacing w:beforeLines="40" w:before="124" w:afterLines="40" w:after="124"/>
              <w:ind w:firstLineChars="200" w:firstLine="480"/>
              <w:rPr>
                <w:rFonts w:ascii="宋体" w:hAnsi="宋体" w:cs="宋体"/>
                <w:sz w:val="24"/>
              </w:rPr>
            </w:pPr>
            <w:r>
              <w:rPr>
                <w:rFonts w:ascii="宋体" w:hAnsi="宋体" w:cs="宋体" w:hint="eastAsia"/>
                <w:sz w:val="24"/>
              </w:rPr>
              <w:t>2、HFCs（不包括 HFC-23）内用生产配额：根据生态环境部组织的基线年 HFCs 生产核查结果，确定基线年各生产单位某品种 HFCs年均生产量占全国该品种</w:t>
            </w:r>
            <w:proofErr w:type="gramStart"/>
            <w:r>
              <w:rPr>
                <w:rFonts w:ascii="宋体" w:hAnsi="宋体" w:cs="宋体" w:hint="eastAsia"/>
                <w:sz w:val="24"/>
              </w:rPr>
              <w:t>年均总</w:t>
            </w:r>
            <w:proofErr w:type="gramEnd"/>
            <w:r>
              <w:rPr>
                <w:rFonts w:ascii="宋体" w:hAnsi="宋体" w:cs="宋体" w:hint="eastAsia"/>
                <w:sz w:val="24"/>
              </w:rPr>
              <w:t>生产量比例，</w:t>
            </w:r>
            <w:proofErr w:type="gramStart"/>
            <w:r>
              <w:rPr>
                <w:rFonts w:ascii="宋体" w:hAnsi="宋体" w:cs="宋体" w:hint="eastAsia"/>
                <w:sz w:val="24"/>
              </w:rPr>
              <w:t>以此比例</w:t>
            </w:r>
            <w:proofErr w:type="gramEnd"/>
            <w:r>
              <w:rPr>
                <w:rFonts w:ascii="宋体" w:hAnsi="宋体" w:cs="宋体" w:hint="eastAsia"/>
                <w:sz w:val="24"/>
              </w:rPr>
              <w:t>和基线年全国该品种HFCs</w:t>
            </w:r>
            <w:proofErr w:type="gramStart"/>
            <w:r>
              <w:rPr>
                <w:rFonts w:ascii="宋体" w:hAnsi="宋体" w:cs="宋体" w:hint="eastAsia"/>
                <w:sz w:val="24"/>
              </w:rPr>
              <w:t>年均总</w:t>
            </w:r>
            <w:proofErr w:type="gramEnd"/>
            <w:r>
              <w:rPr>
                <w:rFonts w:ascii="宋体" w:hAnsi="宋体" w:cs="宋体" w:hint="eastAsia"/>
                <w:sz w:val="24"/>
              </w:rPr>
              <w:t>出口量计算各生产单位该品种HFCs 年均出口量，采用“内用生产配额=生产配额－出口量”的计算方法，确定各生产单位 2024 年度内用生产配额，按 HFCs 品种发放。</w:t>
            </w:r>
          </w:p>
          <w:p w:rsidR="00F743B4" w:rsidRDefault="007F6C6C" w:rsidP="000944E1">
            <w:pPr>
              <w:spacing w:beforeLines="40" w:before="124" w:afterLines="40" w:after="124"/>
              <w:ind w:firstLine="420"/>
              <w:rPr>
                <w:rFonts w:ascii="宋体" w:hAnsi="宋体" w:cs="宋体"/>
                <w:sz w:val="24"/>
              </w:rPr>
            </w:pPr>
            <w:r>
              <w:rPr>
                <w:rFonts w:ascii="宋体" w:hAnsi="宋体" w:cs="宋体" w:hint="eastAsia"/>
                <w:sz w:val="24"/>
              </w:rPr>
              <w:t>3、不同品种HFCs配额调整的原则：（1）仅可在申请 2024 年度配额时进行调整；（2）调整不得</w:t>
            </w:r>
            <w:proofErr w:type="gramStart"/>
            <w:r>
              <w:rPr>
                <w:rFonts w:ascii="宋体" w:hAnsi="宋体" w:cs="宋体" w:hint="eastAsia"/>
                <w:sz w:val="24"/>
              </w:rPr>
              <w:t>增加总二氧</w:t>
            </w:r>
            <w:proofErr w:type="gramEnd"/>
            <w:r>
              <w:rPr>
                <w:rFonts w:ascii="宋体" w:hAnsi="宋体" w:cs="宋体" w:hint="eastAsia"/>
                <w:sz w:val="24"/>
              </w:rPr>
              <w:t>化碳当量；（3）任一品种 HFCs 的配额调增量不得超过该生产单位根据本方案分配方法核定的该品种配额量的10%；（4）HFC-23 不参与调整。</w:t>
            </w:r>
          </w:p>
          <w:p w:rsidR="00F743B4" w:rsidRDefault="007F6C6C" w:rsidP="003F1AAD">
            <w:pPr>
              <w:adjustRightInd w:val="0"/>
              <w:snapToGrid w:val="0"/>
              <w:spacing w:beforeLines="40" w:before="124" w:afterLines="40" w:after="124"/>
              <w:ind w:firstLine="420"/>
              <w:rPr>
                <w:rFonts w:ascii="宋体" w:hAnsi="宋体" w:cs="宋体"/>
                <w:b/>
                <w:bCs/>
                <w:sz w:val="24"/>
              </w:rPr>
            </w:pPr>
            <w:r>
              <w:rPr>
                <w:rFonts w:ascii="宋体" w:hAnsi="宋体" w:cs="宋体" w:hint="eastAsia"/>
                <w:b/>
                <w:bCs/>
                <w:sz w:val="24"/>
              </w:rPr>
              <w:lastRenderedPageBreak/>
              <w:t>Q：执行配额后，行业内将如何处置闲置产能？</w:t>
            </w:r>
          </w:p>
          <w:p w:rsidR="00F743B4" w:rsidRDefault="007F6C6C" w:rsidP="003F1AAD">
            <w:pPr>
              <w:adjustRightInd w:val="0"/>
              <w:snapToGrid w:val="0"/>
              <w:spacing w:beforeLines="40" w:before="124" w:afterLines="40" w:after="124"/>
              <w:ind w:firstLineChars="200" w:firstLine="480"/>
              <w:rPr>
                <w:rFonts w:ascii="宋体" w:hAnsi="宋体" w:cs="宋体"/>
                <w:sz w:val="24"/>
              </w:rPr>
            </w:pPr>
            <w:r>
              <w:rPr>
                <w:rFonts w:ascii="宋体" w:hAnsi="宋体" w:cs="宋体" w:hint="eastAsia"/>
                <w:sz w:val="24"/>
              </w:rPr>
              <w:t>A：生产厂家将视情况对有关产品的产能做转产处理，未来也存在配额量少的企业进行委外生产、配额转让的可能。随着行情的周期性波动，行业产能逐步向头部企业集中，而一些小、散的产能逐步退出。</w:t>
            </w:r>
          </w:p>
          <w:p w:rsidR="00F743B4" w:rsidRPr="002858FD" w:rsidRDefault="007F6C6C" w:rsidP="003F1AAD">
            <w:pPr>
              <w:adjustRightInd w:val="0"/>
              <w:snapToGrid w:val="0"/>
              <w:spacing w:beforeLines="40" w:before="124" w:afterLines="40" w:after="124"/>
              <w:ind w:firstLine="420"/>
              <w:rPr>
                <w:rFonts w:ascii="宋体" w:hAnsi="宋体" w:cs="宋体"/>
                <w:b/>
                <w:bCs/>
                <w:sz w:val="24"/>
              </w:rPr>
            </w:pPr>
            <w:r w:rsidRPr="002858FD">
              <w:rPr>
                <w:rFonts w:ascii="宋体" w:hAnsi="宋体" w:cs="宋体" w:hint="eastAsia"/>
                <w:b/>
                <w:bCs/>
                <w:sz w:val="24"/>
              </w:rPr>
              <w:t>Q：对于未来的配额交易，预计会如何定价？</w:t>
            </w:r>
          </w:p>
          <w:p w:rsidR="00F743B4" w:rsidRPr="002858FD" w:rsidRDefault="007F6C6C" w:rsidP="003F1AAD">
            <w:pPr>
              <w:adjustRightInd w:val="0"/>
              <w:snapToGrid w:val="0"/>
              <w:spacing w:beforeLines="40" w:before="124" w:afterLines="40" w:after="124"/>
              <w:ind w:firstLineChars="200" w:firstLine="480"/>
              <w:rPr>
                <w:rFonts w:ascii="宋体" w:hAnsi="宋体" w:cs="宋体"/>
                <w:sz w:val="24"/>
              </w:rPr>
            </w:pPr>
            <w:r w:rsidRPr="002858FD">
              <w:rPr>
                <w:rFonts w:ascii="宋体" w:hAnsi="宋体" w:cs="宋体" w:hint="eastAsia"/>
                <w:sz w:val="24"/>
              </w:rPr>
              <w:t>A：配额调整分为年度调整和永久性配额调整，预计交易价格会随行就市。</w:t>
            </w:r>
          </w:p>
          <w:p w:rsidR="00F743B4" w:rsidRDefault="007F6C6C" w:rsidP="003F1AAD">
            <w:pPr>
              <w:spacing w:beforeLines="40" w:before="124" w:afterLines="40" w:after="124"/>
              <w:ind w:firstLine="420"/>
              <w:rPr>
                <w:rFonts w:ascii="宋体" w:hAnsi="宋体" w:cs="宋体"/>
                <w:b/>
                <w:bCs/>
                <w:sz w:val="24"/>
              </w:rPr>
            </w:pPr>
            <w:r>
              <w:rPr>
                <w:rFonts w:ascii="宋体" w:hAnsi="宋体" w:cs="宋体" w:hint="eastAsia"/>
                <w:b/>
                <w:bCs/>
                <w:sz w:val="24"/>
              </w:rPr>
              <w:t>Q：对制冷剂产品价格的看法？</w:t>
            </w:r>
          </w:p>
          <w:p w:rsidR="00F743B4" w:rsidRDefault="007F6C6C" w:rsidP="003F1AAD">
            <w:pPr>
              <w:spacing w:beforeLines="40" w:before="124" w:afterLines="40" w:after="124"/>
              <w:ind w:firstLine="420"/>
              <w:rPr>
                <w:rFonts w:ascii="宋体" w:hAnsi="宋体" w:cs="宋体"/>
                <w:sz w:val="24"/>
              </w:rPr>
            </w:pPr>
            <w:r>
              <w:rPr>
                <w:rFonts w:ascii="宋体" w:hAnsi="宋体" w:cs="宋体" w:hint="eastAsia"/>
                <w:sz w:val="24"/>
              </w:rPr>
              <w:t>A：二代制冷剂：价格相对稳定，盈利水平也较为稳定；三代制冷剂：今年三季度以来价差有所扩大，2024年执行配额后，供给量将得到一定控制，但具体价格走势，还受下游需求以及上游原材料价格波动等因素的影响，具有不确定性。</w:t>
            </w:r>
          </w:p>
          <w:p w:rsidR="00F743B4" w:rsidRDefault="007F6C6C" w:rsidP="003F1AAD">
            <w:pPr>
              <w:adjustRightInd w:val="0"/>
              <w:snapToGrid w:val="0"/>
              <w:spacing w:beforeLines="40" w:before="124" w:afterLines="40" w:after="124"/>
              <w:ind w:firstLineChars="200" w:firstLine="482"/>
              <w:rPr>
                <w:rFonts w:ascii="宋体" w:hAnsi="宋体" w:cs="宋体"/>
                <w:b/>
                <w:bCs/>
                <w:sz w:val="24"/>
              </w:rPr>
            </w:pPr>
            <w:r>
              <w:rPr>
                <w:rFonts w:ascii="宋体" w:hAnsi="宋体" w:cs="宋体" w:hint="eastAsia"/>
                <w:b/>
                <w:bCs/>
                <w:sz w:val="24"/>
              </w:rPr>
              <w:t>Q：公司新项目的投产计划及未来发展规划？</w:t>
            </w:r>
          </w:p>
          <w:p w:rsidR="00F743B4" w:rsidRDefault="007F6C6C" w:rsidP="003F1AAD">
            <w:pPr>
              <w:adjustRightInd w:val="0"/>
              <w:snapToGrid w:val="0"/>
              <w:spacing w:beforeLines="40" w:before="124" w:afterLines="40" w:after="124"/>
              <w:ind w:firstLineChars="200" w:firstLine="480"/>
              <w:rPr>
                <w:rFonts w:ascii="宋体" w:hAnsi="宋体" w:cs="宋体"/>
                <w:sz w:val="24"/>
              </w:rPr>
            </w:pPr>
            <w:r>
              <w:rPr>
                <w:rFonts w:ascii="宋体" w:hAnsi="宋体" w:cs="宋体" w:hint="eastAsia"/>
                <w:sz w:val="24"/>
              </w:rPr>
              <w:t>A：</w:t>
            </w:r>
            <w:r>
              <w:rPr>
                <w:rFonts w:hint="eastAsia"/>
                <w:sz w:val="24"/>
              </w:rPr>
              <w:t>公司的长期发展目标是成为国内外一流的制冷剂、发泡剂、电子级高纯化学品及基础氟化学品制造商，“三美”品牌成为氟化</w:t>
            </w:r>
            <w:proofErr w:type="gramStart"/>
            <w:r>
              <w:rPr>
                <w:rFonts w:hint="eastAsia"/>
                <w:sz w:val="24"/>
              </w:rPr>
              <w:t>工领域</w:t>
            </w:r>
            <w:proofErr w:type="gramEnd"/>
            <w:r>
              <w:rPr>
                <w:rFonts w:hint="eastAsia"/>
                <w:sz w:val="24"/>
              </w:rPr>
              <w:t>的全球化品牌。重点发展</w:t>
            </w:r>
            <w:r>
              <w:rPr>
                <w:sz w:val="24"/>
              </w:rPr>
              <w:t>HFCs</w:t>
            </w:r>
            <w:r>
              <w:rPr>
                <w:sz w:val="24"/>
              </w:rPr>
              <w:t>制冷剂、发泡剂品种、氟聚合物及氟精细化学品，并通过自主创新、合作研发，形成第四代制冷剂、发泡剂产品的生产能力和市场基础，具备部分氟聚合物产品及氟精细化学品的技术和市场竞争力。</w:t>
            </w:r>
          </w:p>
          <w:p w:rsidR="00F743B4" w:rsidRDefault="007F6C6C" w:rsidP="003F1AAD">
            <w:pPr>
              <w:adjustRightInd w:val="0"/>
              <w:snapToGrid w:val="0"/>
              <w:spacing w:beforeLines="40" w:before="124" w:afterLines="40" w:after="124"/>
              <w:ind w:firstLineChars="200" w:firstLine="480"/>
              <w:rPr>
                <w:rFonts w:ascii="宋体" w:hAnsi="宋体" w:cs="宋体"/>
                <w:sz w:val="24"/>
              </w:rPr>
            </w:pPr>
            <w:r>
              <w:rPr>
                <w:rFonts w:hint="eastAsia"/>
                <w:sz w:val="24"/>
              </w:rPr>
              <w:t>根据项目规划，</w:t>
            </w:r>
            <w:r>
              <w:rPr>
                <w:sz w:val="24"/>
              </w:rPr>
              <w:t>6</w:t>
            </w:r>
            <w:r>
              <w:rPr>
                <w:rFonts w:hint="eastAsia"/>
                <w:sz w:val="24"/>
              </w:rPr>
              <w:t>,</w:t>
            </w:r>
            <w:r>
              <w:rPr>
                <w:sz w:val="24"/>
              </w:rPr>
              <w:t>000t/a</w:t>
            </w:r>
            <w:proofErr w:type="gramStart"/>
            <w:r>
              <w:rPr>
                <w:sz w:val="24"/>
              </w:rPr>
              <w:t>六氟磷酸</w:t>
            </w:r>
            <w:proofErr w:type="gramEnd"/>
            <w:r>
              <w:rPr>
                <w:sz w:val="24"/>
              </w:rPr>
              <w:t>锂（</w:t>
            </w:r>
            <w:r>
              <w:rPr>
                <w:sz w:val="24"/>
              </w:rPr>
              <w:t>LiPF6</w:t>
            </w:r>
            <w:r>
              <w:rPr>
                <w:sz w:val="24"/>
              </w:rPr>
              <w:t>）</w:t>
            </w:r>
            <w:r>
              <w:rPr>
                <w:rFonts w:hint="eastAsia"/>
                <w:sz w:val="24"/>
              </w:rPr>
              <w:t>项目预计将于</w:t>
            </w:r>
            <w:r>
              <w:rPr>
                <w:rFonts w:hint="eastAsia"/>
                <w:sz w:val="24"/>
              </w:rPr>
              <w:t>2024</w:t>
            </w:r>
            <w:r>
              <w:rPr>
                <w:rFonts w:hint="eastAsia"/>
                <w:sz w:val="24"/>
              </w:rPr>
              <w:t>年一季度进入试生产，</w:t>
            </w:r>
            <w:r>
              <w:rPr>
                <w:sz w:val="24"/>
              </w:rPr>
              <w:t>5,000t/a</w:t>
            </w:r>
            <w:proofErr w:type="gramStart"/>
            <w:r>
              <w:rPr>
                <w:sz w:val="24"/>
              </w:rPr>
              <w:t>聚全氟</w:t>
            </w:r>
            <w:proofErr w:type="gramEnd"/>
            <w:r>
              <w:rPr>
                <w:sz w:val="24"/>
              </w:rPr>
              <w:t>乙丙烯（</w:t>
            </w:r>
            <w:r>
              <w:rPr>
                <w:sz w:val="24"/>
              </w:rPr>
              <w:t>FEP</w:t>
            </w:r>
            <w:r>
              <w:rPr>
                <w:sz w:val="24"/>
              </w:rPr>
              <w:t>）及</w:t>
            </w:r>
            <w:r>
              <w:rPr>
                <w:sz w:val="24"/>
              </w:rPr>
              <w:t>5,000t/a</w:t>
            </w:r>
            <w:r>
              <w:rPr>
                <w:sz w:val="24"/>
              </w:rPr>
              <w:t>聚偏氟乙烯（</w:t>
            </w:r>
            <w:r>
              <w:rPr>
                <w:sz w:val="24"/>
              </w:rPr>
              <w:t>PVDF</w:t>
            </w:r>
            <w:r>
              <w:rPr>
                <w:sz w:val="24"/>
              </w:rPr>
              <w:t>）</w:t>
            </w:r>
            <w:r>
              <w:rPr>
                <w:rFonts w:hint="eastAsia"/>
                <w:sz w:val="24"/>
              </w:rPr>
              <w:t>项目预计将于</w:t>
            </w:r>
            <w:r>
              <w:rPr>
                <w:rFonts w:hint="eastAsia"/>
                <w:sz w:val="24"/>
              </w:rPr>
              <w:t>2024</w:t>
            </w:r>
            <w:r>
              <w:rPr>
                <w:rFonts w:hint="eastAsia"/>
                <w:sz w:val="24"/>
              </w:rPr>
              <w:t>年</w:t>
            </w:r>
            <w:r>
              <w:rPr>
                <w:rFonts w:hint="eastAsia"/>
                <w:sz w:val="24"/>
              </w:rPr>
              <w:t>12</w:t>
            </w:r>
            <w:r>
              <w:rPr>
                <w:rFonts w:hint="eastAsia"/>
                <w:sz w:val="24"/>
              </w:rPr>
              <w:t>月左右进入试生产；</w:t>
            </w:r>
            <w:r>
              <w:rPr>
                <w:rFonts w:ascii="宋体" w:hAnsi="宋体" w:cs="宋体" w:hint="eastAsia"/>
                <w:sz w:val="24"/>
              </w:rPr>
              <w:t>盛美锂电</w:t>
            </w:r>
            <w:r>
              <w:rPr>
                <w:rFonts w:hint="eastAsia"/>
                <w:sz w:val="24"/>
              </w:rPr>
              <w:t>年产</w:t>
            </w:r>
            <w:r>
              <w:rPr>
                <w:rFonts w:hint="eastAsia"/>
                <w:sz w:val="24"/>
              </w:rPr>
              <w:t>3,000t/a</w:t>
            </w:r>
            <w:r>
              <w:rPr>
                <w:sz w:val="24"/>
              </w:rPr>
              <w:t>双氟</w:t>
            </w:r>
            <w:proofErr w:type="gramStart"/>
            <w:r>
              <w:rPr>
                <w:sz w:val="24"/>
              </w:rPr>
              <w:t>磺</w:t>
            </w:r>
            <w:proofErr w:type="gramEnd"/>
            <w:r>
              <w:rPr>
                <w:sz w:val="24"/>
              </w:rPr>
              <w:t>酰亚胺锂（</w:t>
            </w:r>
            <w:proofErr w:type="spellStart"/>
            <w:r>
              <w:rPr>
                <w:sz w:val="24"/>
              </w:rPr>
              <w:t>LiFSI</w:t>
            </w:r>
            <w:proofErr w:type="spellEnd"/>
            <w:r>
              <w:rPr>
                <w:sz w:val="24"/>
              </w:rPr>
              <w:t>）项目</w:t>
            </w:r>
            <w:r>
              <w:rPr>
                <w:rFonts w:hint="eastAsia"/>
                <w:sz w:val="24"/>
              </w:rPr>
              <w:t>，一期为</w:t>
            </w:r>
            <w:r>
              <w:rPr>
                <w:rFonts w:hint="eastAsia"/>
                <w:sz w:val="24"/>
              </w:rPr>
              <w:t>50</w:t>
            </w:r>
            <w:r w:rsidRPr="00FC2625">
              <w:rPr>
                <w:rFonts w:hint="eastAsia"/>
                <w:sz w:val="24"/>
              </w:rPr>
              <w:t>0t/a</w:t>
            </w:r>
            <w:r w:rsidRPr="00FC2625">
              <w:rPr>
                <w:rFonts w:hint="eastAsia"/>
                <w:sz w:val="24"/>
              </w:rPr>
              <w:t>，已于</w:t>
            </w:r>
            <w:r w:rsidRPr="00FC2625">
              <w:rPr>
                <w:rFonts w:hint="eastAsia"/>
                <w:sz w:val="24"/>
              </w:rPr>
              <w:t>11</w:t>
            </w:r>
            <w:r w:rsidRPr="00FC2625">
              <w:rPr>
                <w:rFonts w:hint="eastAsia"/>
                <w:sz w:val="24"/>
              </w:rPr>
              <w:t>月初开始试生产；浙江森田的</w:t>
            </w:r>
            <w:r w:rsidRPr="00FC2625">
              <w:rPr>
                <w:rFonts w:hint="eastAsia"/>
                <w:sz w:val="24"/>
              </w:rPr>
              <w:t>2</w:t>
            </w:r>
            <w:r w:rsidRPr="00FC2625">
              <w:rPr>
                <w:rFonts w:hint="eastAsia"/>
                <w:sz w:val="24"/>
              </w:rPr>
              <w:t>万吨</w:t>
            </w:r>
            <w:r w:rsidRPr="00FC2625">
              <w:rPr>
                <w:rFonts w:hint="eastAsia"/>
                <w:sz w:val="24"/>
              </w:rPr>
              <w:t>/</w:t>
            </w:r>
            <w:r w:rsidRPr="00FC2625">
              <w:rPr>
                <w:rFonts w:hint="eastAsia"/>
                <w:sz w:val="24"/>
              </w:rPr>
              <w:t>年高</w:t>
            </w:r>
            <w:proofErr w:type="gramStart"/>
            <w:r w:rsidRPr="00FC2625">
              <w:rPr>
                <w:rFonts w:hint="eastAsia"/>
                <w:sz w:val="24"/>
              </w:rPr>
              <w:t>纯电子</w:t>
            </w:r>
            <w:proofErr w:type="gramEnd"/>
            <w:r w:rsidRPr="00FC2625">
              <w:rPr>
                <w:rFonts w:hint="eastAsia"/>
                <w:sz w:val="24"/>
              </w:rPr>
              <w:t>级氢氟</w:t>
            </w:r>
            <w:r>
              <w:rPr>
                <w:rFonts w:hint="eastAsia"/>
                <w:sz w:val="24"/>
              </w:rPr>
              <w:t>酸项目，下游客户认证要求高、周期长，认证进度不及预期。</w:t>
            </w:r>
          </w:p>
          <w:p w:rsidR="00F743B4" w:rsidRDefault="007F6C6C" w:rsidP="003F1AAD">
            <w:pPr>
              <w:widowControl/>
              <w:spacing w:beforeLines="40" w:before="124" w:afterLines="40" w:after="124"/>
              <w:ind w:firstLine="420"/>
              <w:rPr>
                <w:sz w:val="24"/>
              </w:rPr>
            </w:pPr>
            <w:r>
              <w:rPr>
                <w:rFonts w:ascii="宋体" w:hAnsi="宋体" w:cs="宋体" w:hint="eastAsia"/>
                <w:sz w:val="24"/>
              </w:rPr>
              <w:t>随着市场产能的释放，产品价格下跌，投资者对上述项目投产后的盈利情况存在担忧；但公司在布局前就已做好心理准备去承受可能面临的战略性亏损。投资</w:t>
            </w:r>
            <w:r>
              <w:rPr>
                <w:sz w:val="24"/>
              </w:rPr>
              <w:t>LiPF6</w:t>
            </w:r>
            <w:r>
              <w:rPr>
                <w:rFonts w:hint="eastAsia"/>
                <w:sz w:val="24"/>
              </w:rPr>
              <w:t>、</w:t>
            </w:r>
            <w:proofErr w:type="spellStart"/>
            <w:r>
              <w:rPr>
                <w:sz w:val="24"/>
              </w:rPr>
              <w:t>LiFSI</w:t>
            </w:r>
            <w:proofErr w:type="spellEnd"/>
            <w:r>
              <w:rPr>
                <w:rFonts w:hint="eastAsia"/>
                <w:sz w:val="24"/>
              </w:rPr>
              <w:t>、</w:t>
            </w:r>
            <w:r>
              <w:rPr>
                <w:rFonts w:hint="eastAsia"/>
                <w:sz w:val="24"/>
              </w:rPr>
              <w:t>PVDF</w:t>
            </w:r>
            <w:r>
              <w:rPr>
                <w:rFonts w:hint="eastAsia"/>
                <w:sz w:val="24"/>
              </w:rPr>
              <w:t>、</w:t>
            </w:r>
            <w:r>
              <w:rPr>
                <w:rFonts w:hint="eastAsia"/>
                <w:sz w:val="24"/>
              </w:rPr>
              <w:t>FEP</w:t>
            </w:r>
            <w:r>
              <w:rPr>
                <w:rFonts w:hint="eastAsia"/>
                <w:sz w:val="24"/>
              </w:rPr>
              <w:t>等项目，并非为了短期的盈利，而是公司</w:t>
            </w:r>
            <w:proofErr w:type="gramStart"/>
            <w:r>
              <w:rPr>
                <w:rFonts w:hint="eastAsia"/>
                <w:sz w:val="24"/>
              </w:rPr>
              <w:t>拓增业务</w:t>
            </w:r>
            <w:proofErr w:type="gramEnd"/>
            <w:r>
              <w:rPr>
                <w:rFonts w:hint="eastAsia"/>
                <w:sz w:val="24"/>
              </w:rPr>
              <w:t>领域、探索未来发展道路的长期战略规划，希望能借此进一步完善上游的氟原料、单体制造能力，并打通制冷剂与下游产品的衔接，从而发挥公司的成本控制及规模化生产优势，逐步丰富、优化业务板块布局。</w:t>
            </w:r>
          </w:p>
          <w:p w:rsidR="00F743B4" w:rsidRDefault="007F6C6C" w:rsidP="003F1AAD">
            <w:pPr>
              <w:widowControl/>
              <w:spacing w:beforeLines="40" w:before="124" w:afterLines="40" w:after="124"/>
              <w:ind w:firstLine="420"/>
              <w:rPr>
                <w:b/>
                <w:bCs/>
                <w:sz w:val="24"/>
              </w:rPr>
            </w:pPr>
            <w:r>
              <w:rPr>
                <w:rFonts w:asciiTheme="majorEastAsia" w:eastAsiaTheme="majorEastAsia" w:hAnsiTheme="majorEastAsia" w:cstheme="majorEastAsia" w:hint="eastAsia"/>
                <w:b/>
                <w:bCs/>
                <w:sz w:val="24"/>
              </w:rPr>
              <w:t>Q：</w:t>
            </w:r>
            <w:r>
              <w:rPr>
                <w:rFonts w:hint="eastAsia"/>
                <w:b/>
                <w:bCs/>
                <w:sz w:val="24"/>
              </w:rPr>
              <w:t>新项目是否会在今年贡献业绩？</w:t>
            </w:r>
          </w:p>
          <w:p w:rsidR="00F743B4" w:rsidRDefault="007F6C6C" w:rsidP="003F1AAD">
            <w:pPr>
              <w:widowControl/>
              <w:spacing w:beforeLines="40" w:before="124" w:afterLines="40" w:after="124"/>
              <w:ind w:firstLine="420"/>
              <w:rPr>
                <w:sz w:val="24"/>
              </w:rPr>
            </w:pPr>
            <w:r>
              <w:rPr>
                <w:rFonts w:ascii="宋体" w:hAnsi="宋体" w:cs="宋体" w:hint="eastAsia"/>
                <w:sz w:val="24"/>
              </w:rPr>
              <w:t>A</w:t>
            </w:r>
            <w:r>
              <w:rPr>
                <w:rFonts w:hint="eastAsia"/>
                <w:sz w:val="24"/>
              </w:rPr>
              <w:t>：新项目从投产到盈利，尚需一定时间，而且也需要看下游市场行情。短期内，公司主要的业绩贡献仍是制冷剂产品。</w:t>
            </w:r>
          </w:p>
        </w:tc>
      </w:tr>
      <w:tr w:rsidR="00F743B4" w:rsidTr="00B13585">
        <w:trPr>
          <w:trHeight w:val="738"/>
          <w:jc w:val="center"/>
        </w:trPr>
        <w:tc>
          <w:tcPr>
            <w:tcW w:w="878" w:type="pct"/>
            <w:shd w:val="clear" w:color="auto" w:fill="auto"/>
            <w:vAlign w:val="center"/>
          </w:tcPr>
          <w:p w:rsidR="00F743B4" w:rsidRDefault="007F6C6C" w:rsidP="007E3F2F">
            <w:pPr>
              <w:jc w:val="center"/>
              <w:rPr>
                <w:rFonts w:eastAsiaTheme="majorEastAsia"/>
                <w:b/>
                <w:sz w:val="24"/>
              </w:rPr>
            </w:pPr>
            <w:r>
              <w:rPr>
                <w:rFonts w:eastAsiaTheme="majorEastAsia"/>
                <w:b/>
                <w:sz w:val="24"/>
              </w:rPr>
              <w:lastRenderedPageBreak/>
              <w:t>董事会秘书</w:t>
            </w:r>
          </w:p>
          <w:p w:rsidR="00F743B4" w:rsidRDefault="007F6C6C" w:rsidP="007E3F2F">
            <w:pPr>
              <w:jc w:val="center"/>
              <w:rPr>
                <w:rFonts w:eastAsiaTheme="minorEastAsia"/>
                <w:b/>
                <w:bCs/>
                <w:iCs/>
                <w:color w:val="000000"/>
                <w:sz w:val="24"/>
              </w:rPr>
            </w:pPr>
            <w:r>
              <w:rPr>
                <w:rFonts w:eastAsiaTheme="majorEastAsia"/>
                <w:b/>
                <w:sz w:val="24"/>
              </w:rPr>
              <w:t>签字</w:t>
            </w:r>
          </w:p>
        </w:tc>
        <w:tc>
          <w:tcPr>
            <w:tcW w:w="4121" w:type="pct"/>
            <w:shd w:val="clear" w:color="auto" w:fill="auto"/>
            <w:vAlign w:val="center"/>
          </w:tcPr>
          <w:p w:rsidR="00F743B4" w:rsidRDefault="00F743B4">
            <w:pPr>
              <w:spacing w:before="157" w:after="157"/>
              <w:ind w:firstLineChars="200" w:firstLine="480"/>
              <w:rPr>
                <w:sz w:val="24"/>
              </w:rPr>
            </w:pPr>
          </w:p>
        </w:tc>
      </w:tr>
    </w:tbl>
    <w:p w:rsidR="00F743B4" w:rsidRDefault="00F743B4"/>
    <w:sectPr w:rsidR="00F74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F2" w:rsidRDefault="00A12DF2" w:rsidP="00A91242">
      <w:r>
        <w:separator/>
      </w:r>
    </w:p>
  </w:endnote>
  <w:endnote w:type="continuationSeparator" w:id="0">
    <w:p w:rsidR="00A12DF2" w:rsidRDefault="00A12DF2" w:rsidP="00A9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F2" w:rsidRDefault="00A12DF2" w:rsidP="00A91242">
      <w:r>
        <w:separator/>
      </w:r>
    </w:p>
  </w:footnote>
  <w:footnote w:type="continuationSeparator" w:id="0">
    <w:p w:rsidR="00A12DF2" w:rsidRDefault="00A12DF2" w:rsidP="00A91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zEwYWYyMTdmYjdkZGJhOTc4M2RmODk3NzQ4ZjYifQ=="/>
  </w:docVars>
  <w:rsids>
    <w:rsidRoot w:val="00172A27"/>
    <w:rsid w:val="BF5FBE51"/>
    <w:rsid w:val="BF7FF45B"/>
    <w:rsid w:val="BFAFAE56"/>
    <w:rsid w:val="BFDE3944"/>
    <w:rsid w:val="C7F9B3E6"/>
    <w:rsid w:val="CFDD3386"/>
    <w:rsid w:val="DD2B1DF1"/>
    <w:rsid w:val="DDFB2A5A"/>
    <w:rsid w:val="DE7D80B0"/>
    <w:rsid w:val="DEBF489A"/>
    <w:rsid w:val="DEED0B21"/>
    <w:rsid w:val="DF7D914F"/>
    <w:rsid w:val="DFF59C41"/>
    <w:rsid w:val="E77D9D34"/>
    <w:rsid w:val="E7DC3A13"/>
    <w:rsid w:val="EFF7CDEA"/>
    <w:rsid w:val="EFFFAEF7"/>
    <w:rsid w:val="F374D393"/>
    <w:rsid w:val="F5FF6102"/>
    <w:rsid w:val="F6BF3E81"/>
    <w:rsid w:val="F73BF129"/>
    <w:rsid w:val="FBF6CA1B"/>
    <w:rsid w:val="FBFDE209"/>
    <w:rsid w:val="FDB75190"/>
    <w:rsid w:val="FEF6C321"/>
    <w:rsid w:val="FEF7159F"/>
    <w:rsid w:val="FF3FE3E0"/>
    <w:rsid w:val="FFDDAD90"/>
    <w:rsid w:val="FFDF012C"/>
    <w:rsid w:val="FFEE7AA4"/>
    <w:rsid w:val="FFEFBBCA"/>
    <w:rsid w:val="000944E1"/>
    <w:rsid w:val="00094AA9"/>
    <w:rsid w:val="000E11CD"/>
    <w:rsid w:val="00172A27"/>
    <w:rsid w:val="0019167E"/>
    <w:rsid w:val="001A4477"/>
    <w:rsid w:val="002858FD"/>
    <w:rsid w:val="002C4449"/>
    <w:rsid w:val="003808CC"/>
    <w:rsid w:val="003F1AAD"/>
    <w:rsid w:val="004723F3"/>
    <w:rsid w:val="00475596"/>
    <w:rsid w:val="004E2611"/>
    <w:rsid w:val="005B05BC"/>
    <w:rsid w:val="005C441C"/>
    <w:rsid w:val="0075688C"/>
    <w:rsid w:val="007E3F2F"/>
    <w:rsid w:val="007F6C6C"/>
    <w:rsid w:val="008664B9"/>
    <w:rsid w:val="008B158F"/>
    <w:rsid w:val="008E5F15"/>
    <w:rsid w:val="009466F6"/>
    <w:rsid w:val="009A0B6E"/>
    <w:rsid w:val="00A12DF2"/>
    <w:rsid w:val="00A91242"/>
    <w:rsid w:val="00AF084D"/>
    <w:rsid w:val="00B13585"/>
    <w:rsid w:val="00B13882"/>
    <w:rsid w:val="00B2200D"/>
    <w:rsid w:val="00B503D6"/>
    <w:rsid w:val="00C22036"/>
    <w:rsid w:val="00C823C4"/>
    <w:rsid w:val="00C944DE"/>
    <w:rsid w:val="00CF1042"/>
    <w:rsid w:val="00D028E2"/>
    <w:rsid w:val="00D97071"/>
    <w:rsid w:val="00E52F76"/>
    <w:rsid w:val="00E57B07"/>
    <w:rsid w:val="00E87EE9"/>
    <w:rsid w:val="00F2101C"/>
    <w:rsid w:val="00F743B4"/>
    <w:rsid w:val="00FC2625"/>
    <w:rsid w:val="00FF1DAC"/>
    <w:rsid w:val="01282E62"/>
    <w:rsid w:val="015772A4"/>
    <w:rsid w:val="01C34939"/>
    <w:rsid w:val="01CC5EE4"/>
    <w:rsid w:val="020531A4"/>
    <w:rsid w:val="021533E7"/>
    <w:rsid w:val="022C0730"/>
    <w:rsid w:val="028D7421"/>
    <w:rsid w:val="02B85F93"/>
    <w:rsid w:val="02BF3353"/>
    <w:rsid w:val="02C63810"/>
    <w:rsid w:val="0301396B"/>
    <w:rsid w:val="031D31B5"/>
    <w:rsid w:val="032D4760"/>
    <w:rsid w:val="03600692"/>
    <w:rsid w:val="03634626"/>
    <w:rsid w:val="037979A5"/>
    <w:rsid w:val="037B54CB"/>
    <w:rsid w:val="03C86237"/>
    <w:rsid w:val="03C926DB"/>
    <w:rsid w:val="03EA2651"/>
    <w:rsid w:val="04161698"/>
    <w:rsid w:val="04380DC4"/>
    <w:rsid w:val="04390EE3"/>
    <w:rsid w:val="04575F38"/>
    <w:rsid w:val="04673CA2"/>
    <w:rsid w:val="04770389"/>
    <w:rsid w:val="04893C18"/>
    <w:rsid w:val="048E7480"/>
    <w:rsid w:val="04A66790"/>
    <w:rsid w:val="04C11604"/>
    <w:rsid w:val="04D035F5"/>
    <w:rsid w:val="050140F6"/>
    <w:rsid w:val="052D0A47"/>
    <w:rsid w:val="053B2A38"/>
    <w:rsid w:val="053E4A03"/>
    <w:rsid w:val="05542A0E"/>
    <w:rsid w:val="05901498"/>
    <w:rsid w:val="059960DD"/>
    <w:rsid w:val="05A36F5B"/>
    <w:rsid w:val="05DE61E6"/>
    <w:rsid w:val="05EF9DD1"/>
    <w:rsid w:val="06622973"/>
    <w:rsid w:val="066466EB"/>
    <w:rsid w:val="06840719"/>
    <w:rsid w:val="068648B3"/>
    <w:rsid w:val="06A72A7B"/>
    <w:rsid w:val="06B70F10"/>
    <w:rsid w:val="06F7130D"/>
    <w:rsid w:val="072B7208"/>
    <w:rsid w:val="07486CF2"/>
    <w:rsid w:val="0774295E"/>
    <w:rsid w:val="077706A0"/>
    <w:rsid w:val="077741FC"/>
    <w:rsid w:val="078D2131"/>
    <w:rsid w:val="07E81D59"/>
    <w:rsid w:val="080F6B2A"/>
    <w:rsid w:val="081D2FF5"/>
    <w:rsid w:val="083D1B91"/>
    <w:rsid w:val="08836BD0"/>
    <w:rsid w:val="088947AE"/>
    <w:rsid w:val="088D7397"/>
    <w:rsid w:val="08A52FEB"/>
    <w:rsid w:val="08A96637"/>
    <w:rsid w:val="08B651F8"/>
    <w:rsid w:val="08CF1859"/>
    <w:rsid w:val="09007C28"/>
    <w:rsid w:val="094B5940"/>
    <w:rsid w:val="0958005D"/>
    <w:rsid w:val="096E162E"/>
    <w:rsid w:val="097D18CF"/>
    <w:rsid w:val="0992356F"/>
    <w:rsid w:val="09B434E5"/>
    <w:rsid w:val="09E85885"/>
    <w:rsid w:val="09EB2C7F"/>
    <w:rsid w:val="0A4505E1"/>
    <w:rsid w:val="0A5922DF"/>
    <w:rsid w:val="0A8455AD"/>
    <w:rsid w:val="0AEE0C79"/>
    <w:rsid w:val="0B00275A"/>
    <w:rsid w:val="0B310B66"/>
    <w:rsid w:val="0B367BBB"/>
    <w:rsid w:val="0B451FA8"/>
    <w:rsid w:val="0B633415"/>
    <w:rsid w:val="0B865355"/>
    <w:rsid w:val="0B8E1B84"/>
    <w:rsid w:val="0B9371C9"/>
    <w:rsid w:val="0BC419DA"/>
    <w:rsid w:val="0BD04822"/>
    <w:rsid w:val="0BE81B6C"/>
    <w:rsid w:val="0BF24799"/>
    <w:rsid w:val="0BF4406D"/>
    <w:rsid w:val="0BF70001"/>
    <w:rsid w:val="0C104C1F"/>
    <w:rsid w:val="0C191D25"/>
    <w:rsid w:val="0C230DF6"/>
    <w:rsid w:val="0C34090D"/>
    <w:rsid w:val="0C452B1A"/>
    <w:rsid w:val="0C7451AE"/>
    <w:rsid w:val="0C803B53"/>
    <w:rsid w:val="0C851169"/>
    <w:rsid w:val="0C9475FE"/>
    <w:rsid w:val="0CAC4948"/>
    <w:rsid w:val="0CBD4DA7"/>
    <w:rsid w:val="0CD345CA"/>
    <w:rsid w:val="0CD43E9E"/>
    <w:rsid w:val="0CE73BD2"/>
    <w:rsid w:val="0CF307C8"/>
    <w:rsid w:val="0CF831AC"/>
    <w:rsid w:val="0D020A0B"/>
    <w:rsid w:val="0D1F7109"/>
    <w:rsid w:val="0D26294C"/>
    <w:rsid w:val="0D2C3CDA"/>
    <w:rsid w:val="0D2C5A88"/>
    <w:rsid w:val="0D3B5CCB"/>
    <w:rsid w:val="0D605732"/>
    <w:rsid w:val="0D696CDD"/>
    <w:rsid w:val="0D8458C4"/>
    <w:rsid w:val="0D86163D"/>
    <w:rsid w:val="0DD8176C"/>
    <w:rsid w:val="0DDA1940"/>
    <w:rsid w:val="0E0802A4"/>
    <w:rsid w:val="0E0D1416"/>
    <w:rsid w:val="0E2F75DE"/>
    <w:rsid w:val="0E39220B"/>
    <w:rsid w:val="0E3B25EC"/>
    <w:rsid w:val="0E602FD6"/>
    <w:rsid w:val="0E76520D"/>
    <w:rsid w:val="0EA87391"/>
    <w:rsid w:val="0ECA37AB"/>
    <w:rsid w:val="0ECE5049"/>
    <w:rsid w:val="0EE7610B"/>
    <w:rsid w:val="0EF8579D"/>
    <w:rsid w:val="0F052A35"/>
    <w:rsid w:val="0F056591"/>
    <w:rsid w:val="0F274759"/>
    <w:rsid w:val="0F317386"/>
    <w:rsid w:val="0F4C41C0"/>
    <w:rsid w:val="0F820FCD"/>
    <w:rsid w:val="0FA95953"/>
    <w:rsid w:val="0FAA79A5"/>
    <w:rsid w:val="0FB0474F"/>
    <w:rsid w:val="0FF8562C"/>
    <w:rsid w:val="105A7CA6"/>
    <w:rsid w:val="1065378B"/>
    <w:rsid w:val="1074577C"/>
    <w:rsid w:val="11230F50"/>
    <w:rsid w:val="11437BAA"/>
    <w:rsid w:val="116752E1"/>
    <w:rsid w:val="1189620E"/>
    <w:rsid w:val="118F1759"/>
    <w:rsid w:val="11CF3AC5"/>
    <w:rsid w:val="12500BCE"/>
    <w:rsid w:val="128B3251"/>
    <w:rsid w:val="13076D7C"/>
    <w:rsid w:val="13545D39"/>
    <w:rsid w:val="13833F28"/>
    <w:rsid w:val="13983E78"/>
    <w:rsid w:val="139D148E"/>
    <w:rsid w:val="13DF5603"/>
    <w:rsid w:val="13E353EA"/>
    <w:rsid w:val="13F76DF0"/>
    <w:rsid w:val="140C2170"/>
    <w:rsid w:val="142B6A9A"/>
    <w:rsid w:val="143D67CD"/>
    <w:rsid w:val="144162BD"/>
    <w:rsid w:val="14440584"/>
    <w:rsid w:val="14495172"/>
    <w:rsid w:val="14641FAC"/>
    <w:rsid w:val="14F90946"/>
    <w:rsid w:val="15051099"/>
    <w:rsid w:val="15334379"/>
    <w:rsid w:val="15853F88"/>
    <w:rsid w:val="159F14ED"/>
    <w:rsid w:val="15B12FCF"/>
    <w:rsid w:val="15D53667"/>
    <w:rsid w:val="15FA3D04"/>
    <w:rsid w:val="16210154"/>
    <w:rsid w:val="162163A6"/>
    <w:rsid w:val="16287735"/>
    <w:rsid w:val="166149F5"/>
    <w:rsid w:val="1666200B"/>
    <w:rsid w:val="168B3820"/>
    <w:rsid w:val="16B34B25"/>
    <w:rsid w:val="17650515"/>
    <w:rsid w:val="17A0154D"/>
    <w:rsid w:val="17BD3EAD"/>
    <w:rsid w:val="17FB49D5"/>
    <w:rsid w:val="18190C9E"/>
    <w:rsid w:val="181A12FF"/>
    <w:rsid w:val="182C2DE0"/>
    <w:rsid w:val="183C1D65"/>
    <w:rsid w:val="184B7AF9"/>
    <w:rsid w:val="185C1918"/>
    <w:rsid w:val="186E1743"/>
    <w:rsid w:val="18797EB5"/>
    <w:rsid w:val="18D47700"/>
    <w:rsid w:val="18F90F15"/>
    <w:rsid w:val="192D5062"/>
    <w:rsid w:val="192E38D7"/>
    <w:rsid w:val="19495458"/>
    <w:rsid w:val="19572B95"/>
    <w:rsid w:val="195D05FD"/>
    <w:rsid w:val="19632832"/>
    <w:rsid w:val="1968609A"/>
    <w:rsid w:val="19AD7F51"/>
    <w:rsid w:val="19B906A4"/>
    <w:rsid w:val="19E80F89"/>
    <w:rsid w:val="19F33BB6"/>
    <w:rsid w:val="1A0062D3"/>
    <w:rsid w:val="1A0E7660"/>
    <w:rsid w:val="1A116732"/>
    <w:rsid w:val="1A21276C"/>
    <w:rsid w:val="1AF43AF0"/>
    <w:rsid w:val="1B2C08DA"/>
    <w:rsid w:val="1B3A2A7C"/>
    <w:rsid w:val="1B6E64EA"/>
    <w:rsid w:val="1B7B0307"/>
    <w:rsid w:val="1B80591D"/>
    <w:rsid w:val="1B8371BB"/>
    <w:rsid w:val="1B866CAC"/>
    <w:rsid w:val="1B981812"/>
    <w:rsid w:val="1BB76E65"/>
    <w:rsid w:val="1BDE0896"/>
    <w:rsid w:val="1BEA723A"/>
    <w:rsid w:val="1BFD6F6E"/>
    <w:rsid w:val="1C451212"/>
    <w:rsid w:val="1C5429C6"/>
    <w:rsid w:val="1C5823F6"/>
    <w:rsid w:val="1C993FB0"/>
    <w:rsid w:val="1CAF1B22"/>
    <w:rsid w:val="1CC7132A"/>
    <w:rsid w:val="1CE43C8A"/>
    <w:rsid w:val="1D305121"/>
    <w:rsid w:val="1D4209B0"/>
    <w:rsid w:val="1D65301C"/>
    <w:rsid w:val="1D85546D"/>
    <w:rsid w:val="1D886D0B"/>
    <w:rsid w:val="1DC01270"/>
    <w:rsid w:val="1DC75A85"/>
    <w:rsid w:val="1DD7559C"/>
    <w:rsid w:val="1DF148B0"/>
    <w:rsid w:val="1DFB74DD"/>
    <w:rsid w:val="1E546BED"/>
    <w:rsid w:val="1E635082"/>
    <w:rsid w:val="1E66697D"/>
    <w:rsid w:val="1E9E7339"/>
    <w:rsid w:val="1EBD0C36"/>
    <w:rsid w:val="1EC975DB"/>
    <w:rsid w:val="1ED1023E"/>
    <w:rsid w:val="1EDF79D5"/>
    <w:rsid w:val="1EE47F71"/>
    <w:rsid w:val="1F1C595D"/>
    <w:rsid w:val="1F3C7DAD"/>
    <w:rsid w:val="1F4B7FF0"/>
    <w:rsid w:val="1F6A2B6C"/>
    <w:rsid w:val="1F8F25D3"/>
    <w:rsid w:val="1FB262C1"/>
    <w:rsid w:val="1FE424F1"/>
    <w:rsid w:val="1FEE0599"/>
    <w:rsid w:val="201B3E66"/>
    <w:rsid w:val="20344F28"/>
    <w:rsid w:val="203E5DA7"/>
    <w:rsid w:val="20531852"/>
    <w:rsid w:val="20B816B5"/>
    <w:rsid w:val="20BE5E86"/>
    <w:rsid w:val="20C0056A"/>
    <w:rsid w:val="20C462AC"/>
    <w:rsid w:val="20C52024"/>
    <w:rsid w:val="20C53216"/>
    <w:rsid w:val="213351E0"/>
    <w:rsid w:val="214D18A4"/>
    <w:rsid w:val="217A4BBD"/>
    <w:rsid w:val="21862778"/>
    <w:rsid w:val="219A525F"/>
    <w:rsid w:val="21A25EC1"/>
    <w:rsid w:val="21C81DCC"/>
    <w:rsid w:val="21D342CD"/>
    <w:rsid w:val="21F726B1"/>
    <w:rsid w:val="2205092A"/>
    <w:rsid w:val="222114DC"/>
    <w:rsid w:val="22237002"/>
    <w:rsid w:val="222A0391"/>
    <w:rsid w:val="223B434C"/>
    <w:rsid w:val="22521696"/>
    <w:rsid w:val="2258781F"/>
    <w:rsid w:val="22851A6B"/>
    <w:rsid w:val="228E4DC3"/>
    <w:rsid w:val="22D64075"/>
    <w:rsid w:val="22FB1D2D"/>
    <w:rsid w:val="237F99B0"/>
    <w:rsid w:val="23A53D9E"/>
    <w:rsid w:val="23AD1279"/>
    <w:rsid w:val="23C12F77"/>
    <w:rsid w:val="241319E5"/>
    <w:rsid w:val="243726DB"/>
    <w:rsid w:val="247C0C4C"/>
    <w:rsid w:val="248A15BB"/>
    <w:rsid w:val="24A02B8C"/>
    <w:rsid w:val="24C0322E"/>
    <w:rsid w:val="24CF6FCD"/>
    <w:rsid w:val="253357AE"/>
    <w:rsid w:val="255319AC"/>
    <w:rsid w:val="25641DB2"/>
    <w:rsid w:val="257C6F29"/>
    <w:rsid w:val="257D2ECD"/>
    <w:rsid w:val="25891872"/>
    <w:rsid w:val="258A1146"/>
    <w:rsid w:val="258C3110"/>
    <w:rsid w:val="25902C01"/>
    <w:rsid w:val="25E46AA9"/>
    <w:rsid w:val="25EB6089"/>
    <w:rsid w:val="25F018F1"/>
    <w:rsid w:val="25F0369F"/>
    <w:rsid w:val="25FD024A"/>
    <w:rsid w:val="26031625"/>
    <w:rsid w:val="260A0FF9"/>
    <w:rsid w:val="262E41C8"/>
    <w:rsid w:val="264F486A"/>
    <w:rsid w:val="266C6E41"/>
    <w:rsid w:val="267C13D7"/>
    <w:rsid w:val="268564DD"/>
    <w:rsid w:val="269C7383"/>
    <w:rsid w:val="26B80661"/>
    <w:rsid w:val="26D905D7"/>
    <w:rsid w:val="2714160F"/>
    <w:rsid w:val="272A2BE1"/>
    <w:rsid w:val="274041B2"/>
    <w:rsid w:val="27483067"/>
    <w:rsid w:val="27694757"/>
    <w:rsid w:val="27A04C51"/>
    <w:rsid w:val="27AC5CEC"/>
    <w:rsid w:val="27C44DE4"/>
    <w:rsid w:val="27DA4607"/>
    <w:rsid w:val="27DFD93C"/>
    <w:rsid w:val="280E2E56"/>
    <w:rsid w:val="28123DA1"/>
    <w:rsid w:val="28537F15"/>
    <w:rsid w:val="28634400"/>
    <w:rsid w:val="28BE7A85"/>
    <w:rsid w:val="28C3292C"/>
    <w:rsid w:val="28E079FB"/>
    <w:rsid w:val="28E31299"/>
    <w:rsid w:val="292C49EE"/>
    <w:rsid w:val="293B10D5"/>
    <w:rsid w:val="2981602F"/>
    <w:rsid w:val="29AA1DB7"/>
    <w:rsid w:val="29B36EBE"/>
    <w:rsid w:val="29EA6657"/>
    <w:rsid w:val="29FC7CC3"/>
    <w:rsid w:val="2A0C2A72"/>
    <w:rsid w:val="2A1C0F07"/>
    <w:rsid w:val="2A32072A"/>
    <w:rsid w:val="2A331DAD"/>
    <w:rsid w:val="2A3A7521"/>
    <w:rsid w:val="2A4B17EC"/>
    <w:rsid w:val="2A4D7312"/>
    <w:rsid w:val="2A4E4E38"/>
    <w:rsid w:val="2A6428AE"/>
    <w:rsid w:val="2AAB5DE7"/>
    <w:rsid w:val="2AAD1B5F"/>
    <w:rsid w:val="2AE8528D"/>
    <w:rsid w:val="2B2F07C6"/>
    <w:rsid w:val="2B30453E"/>
    <w:rsid w:val="2B746B21"/>
    <w:rsid w:val="2B8054C5"/>
    <w:rsid w:val="2BC90F0E"/>
    <w:rsid w:val="2BF043F9"/>
    <w:rsid w:val="2C251BC9"/>
    <w:rsid w:val="2C2E0A7D"/>
    <w:rsid w:val="2C4B5360"/>
    <w:rsid w:val="2C730E72"/>
    <w:rsid w:val="2C8E59C0"/>
    <w:rsid w:val="2C997ECE"/>
    <w:rsid w:val="2C9F5E1F"/>
    <w:rsid w:val="2CD0422B"/>
    <w:rsid w:val="2CF25F4F"/>
    <w:rsid w:val="2D0C6BAD"/>
    <w:rsid w:val="2D0D0FDB"/>
    <w:rsid w:val="2D320A41"/>
    <w:rsid w:val="2D40315E"/>
    <w:rsid w:val="2D6A01DB"/>
    <w:rsid w:val="2D8C1F00"/>
    <w:rsid w:val="2E440A2C"/>
    <w:rsid w:val="2E4647A4"/>
    <w:rsid w:val="2E7D7A9A"/>
    <w:rsid w:val="2E9F8230"/>
    <w:rsid w:val="2EC102CF"/>
    <w:rsid w:val="2ED0153B"/>
    <w:rsid w:val="2EDF69A7"/>
    <w:rsid w:val="2EFE0BDB"/>
    <w:rsid w:val="2F081A5A"/>
    <w:rsid w:val="2F1E5311"/>
    <w:rsid w:val="2F2C0E88"/>
    <w:rsid w:val="2F430CE4"/>
    <w:rsid w:val="2F5372D5"/>
    <w:rsid w:val="2F997048"/>
    <w:rsid w:val="2F9C03F4"/>
    <w:rsid w:val="2FC11C09"/>
    <w:rsid w:val="2FD45DE0"/>
    <w:rsid w:val="2FDF33FF"/>
    <w:rsid w:val="2FE029D7"/>
    <w:rsid w:val="2FE90C13"/>
    <w:rsid w:val="30085A89"/>
    <w:rsid w:val="30B023A9"/>
    <w:rsid w:val="30E12562"/>
    <w:rsid w:val="30F229C1"/>
    <w:rsid w:val="30F304E8"/>
    <w:rsid w:val="31271F3F"/>
    <w:rsid w:val="314825E1"/>
    <w:rsid w:val="31570A76"/>
    <w:rsid w:val="31A0589B"/>
    <w:rsid w:val="31EE13DB"/>
    <w:rsid w:val="32096215"/>
    <w:rsid w:val="3251196A"/>
    <w:rsid w:val="326276D3"/>
    <w:rsid w:val="3299418F"/>
    <w:rsid w:val="32CA473F"/>
    <w:rsid w:val="32DA370D"/>
    <w:rsid w:val="32F50547"/>
    <w:rsid w:val="33593B97"/>
    <w:rsid w:val="33627693"/>
    <w:rsid w:val="33E04D53"/>
    <w:rsid w:val="33E91DE7"/>
    <w:rsid w:val="33F16F60"/>
    <w:rsid w:val="34732A59"/>
    <w:rsid w:val="34985FA0"/>
    <w:rsid w:val="34A02734"/>
    <w:rsid w:val="34B85CD0"/>
    <w:rsid w:val="34D247C0"/>
    <w:rsid w:val="350607E9"/>
    <w:rsid w:val="350E3B42"/>
    <w:rsid w:val="350E769E"/>
    <w:rsid w:val="351C625F"/>
    <w:rsid w:val="3529097C"/>
    <w:rsid w:val="35325A82"/>
    <w:rsid w:val="353F3CFB"/>
    <w:rsid w:val="35700359"/>
    <w:rsid w:val="35725E7F"/>
    <w:rsid w:val="359027A9"/>
    <w:rsid w:val="359E1B5A"/>
    <w:rsid w:val="35A40002"/>
    <w:rsid w:val="35AB1391"/>
    <w:rsid w:val="35DE1766"/>
    <w:rsid w:val="35F920FC"/>
    <w:rsid w:val="3608233F"/>
    <w:rsid w:val="36162CAE"/>
    <w:rsid w:val="36372C24"/>
    <w:rsid w:val="36525CB0"/>
    <w:rsid w:val="36826596"/>
    <w:rsid w:val="368C2279"/>
    <w:rsid w:val="36B85B13"/>
    <w:rsid w:val="36EE3C2B"/>
    <w:rsid w:val="37211892"/>
    <w:rsid w:val="37493898"/>
    <w:rsid w:val="37B26A07"/>
    <w:rsid w:val="37C130EE"/>
    <w:rsid w:val="37EF01B9"/>
    <w:rsid w:val="38172D0E"/>
    <w:rsid w:val="38174ABC"/>
    <w:rsid w:val="3825542A"/>
    <w:rsid w:val="386D0B7F"/>
    <w:rsid w:val="387B14EE"/>
    <w:rsid w:val="38B642D4"/>
    <w:rsid w:val="38E5105E"/>
    <w:rsid w:val="38E54BBA"/>
    <w:rsid w:val="38F738D0"/>
    <w:rsid w:val="39050DB8"/>
    <w:rsid w:val="39335925"/>
    <w:rsid w:val="39406294"/>
    <w:rsid w:val="39B012FF"/>
    <w:rsid w:val="39C26132"/>
    <w:rsid w:val="39C3314D"/>
    <w:rsid w:val="39CD410F"/>
    <w:rsid w:val="39F03816"/>
    <w:rsid w:val="3A085004"/>
    <w:rsid w:val="3A3C6A5B"/>
    <w:rsid w:val="3A3E0A25"/>
    <w:rsid w:val="3A83468A"/>
    <w:rsid w:val="3A841B03"/>
    <w:rsid w:val="3A8F302F"/>
    <w:rsid w:val="3ADE3FB6"/>
    <w:rsid w:val="3AFB06C4"/>
    <w:rsid w:val="3B0C28D2"/>
    <w:rsid w:val="3B194FEF"/>
    <w:rsid w:val="3B3C308E"/>
    <w:rsid w:val="3B537F3B"/>
    <w:rsid w:val="3B561D9F"/>
    <w:rsid w:val="3B602C1D"/>
    <w:rsid w:val="3B9823B7"/>
    <w:rsid w:val="3BA42B0A"/>
    <w:rsid w:val="3BB54D17"/>
    <w:rsid w:val="3BF27D19"/>
    <w:rsid w:val="3BFD221A"/>
    <w:rsid w:val="3C145EE2"/>
    <w:rsid w:val="3C3A521C"/>
    <w:rsid w:val="3C3C30DC"/>
    <w:rsid w:val="3C677B59"/>
    <w:rsid w:val="3C6D55F2"/>
    <w:rsid w:val="3C722C08"/>
    <w:rsid w:val="3C7544A7"/>
    <w:rsid w:val="3C8B10BA"/>
    <w:rsid w:val="3CA60B04"/>
    <w:rsid w:val="3CEF4259"/>
    <w:rsid w:val="3D1B6DFC"/>
    <w:rsid w:val="3D281519"/>
    <w:rsid w:val="3D3E2AEA"/>
    <w:rsid w:val="3D404AB5"/>
    <w:rsid w:val="3D7D1865"/>
    <w:rsid w:val="3E0B0C1F"/>
    <w:rsid w:val="3E1321C9"/>
    <w:rsid w:val="3E2241BA"/>
    <w:rsid w:val="3E886B76"/>
    <w:rsid w:val="3EB72B54"/>
    <w:rsid w:val="3EEB75F6"/>
    <w:rsid w:val="3F0C292F"/>
    <w:rsid w:val="3F2726D2"/>
    <w:rsid w:val="3F7942AE"/>
    <w:rsid w:val="3F7FE3AC"/>
    <w:rsid w:val="3F8073EA"/>
    <w:rsid w:val="3FA05CDE"/>
    <w:rsid w:val="3FE536F1"/>
    <w:rsid w:val="3FF676AC"/>
    <w:rsid w:val="40844CB8"/>
    <w:rsid w:val="40972C3D"/>
    <w:rsid w:val="41067DC3"/>
    <w:rsid w:val="41263FC1"/>
    <w:rsid w:val="41C23CEA"/>
    <w:rsid w:val="41D06C1A"/>
    <w:rsid w:val="42022339"/>
    <w:rsid w:val="422C59B9"/>
    <w:rsid w:val="423D5A66"/>
    <w:rsid w:val="42576B28"/>
    <w:rsid w:val="42786A9F"/>
    <w:rsid w:val="42DA32B5"/>
    <w:rsid w:val="42DE2DA6"/>
    <w:rsid w:val="430D71E7"/>
    <w:rsid w:val="43192030"/>
    <w:rsid w:val="432509D4"/>
    <w:rsid w:val="43394480"/>
    <w:rsid w:val="4372029A"/>
    <w:rsid w:val="43AC4C52"/>
    <w:rsid w:val="43E342F3"/>
    <w:rsid w:val="442E1B0B"/>
    <w:rsid w:val="44305A50"/>
    <w:rsid w:val="444063F8"/>
    <w:rsid w:val="444430DC"/>
    <w:rsid w:val="44511355"/>
    <w:rsid w:val="445D5F4C"/>
    <w:rsid w:val="448B0D0B"/>
    <w:rsid w:val="45364191"/>
    <w:rsid w:val="453F5652"/>
    <w:rsid w:val="45813EBC"/>
    <w:rsid w:val="45B95FD1"/>
    <w:rsid w:val="45C269AF"/>
    <w:rsid w:val="45DE130F"/>
    <w:rsid w:val="45E00BE3"/>
    <w:rsid w:val="45F91CA4"/>
    <w:rsid w:val="463D7DE3"/>
    <w:rsid w:val="464F6090"/>
    <w:rsid w:val="46722E6E"/>
    <w:rsid w:val="46731A57"/>
    <w:rsid w:val="4674757D"/>
    <w:rsid w:val="469C35C3"/>
    <w:rsid w:val="46E82445"/>
    <w:rsid w:val="47215957"/>
    <w:rsid w:val="473C453F"/>
    <w:rsid w:val="47790475"/>
    <w:rsid w:val="48084421"/>
    <w:rsid w:val="48094AB4"/>
    <w:rsid w:val="48141018"/>
    <w:rsid w:val="48254FD3"/>
    <w:rsid w:val="482B3899"/>
    <w:rsid w:val="485812D4"/>
    <w:rsid w:val="48A24875"/>
    <w:rsid w:val="48C7608A"/>
    <w:rsid w:val="48FF75D2"/>
    <w:rsid w:val="49105C83"/>
    <w:rsid w:val="49284D7B"/>
    <w:rsid w:val="495A6EFE"/>
    <w:rsid w:val="49781DC3"/>
    <w:rsid w:val="498E0956"/>
    <w:rsid w:val="49B77EAC"/>
    <w:rsid w:val="49B93C25"/>
    <w:rsid w:val="49C01457"/>
    <w:rsid w:val="4A0836EE"/>
    <w:rsid w:val="4A2F4CEB"/>
    <w:rsid w:val="4A325785"/>
    <w:rsid w:val="4A3B288C"/>
    <w:rsid w:val="4A595408"/>
    <w:rsid w:val="4A783AE0"/>
    <w:rsid w:val="4A834233"/>
    <w:rsid w:val="4AA76173"/>
    <w:rsid w:val="4AA91EEB"/>
    <w:rsid w:val="4AC00FE3"/>
    <w:rsid w:val="4AC22FAD"/>
    <w:rsid w:val="4ACE3700"/>
    <w:rsid w:val="4AE74A04"/>
    <w:rsid w:val="4AF55130"/>
    <w:rsid w:val="4AFB4FCD"/>
    <w:rsid w:val="4B4B11F4"/>
    <w:rsid w:val="4B5005B9"/>
    <w:rsid w:val="4B50450A"/>
    <w:rsid w:val="4B644010"/>
    <w:rsid w:val="4B775E3F"/>
    <w:rsid w:val="4B7D6ED4"/>
    <w:rsid w:val="4B8D7117"/>
    <w:rsid w:val="4BBD3AED"/>
    <w:rsid w:val="4C03387D"/>
    <w:rsid w:val="4C1A4723"/>
    <w:rsid w:val="4C5A562A"/>
    <w:rsid w:val="4C673E0C"/>
    <w:rsid w:val="4C6C6FA4"/>
    <w:rsid w:val="4CC848CC"/>
    <w:rsid w:val="4CD9169C"/>
    <w:rsid w:val="4CF5255E"/>
    <w:rsid w:val="4D043409"/>
    <w:rsid w:val="4D387556"/>
    <w:rsid w:val="4D44414D"/>
    <w:rsid w:val="4D471250"/>
    <w:rsid w:val="4D4E28D6"/>
    <w:rsid w:val="4D5A127B"/>
    <w:rsid w:val="4D714816"/>
    <w:rsid w:val="4D7C38E7"/>
    <w:rsid w:val="4D896004"/>
    <w:rsid w:val="4DCD4142"/>
    <w:rsid w:val="4DE80F7C"/>
    <w:rsid w:val="4DF72F6D"/>
    <w:rsid w:val="4DFC0A12"/>
    <w:rsid w:val="4E0F0794"/>
    <w:rsid w:val="4E1A53FF"/>
    <w:rsid w:val="4E8D5680"/>
    <w:rsid w:val="4E951674"/>
    <w:rsid w:val="4EBC50A0"/>
    <w:rsid w:val="4EFB3B7E"/>
    <w:rsid w:val="4F035942"/>
    <w:rsid w:val="4F2002A2"/>
    <w:rsid w:val="4F2A1121"/>
    <w:rsid w:val="4F7A3E56"/>
    <w:rsid w:val="4F7F87F6"/>
    <w:rsid w:val="4F9B5B7A"/>
    <w:rsid w:val="4FE65048"/>
    <w:rsid w:val="4FED4628"/>
    <w:rsid w:val="500B14C9"/>
    <w:rsid w:val="50146059"/>
    <w:rsid w:val="501C054C"/>
    <w:rsid w:val="50377A0F"/>
    <w:rsid w:val="505A3781"/>
    <w:rsid w:val="506F14E1"/>
    <w:rsid w:val="50A53155"/>
    <w:rsid w:val="50CC06E1"/>
    <w:rsid w:val="50DB6B76"/>
    <w:rsid w:val="50E13A61"/>
    <w:rsid w:val="50E27F05"/>
    <w:rsid w:val="50E53551"/>
    <w:rsid w:val="50FE5F68"/>
    <w:rsid w:val="5101328D"/>
    <w:rsid w:val="511677DD"/>
    <w:rsid w:val="512322CB"/>
    <w:rsid w:val="515501CB"/>
    <w:rsid w:val="515A3F3F"/>
    <w:rsid w:val="516A7EFA"/>
    <w:rsid w:val="51DA6E2E"/>
    <w:rsid w:val="51DD691E"/>
    <w:rsid w:val="51F7178E"/>
    <w:rsid w:val="520D0FB1"/>
    <w:rsid w:val="521E31BF"/>
    <w:rsid w:val="523C3645"/>
    <w:rsid w:val="52EF06B7"/>
    <w:rsid w:val="5385101B"/>
    <w:rsid w:val="539D6365"/>
    <w:rsid w:val="53B316E5"/>
    <w:rsid w:val="541461E1"/>
    <w:rsid w:val="541A79B6"/>
    <w:rsid w:val="541C6702"/>
    <w:rsid w:val="5429409D"/>
    <w:rsid w:val="543A0058"/>
    <w:rsid w:val="547075D6"/>
    <w:rsid w:val="548337AD"/>
    <w:rsid w:val="54B55930"/>
    <w:rsid w:val="54F75F49"/>
    <w:rsid w:val="55172147"/>
    <w:rsid w:val="552705DC"/>
    <w:rsid w:val="55320D2F"/>
    <w:rsid w:val="55646FF0"/>
    <w:rsid w:val="55782BE6"/>
    <w:rsid w:val="55821CB6"/>
    <w:rsid w:val="55B41744"/>
    <w:rsid w:val="55B87486"/>
    <w:rsid w:val="55EB378A"/>
    <w:rsid w:val="560142D4"/>
    <w:rsid w:val="56815ACA"/>
    <w:rsid w:val="56BA2133"/>
    <w:rsid w:val="56BF65F2"/>
    <w:rsid w:val="56C02A96"/>
    <w:rsid w:val="57340D8E"/>
    <w:rsid w:val="57346FE0"/>
    <w:rsid w:val="57390153"/>
    <w:rsid w:val="574216FD"/>
    <w:rsid w:val="57435EE8"/>
    <w:rsid w:val="57633422"/>
    <w:rsid w:val="57925AB5"/>
    <w:rsid w:val="579B1511"/>
    <w:rsid w:val="584C2108"/>
    <w:rsid w:val="58564D34"/>
    <w:rsid w:val="587F6039"/>
    <w:rsid w:val="58B101BD"/>
    <w:rsid w:val="58BF6D7E"/>
    <w:rsid w:val="58E42340"/>
    <w:rsid w:val="58EF1411"/>
    <w:rsid w:val="592D37E6"/>
    <w:rsid w:val="593037D7"/>
    <w:rsid w:val="593257A1"/>
    <w:rsid w:val="596C2A61"/>
    <w:rsid w:val="59927FEE"/>
    <w:rsid w:val="59C4289D"/>
    <w:rsid w:val="59E06FAB"/>
    <w:rsid w:val="5A11622B"/>
    <w:rsid w:val="5A2450EA"/>
    <w:rsid w:val="5A690D4F"/>
    <w:rsid w:val="5A7122F9"/>
    <w:rsid w:val="5AC02939"/>
    <w:rsid w:val="5AEE03C0"/>
    <w:rsid w:val="5B0B44FC"/>
    <w:rsid w:val="5B3C2907"/>
    <w:rsid w:val="5B3D3F8A"/>
    <w:rsid w:val="5B4A57B9"/>
    <w:rsid w:val="5B5163B3"/>
    <w:rsid w:val="5B5714EF"/>
    <w:rsid w:val="5B82200F"/>
    <w:rsid w:val="5B995664"/>
    <w:rsid w:val="5BA76EDA"/>
    <w:rsid w:val="5BB1660E"/>
    <w:rsid w:val="5BBB15F0"/>
    <w:rsid w:val="5BD743DE"/>
    <w:rsid w:val="5BDB7A2A"/>
    <w:rsid w:val="5BDC1D36"/>
    <w:rsid w:val="5BFBE680"/>
    <w:rsid w:val="5C311DE0"/>
    <w:rsid w:val="5C3D1576"/>
    <w:rsid w:val="5CD16E8B"/>
    <w:rsid w:val="5CDF179C"/>
    <w:rsid w:val="5CFD1C22"/>
    <w:rsid w:val="5D0E1443"/>
    <w:rsid w:val="5D261179"/>
    <w:rsid w:val="5D2F6ACB"/>
    <w:rsid w:val="5D3A69D3"/>
    <w:rsid w:val="5D3D63DE"/>
    <w:rsid w:val="5D3D64C3"/>
    <w:rsid w:val="5D537A94"/>
    <w:rsid w:val="5D7BAC10"/>
    <w:rsid w:val="5D9205BD"/>
    <w:rsid w:val="5D9F2CDA"/>
    <w:rsid w:val="5E510478"/>
    <w:rsid w:val="5E5B12F6"/>
    <w:rsid w:val="5E671A49"/>
    <w:rsid w:val="5E7F430E"/>
    <w:rsid w:val="5E824AD5"/>
    <w:rsid w:val="5EB34C8F"/>
    <w:rsid w:val="5EE4309A"/>
    <w:rsid w:val="5F021772"/>
    <w:rsid w:val="5F1576F7"/>
    <w:rsid w:val="5F166FCB"/>
    <w:rsid w:val="5F3758C0"/>
    <w:rsid w:val="5F7EBD39"/>
    <w:rsid w:val="5F887EC9"/>
    <w:rsid w:val="5FEF1CF6"/>
    <w:rsid w:val="5FF0147D"/>
    <w:rsid w:val="600A6B30"/>
    <w:rsid w:val="603E4A2C"/>
    <w:rsid w:val="6065645C"/>
    <w:rsid w:val="60D1764E"/>
    <w:rsid w:val="60D4713E"/>
    <w:rsid w:val="60DA29A7"/>
    <w:rsid w:val="61167757"/>
    <w:rsid w:val="615F2EAC"/>
    <w:rsid w:val="6184343E"/>
    <w:rsid w:val="618648DC"/>
    <w:rsid w:val="61A82AA5"/>
    <w:rsid w:val="61A94127"/>
    <w:rsid w:val="61E33ADD"/>
    <w:rsid w:val="61F515AC"/>
    <w:rsid w:val="62287742"/>
    <w:rsid w:val="6254011E"/>
    <w:rsid w:val="626D3C1F"/>
    <w:rsid w:val="62A45F36"/>
    <w:rsid w:val="62B40FD5"/>
    <w:rsid w:val="62B94B0E"/>
    <w:rsid w:val="62C3746A"/>
    <w:rsid w:val="62CF4061"/>
    <w:rsid w:val="63203B83"/>
    <w:rsid w:val="63464323"/>
    <w:rsid w:val="6356208C"/>
    <w:rsid w:val="635A7DCF"/>
    <w:rsid w:val="63690012"/>
    <w:rsid w:val="63754C08"/>
    <w:rsid w:val="63901A42"/>
    <w:rsid w:val="63A252D2"/>
    <w:rsid w:val="63B05C41"/>
    <w:rsid w:val="63E72C99"/>
    <w:rsid w:val="640E2967"/>
    <w:rsid w:val="64283A29"/>
    <w:rsid w:val="645E744B"/>
    <w:rsid w:val="64942E6C"/>
    <w:rsid w:val="64966BE4"/>
    <w:rsid w:val="64B96D77"/>
    <w:rsid w:val="64E01E42"/>
    <w:rsid w:val="64E536C8"/>
    <w:rsid w:val="650D2C1F"/>
    <w:rsid w:val="65336B29"/>
    <w:rsid w:val="653B3C30"/>
    <w:rsid w:val="653D1D55"/>
    <w:rsid w:val="65AE4402"/>
    <w:rsid w:val="65B71508"/>
    <w:rsid w:val="65FF6A0B"/>
    <w:rsid w:val="66173D55"/>
    <w:rsid w:val="666F1DE3"/>
    <w:rsid w:val="6694184A"/>
    <w:rsid w:val="671169F6"/>
    <w:rsid w:val="677222C7"/>
    <w:rsid w:val="6775B9E8"/>
    <w:rsid w:val="67855449"/>
    <w:rsid w:val="67917B37"/>
    <w:rsid w:val="6793571A"/>
    <w:rsid w:val="67E5463B"/>
    <w:rsid w:val="67FD341E"/>
    <w:rsid w:val="68273FF7"/>
    <w:rsid w:val="683F7593"/>
    <w:rsid w:val="6852376A"/>
    <w:rsid w:val="68725BBA"/>
    <w:rsid w:val="688D6907"/>
    <w:rsid w:val="688F22C8"/>
    <w:rsid w:val="68B00491"/>
    <w:rsid w:val="68B7537B"/>
    <w:rsid w:val="68E32614"/>
    <w:rsid w:val="69006D22"/>
    <w:rsid w:val="690973A1"/>
    <w:rsid w:val="694035C3"/>
    <w:rsid w:val="697D47FD"/>
    <w:rsid w:val="698E07D2"/>
    <w:rsid w:val="69990F25"/>
    <w:rsid w:val="69CB1CFB"/>
    <w:rsid w:val="69D75AE7"/>
    <w:rsid w:val="69DB32EB"/>
    <w:rsid w:val="69FC1BE0"/>
    <w:rsid w:val="6A222CC8"/>
    <w:rsid w:val="6A2B7DCF"/>
    <w:rsid w:val="6A3F7D1E"/>
    <w:rsid w:val="6A8614A9"/>
    <w:rsid w:val="6A9E67F3"/>
    <w:rsid w:val="6AB84E41"/>
    <w:rsid w:val="6AD55F8D"/>
    <w:rsid w:val="6AED1528"/>
    <w:rsid w:val="6B00125C"/>
    <w:rsid w:val="6B126E6C"/>
    <w:rsid w:val="6B136FFE"/>
    <w:rsid w:val="6B317667"/>
    <w:rsid w:val="6B79100E"/>
    <w:rsid w:val="6B8D6867"/>
    <w:rsid w:val="6B8F438D"/>
    <w:rsid w:val="6B994490"/>
    <w:rsid w:val="6BB81B36"/>
    <w:rsid w:val="6BC4672D"/>
    <w:rsid w:val="6BE75F78"/>
    <w:rsid w:val="6C305B70"/>
    <w:rsid w:val="6C861C34"/>
    <w:rsid w:val="6C9F1808"/>
    <w:rsid w:val="6CB06CB1"/>
    <w:rsid w:val="6CCD1611"/>
    <w:rsid w:val="6CE10C19"/>
    <w:rsid w:val="6CE64481"/>
    <w:rsid w:val="6CED5810"/>
    <w:rsid w:val="6CFA617E"/>
    <w:rsid w:val="6D2D0302"/>
    <w:rsid w:val="6D57712D"/>
    <w:rsid w:val="6D7C6B93"/>
    <w:rsid w:val="6D7E46BA"/>
    <w:rsid w:val="6D855A48"/>
    <w:rsid w:val="6D9B34BE"/>
    <w:rsid w:val="6DCF3167"/>
    <w:rsid w:val="6DF42BCE"/>
    <w:rsid w:val="6E0E3C8F"/>
    <w:rsid w:val="6E61336E"/>
    <w:rsid w:val="6E6164B5"/>
    <w:rsid w:val="6E7F693B"/>
    <w:rsid w:val="6E9323E7"/>
    <w:rsid w:val="6E971ED7"/>
    <w:rsid w:val="6E9A4651"/>
    <w:rsid w:val="6E9D5013"/>
    <w:rsid w:val="6EAF575B"/>
    <w:rsid w:val="6EC95E08"/>
    <w:rsid w:val="6EED1CBD"/>
    <w:rsid w:val="6EF410D7"/>
    <w:rsid w:val="6F060E0B"/>
    <w:rsid w:val="6F2B0871"/>
    <w:rsid w:val="6F5C0A2B"/>
    <w:rsid w:val="6F8B1310"/>
    <w:rsid w:val="6F9D176F"/>
    <w:rsid w:val="6FA0300D"/>
    <w:rsid w:val="6FB645DF"/>
    <w:rsid w:val="6FBC2D74"/>
    <w:rsid w:val="6FD902CD"/>
    <w:rsid w:val="7000585A"/>
    <w:rsid w:val="70090BB2"/>
    <w:rsid w:val="701A201D"/>
    <w:rsid w:val="70343755"/>
    <w:rsid w:val="705636CC"/>
    <w:rsid w:val="705A140E"/>
    <w:rsid w:val="705C33D8"/>
    <w:rsid w:val="70A24B63"/>
    <w:rsid w:val="70E37655"/>
    <w:rsid w:val="715A71EC"/>
    <w:rsid w:val="718F50E7"/>
    <w:rsid w:val="71950224"/>
    <w:rsid w:val="71BE777B"/>
    <w:rsid w:val="71D64F71"/>
    <w:rsid w:val="71FD533F"/>
    <w:rsid w:val="720D24B0"/>
    <w:rsid w:val="721455EC"/>
    <w:rsid w:val="7231619E"/>
    <w:rsid w:val="72476BB0"/>
    <w:rsid w:val="727F10CF"/>
    <w:rsid w:val="72928061"/>
    <w:rsid w:val="72A05AA9"/>
    <w:rsid w:val="72A76461"/>
    <w:rsid w:val="72C62D8B"/>
    <w:rsid w:val="72D410D4"/>
    <w:rsid w:val="73155AC0"/>
    <w:rsid w:val="732D2E0A"/>
    <w:rsid w:val="73410663"/>
    <w:rsid w:val="7343262D"/>
    <w:rsid w:val="7346211D"/>
    <w:rsid w:val="735E1215"/>
    <w:rsid w:val="738549F4"/>
    <w:rsid w:val="73CA4E99"/>
    <w:rsid w:val="73EEE3B3"/>
    <w:rsid w:val="74341F76"/>
    <w:rsid w:val="748841B8"/>
    <w:rsid w:val="74BD1F6B"/>
    <w:rsid w:val="74DF106C"/>
    <w:rsid w:val="74E454DF"/>
    <w:rsid w:val="7501454E"/>
    <w:rsid w:val="750D28FA"/>
    <w:rsid w:val="754B57C9"/>
    <w:rsid w:val="75531CD2"/>
    <w:rsid w:val="755723C0"/>
    <w:rsid w:val="755A5A0C"/>
    <w:rsid w:val="75750A98"/>
    <w:rsid w:val="75894543"/>
    <w:rsid w:val="75B96BD7"/>
    <w:rsid w:val="75DC0B17"/>
    <w:rsid w:val="75DC4673"/>
    <w:rsid w:val="75E04106"/>
    <w:rsid w:val="762A3631"/>
    <w:rsid w:val="764D3ABF"/>
    <w:rsid w:val="76540E22"/>
    <w:rsid w:val="76764AC8"/>
    <w:rsid w:val="76D90BB3"/>
    <w:rsid w:val="770519A8"/>
    <w:rsid w:val="771A18F7"/>
    <w:rsid w:val="773B6902"/>
    <w:rsid w:val="77562203"/>
    <w:rsid w:val="77614981"/>
    <w:rsid w:val="77A80CB1"/>
    <w:rsid w:val="77F1616C"/>
    <w:rsid w:val="77FC7038"/>
    <w:rsid w:val="78197E01"/>
    <w:rsid w:val="78241F79"/>
    <w:rsid w:val="78770683"/>
    <w:rsid w:val="78A20769"/>
    <w:rsid w:val="78A661D7"/>
    <w:rsid w:val="78F85C68"/>
    <w:rsid w:val="790A3D76"/>
    <w:rsid w:val="7927403C"/>
    <w:rsid w:val="79330A4E"/>
    <w:rsid w:val="79442F5D"/>
    <w:rsid w:val="797060A1"/>
    <w:rsid w:val="79951709"/>
    <w:rsid w:val="79AE27CB"/>
    <w:rsid w:val="79BF0534"/>
    <w:rsid w:val="79F0693F"/>
    <w:rsid w:val="79FA5A10"/>
    <w:rsid w:val="7A470119"/>
    <w:rsid w:val="7A4F18B8"/>
    <w:rsid w:val="7A5073DE"/>
    <w:rsid w:val="7A7255A6"/>
    <w:rsid w:val="7A94376E"/>
    <w:rsid w:val="7AAC6D0A"/>
    <w:rsid w:val="7AD85D51"/>
    <w:rsid w:val="7B0A2AE0"/>
    <w:rsid w:val="7B2C6E68"/>
    <w:rsid w:val="7B656EB9"/>
    <w:rsid w:val="7B6C0247"/>
    <w:rsid w:val="7B8437E3"/>
    <w:rsid w:val="7BAE2083"/>
    <w:rsid w:val="7BB045D8"/>
    <w:rsid w:val="7BF05F09"/>
    <w:rsid w:val="7C370855"/>
    <w:rsid w:val="7C4411C4"/>
    <w:rsid w:val="7CA13F21"/>
    <w:rsid w:val="7CAA54CB"/>
    <w:rsid w:val="7CBE0F77"/>
    <w:rsid w:val="7CC02A4E"/>
    <w:rsid w:val="7CC12815"/>
    <w:rsid w:val="7D1B0177"/>
    <w:rsid w:val="7D3F7871"/>
    <w:rsid w:val="7D43322A"/>
    <w:rsid w:val="7D480840"/>
    <w:rsid w:val="7D625DA6"/>
    <w:rsid w:val="7DB67EA0"/>
    <w:rsid w:val="7DDD9546"/>
    <w:rsid w:val="7DE92023"/>
    <w:rsid w:val="7DFD264D"/>
    <w:rsid w:val="7E156974"/>
    <w:rsid w:val="7E1D3A7B"/>
    <w:rsid w:val="7E505012"/>
    <w:rsid w:val="7E5971A9"/>
    <w:rsid w:val="7E66F7C7"/>
    <w:rsid w:val="7E88183C"/>
    <w:rsid w:val="7E8D21C1"/>
    <w:rsid w:val="7E9C7095"/>
    <w:rsid w:val="7EA30424"/>
    <w:rsid w:val="7EDE76AE"/>
    <w:rsid w:val="7EE61616"/>
    <w:rsid w:val="7F00043A"/>
    <w:rsid w:val="7F0D26FB"/>
    <w:rsid w:val="7F345520"/>
    <w:rsid w:val="7F4A08A0"/>
    <w:rsid w:val="7F531E4A"/>
    <w:rsid w:val="7F7678E7"/>
    <w:rsid w:val="7F76DC8A"/>
    <w:rsid w:val="7F9E3FCD"/>
    <w:rsid w:val="7FA23ACC"/>
    <w:rsid w:val="7FA43ACB"/>
    <w:rsid w:val="7FBD04EC"/>
    <w:rsid w:val="7FC76394"/>
    <w:rsid w:val="7FDD7966"/>
    <w:rsid w:val="96FF82DD"/>
    <w:rsid w:val="99FF98DC"/>
    <w:rsid w:val="9EFBD13F"/>
    <w:rsid w:val="AB6B4B97"/>
    <w:rsid w:val="AEFF1605"/>
    <w:rsid w:val="B36F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kern w:val="0"/>
      <w:sz w:val="24"/>
    </w:rPr>
  </w:style>
  <w:style w:type="paragraph" w:styleId="a6">
    <w:name w:val="List Paragraph"/>
    <w:basedOn w:val="a"/>
    <w:uiPriority w:val="34"/>
    <w:qFormat/>
    <w:pPr>
      <w:ind w:firstLineChars="200" w:firstLine="420"/>
    </w:p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kern w:val="0"/>
      <w:sz w:val="24"/>
    </w:rPr>
  </w:style>
  <w:style w:type="paragraph" w:styleId="a6">
    <w:name w:val="List Paragraph"/>
    <w:basedOn w:val="a"/>
    <w:uiPriority w:val="34"/>
    <w:qFormat/>
    <w:pPr>
      <w:ind w:firstLineChars="200" w:firstLine="420"/>
    </w:p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427</Words>
  <Characters>2436</Characters>
  <Application>Microsoft Office Word</Application>
  <DocSecurity>0</DocSecurity>
  <Lines>20</Lines>
  <Paragraphs>5</Paragraphs>
  <ScaleCrop>false</ScaleCrop>
  <Company>SANMEI</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大钳嬛筱竹子</dc:creator>
  <cp:lastModifiedBy>Windows 用户</cp:lastModifiedBy>
  <cp:revision>290</cp:revision>
  <dcterms:created xsi:type="dcterms:W3CDTF">2022-04-29T13:58:00Z</dcterms:created>
  <dcterms:modified xsi:type="dcterms:W3CDTF">2023-11-14T08:53:00Z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C41E76005A3D73FAA6322F65D6A3A3DF_43</vt:lpwstr>
  </property>
</Properties>
</file>