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证券代码：603707       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24"/>
          <w:szCs w:val="24"/>
        </w:rPr>
        <w:t xml:space="preserve">  证券简称：健友股份      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bCs/>
          <w:sz w:val="24"/>
          <w:szCs w:val="24"/>
        </w:rPr>
        <w:t>编号：202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sz w:val="24"/>
          <w:szCs w:val="24"/>
        </w:rPr>
        <w:t>-00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 xml:space="preserve">1       </w:t>
      </w:r>
      <w:r>
        <w:rPr>
          <w:rFonts w:hint="eastAsia" w:asciiTheme="minorEastAsia" w:hAnsiTheme="minorEastAsia"/>
          <w:b/>
          <w:bCs/>
          <w:sz w:val="24"/>
          <w:szCs w:val="24"/>
        </w:rPr>
        <w:t xml:space="preserve">债券代码：113579         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24"/>
          <w:szCs w:val="24"/>
        </w:rPr>
        <w:t>债券简称：健友转债</w:t>
      </w:r>
    </w:p>
    <w:p>
      <w:pPr>
        <w:adjustRightInd w:val="0"/>
        <w:snapToGrid w:val="0"/>
        <w:spacing w:line="360" w:lineRule="auto"/>
        <w:jc w:val="left"/>
        <w:rPr>
          <w:rFonts w:hint="eastAsia" w:asciiTheme="minorEastAsia" w:hAnsiTheme="minorEastAsia"/>
          <w:b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南京健友生化制药股份</w:t>
      </w: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>有</w:t>
      </w:r>
      <w:r>
        <w:rPr>
          <w:rFonts w:hint="eastAsia" w:asciiTheme="minorEastAsia" w:hAnsiTheme="minorEastAsia"/>
          <w:b/>
          <w:bCs/>
          <w:sz w:val="36"/>
          <w:szCs w:val="36"/>
        </w:rPr>
        <w:t>限公司</w:t>
      </w:r>
    </w:p>
    <w:p>
      <w:pPr>
        <w:adjustRightInd w:val="0"/>
        <w:snapToGrid w:val="0"/>
        <w:spacing w:line="360" w:lineRule="auto"/>
        <w:jc w:val="center"/>
        <w:rPr>
          <w:rFonts w:hint="eastAsia" w:asciiTheme="minorEastAsia" w:hAnsiTheme="minorEastAsia"/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投资者关系活动记录表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7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658" w:type="dxa"/>
          </w:tcPr>
          <w:p>
            <w:pPr>
              <w:pStyle w:val="5"/>
              <w:spacing w:before="170" w:line="374" w:lineRule="auto"/>
              <w:ind w:left="225" w:right="21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投资者关系活动类别</w:t>
            </w:r>
            <w:r>
              <w:rPr>
                <w:b/>
                <w:w w:val="99"/>
                <w:sz w:val="24"/>
              </w:rPr>
              <w:t xml:space="preserve"> </w:t>
            </w:r>
          </w:p>
          <w:p>
            <w:pPr>
              <w:pStyle w:val="5"/>
              <w:spacing w:before="1" w:line="289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364" w:type="dxa"/>
          </w:tcPr>
          <w:p>
            <w:pPr>
              <w:pStyle w:val="5"/>
              <w:spacing w:before="170"/>
              <w:rPr>
                <w:sz w:val="24"/>
              </w:rPr>
            </w:pPr>
            <w:r>
              <w:rPr>
                <w:sz w:val="24"/>
              </w:rPr>
              <w:t xml:space="preserve">■特定对象调研 □分析师会议□媒体采访 □业绩说明会 </w:t>
            </w:r>
          </w:p>
          <w:p>
            <w:pPr>
              <w:pStyle w:val="5"/>
              <w:spacing w:before="172"/>
              <w:rPr>
                <w:sz w:val="24"/>
              </w:rPr>
            </w:pPr>
            <w:r>
              <w:rPr>
                <w:sz w:val="24"/>
              </w:rPr>
              <w:t xml:space="preserve">□新闻发布会 □路演活动 □现场参观   </w:t>
            </w:r>
          </w:p>
          <w:p>
            <w:pPr>
              <w:pStyle w:val="5"/>
              <w:spacing w:before="173" w:line="289" w:lineRule="exact"/>
              <w:rPr>
                <w:sz w:val="24"/>
              </w:rPr>
            </w:pPr>
            <w:r>
              <w:rPr>
                <w:sz w:val="24"/>
              </w:rPr>
              <w:t xml:space="preserve">□其他（请文字说明其他活动内容）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9" w:hRule="atLeast"/>
          <w:jc w:val="center"/>
        </w:trPr>
        <w:tc>
          <w:tcPr>
            <w:tcW w:w="1658" w:type="dxa"/>
            <w:vAlign w:val="center"/>
          </w:tcPr>
          <w:p>
            <w:pPr>
              <w:pStyle w:val="5"/>
              <w:ind w:left="0"/>
              <w:jc w:val="center"/>
              <w:rPr>
                <w:sz w:val="24"/>
              </w:rPr>
            </w:pPr>
          </w:p>
          <w:p>
            <w:pPr>
              <w:pStyle w:val="5"/>
              <w:ind w:left="0"/>
              <w:jc w:val="center"/>
              <w:rPr>
                <w:sz w:val="24"/>
              </w:rPr>
            </w:pPr>
          </w:p>
          <w:p>
            <w:pPr>
              <w:pStyle w:val="5"/>
              <w:ind w:left="0"/>
              <w:jc w:val="center"/>
              <w:rPr>
                <w:sz w:val="24"/>
              </w:rPr>
            </w:pPr>
          </w:p>
          <w:p>
            <w:pPr>
              <w:pStyle w:val="5"/>
              <w:ind w:left="0"/>
              <w:jc w:val="center"/>
              <w:rPr>
                <w:sz w:val="24"/>
              </w:rPr>
            </w:pPr>
          </w:p>
          <w:p>
            <w:pPr>
              <w:pStyle w:val="5"/>
              <w:ind w:left="0"/>
              <w:jc w:val="center"/>
              <w:rPr>
                <w:sz w:val="24"/>
              </w:rPr>
            </w:pPr>
          </w:p>
          <w:p>
            <w:pPr>
              <w:pStyle w:val="5"/>
              <w:spacing w:before="9"/>
              <w:ind w:left="0"/>
              <w:jc w:val="center"/>
              <w:rPr>
                <w:sz w:val="19"/>
              </w:rPr>
            </w:pPr>
          </w:p>
          <w:p>
            <w:pPr>
              <w:pStyle w:val="5"/>
              <w:spacing w:line="374" w:lineRule="auto"/>
              <w:ind w:left="225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参与单位名称及人员姓名</w:t>
            </w:r>
          </w:p>
        </w:tc>
        <w:tc>
          <w:tcPr>
            <w:tcW w:w="7364" w:type="dxa"/>
          </w:tcPr>
          <w:tbl>
            <w:tblPr>
              <w:tblStyle w:val="3"/>
              <w:tblW w:w="6777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2"/>
              <w:gridCol w:w="750"/>
              <w:gridCol w:w="950"/>
              <w:gridCol w:w="1250"/>
              <w:gridCol w:w="1438"/>
              <w:gridCol w:w="1237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4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等线" w:hAnsi="等线" w:eastAsia="等线" w:cs="等线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等线" w:hAnsi="等线" w:eastAsia="等线" w:cs="等线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兴业证券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黄翰漾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招银理财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熊超逸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富国基金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孙笑悦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鲍尔赛嘉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林炎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兴业证券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杨希成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招银理财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郝雪梅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广发资管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徐默凡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长盛基金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郝征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德汇集团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蔡荣转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国君资管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吴佳玮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中泰资管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张闻熙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HBM Partners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郭牧青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鲸域资产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万巍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华夏久盈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张伟光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富国基金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周文波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凯丰投资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薛良辰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财通基金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沈犁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峰境基金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魏磊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蜂巢基金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赵花琴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银河基金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施文琪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中海基金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陈玮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汇安基金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高苏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Point72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李大蔚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兴业证券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邹文凯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万纳资产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王立立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东证创金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刘梦杨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远信资本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国新证券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秦墅隆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兴业证券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黄志刚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鹏扬基金</w:t>
                  </w: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王雪刚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国华兴益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孙如琼</w:t>
                  </w:r>
                </w:p>
              </w:tc>
              <w:tc>
                <w:tcPr>
                  <w:tcW w:w="9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申万菱信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强泽平</w:t>
                  </w:r>
                </w:p>
              </w:tc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</w:p>
              </w:tc>
              <w:tc>
                <w:tcPr>
                  <w:tcW w:w="12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zh-CN" w:eastAsia="zh-CN" w:bidi="zh-CN"/>
                    </w:rPr>
                  </w:pPr>
                </w:p>
              </w:tc>
            </w:tr>
          </w:tbl>
          <w:p>
            <w:pPr>
              <w:pStyle w:val="5"/>
              <w:spacing w:before="5" w:line="360" w:lineRule="auto"/>
              <w:ind w:firstLine="480" w:firstLineChars="200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58" w:type="dxa"/>
            <w:vAlign w:val="center"/>
          </w:tcPr>
          <w:p>
            <w:pPr>
              <w:pStyle w:val="5"/>
              <w:spacing w:before="172" w:line="289" w:lineRule="exact"/>
              <w:ind w:left="0" w:right="45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 xml:space="preserve">    </w:t>
            </w:r>
            <w:r>
              <w:rPr>
                <w:b/>
                <w:w w:val="95"/>
                <w:sz w:val="24"/>
              </w:rPr>
              <w:t>时间</w:t>
            </w:r>
          </w:p>
        </w:tc>
        <w:tc>
          <w:tcPr>
            <w:tcW w:w="7364" w:type="dxa"/>
          </w:tcPr>
          <w:p>
            <w:pPr>
              <w:pStyle w:val="5"/>
              <w:spacing w:before="172" w:line="28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  <w:r>
              <w:rPr>
                <w:sz w:val="24"/>
                <w:szCs w:val="24"/>
              </w:rPr>
              <w:t xml:space="preserve">日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658" w:type="dxa"/>
            <w:vAlign w:val="center"/>
          </w:tcPr>
          <w:p>
            <w:pPr>
              <w:pStyle w:val="5"/>
              <w:ind w:left="0" w:right="455" w:firstLine="458" w:firstLineChars="20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地点</w:t>
            </w:r>
          </w:p>
        </w:tc>
        <w:tc>
          <w:tcPr>
            <w:tcW w:w="7364" w:type="dxa"/>
          </w:tcPr>
          <w:p>
            <w:pPr>
              <w:pStyle w:val="5"/>
              <w:spacing w:before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南京市高新技术产业开发区学府路16号公司一楼会议室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58" w:type="dxa"/>
            <w:vAlign w:val="center"/>
          </w:tcPr>
          <w:p>
            <w:pPr>
              <w:pStyle w:val="5"/>
              <w:spacing w:before="26" w:line="480" w:lineRule="exact"/>
              <w:ind w:left="22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上市公司接待人员姓名</w:t>
            </w:r>
          </w:p>
        </w:tc>
        <w:tc>
          <w:tcPr>
            <w:tcW w:w="7364" w:type="dxa"/>
          </w:tcPr>
          <w:p>
            <w:pPr>
              <w:pStyle w:val="5"/>
              <w:spacing w:before="17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黄锡伟、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卞雅星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2" w:hRule="atLeast"/>
          <w:jc w:val="center"/>
        </w:trPr>
        <w:tc>
          <w:tcPr>
            <w:tcW w:w="1658" w:type="dxa"/>
          </w:tcPr>
          <w:p>
            <w:pPr>
              <w:pStyle w:val="5"/>
              <w:ind w:left="0"/>
              <w:rPr>
                <w:sz w:val="24"/>
              </w:rPr>
            </w:pPr>
          </w:p>
          <w:p>
            <w:pPr>
              <w:pStyle w:val="5"/>
              <w:ind w:left="0"/>
              <w:rPr>
                <w:sz w:val="24"/>
              </w:rPr>
            </w:pPr>
          </w:p>
          <w:p>
            <w:pPr>
              <w:pStyle w:val="5"/>
              <w:spacing w:before="5"/>
              <w:ind w:left="0"/>
              <w:rPr>
                <w:sz w:val="19"/>
              </w:rPr>
            </w:pPr>
          </w:p>
          <w:p>
            <w:pPr>
              <w:pStyle w:val="5"/>
              <w:spacing w:before="1" w:line="374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投资者关系活动主要内容介绍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364" w:type="dxa"/>
          </w:tcPr>
          <w:p>
            <w:pPr>
              <w:pStyle w:val="5"/>
              <w:spacing w:before="14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公司介绍</w:t>
            </w:r>
            <w:r>
              <w:rPr>
                <w:b/>
                <w:bCs/>
                <w:sz w:val="24"/>
              </w:rPr>
              <w:t xml:space="preserve">  </w:t>
            </w:r>
          </w:p>
          <w:p>
            <w:pPr>
              <w:spacing w:before="0" w:beforeAutospacing="0" w:after="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公司在境外和中国共设立三大研发中心，分别位于南京、成都、美国，形成了以肝素制剂类产品为主逐渐向肿瘤及免疫调节、代谢及消化系统、中枢神经系统等重点疾病领域方向拓展的研发战略，同时积极探索核酸类药物领域，搭建和形成小分子药、多肽药物和复杂制剂技术平台。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三大研发中心采取分工合作模式，显著提高了研发效率和降低了研发成本。南京实验室负责基于核酸检测技术的治疗研发工作，成都实验室承担了基于单克隆抗体类药物早期开发工作，美国是我们的全球市场临床研究中心。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公司产品管线目前覆盖抗凝血、抗肿瘤、心血管、麻醉、造影等手术辅助类、抗生素、抗菌类等领域，每年以10个以上的速度获批，累计申报超过100个、获批80多个（含同一产品不同规格），形成了丰富的产品管线，一篮子批件形成长尾效应，所有的市场累加起来就会形成一个比流行市场还大的市场。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在中国产品申报方面，公司一直坚持中美双报策略，在国内仿制药市场以药品集中采购为核心的发展思路下，我们充分凭借自身产线设计、质量管理体系等核心优势以及中美双报加快扩充产品管线、降低成本，近两年公司有多个产品获得国家药品监督管理局的上市批准，国内制剂销售规模迅速提升。未来随着公司国内产品持续获批，我们将构建集采产品为主、兼具特色产品的国内市场管线，国内制剂销售有望进一步打开。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未来公司持续推进“立足中美，放眼全球”的发展策略，充分利用公司研发、生产、质量优势，进一步丰富现有产品管线，提升公司全产业链服务能力，大力拓展新兴市场，深化公司的全球化布局。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中国企业与海外企业同台竞争，必须要在产品竞争力、海外申报注册能力、商业化能力等达到与国际公司同等的水平。生产质量研发注册原料销售都必须要有极强的实力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产品竞争力：健友股份长期以来坚持“品质产品”的管理理念，以美国FDA的标准为基础，建立的原料药和制剂生产、管理、运营体系，生产流程贯穿先进的计算机标准操作程序，工艺设备采用在线清洁与灭菌，质量控制和工艺稳定，能够满足全球主要药政市场的监管要求。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海外申报注册能力：凭借对</w:t>
            </w:r>
            <w:r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  <w:t>FDA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政策和审批流程的熟悉和理解，有效提升公司审批过程中与FDA的互动效率，强化美国产品申报注册能力，提高研发、注册的效率，保证高效的申报节奏。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商业化能力：凭借多年来在美国市场深耕，健友股份在无菌注射剂领域拥有美国市场丰富的销售经验，掌握美国销售渠道的成熟资源，建立了自己的品牌知名度，是注射剂出口的领军企业。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40" w:firstLineChars="20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before="1" w:line="289" w:lineRule="exact"/>
              <w:ind w:right="0" w:rightChars="0"/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投资者提问</w:t>
            </w:r>
          </w:p>
          <w:p>
            <w:pPr>
              <w:pStyle w:val="5"/>
              <w:numPr>
                <w:ilvl w:val="0"/>
                <w:numId w:val="2"/>
              </w:numPr>
              <w:spacing w:before="1" w:line="360" w:lineRule="auto"/>
              <w:ind w:left="0" w:leftChars="0" w:firstLine="480" w:firstLineChars="200"/>
              <w:rPr>
                <w:rFonts w:hint="default" w:ascii="Times New Roman" w:hAnsi="Times New Roman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宋体"/>
                <w:sz w:val="24"/>
                <w:szCs w:val="22"/>
                <w:lang w:val="en-US" w:eastAsia="zh-CN" w:bidi="zh-CN"/>
              </w:rPr>
              <w:t>公司在美国设立子公司有哪些优势？壁垒有哪些？</w:t>
            </w:r>
          </w:p>
          <w:p>
            <w:pPr>
              <w:pStyle w:val="5"/>
              <w:numPr>
                <w:ilvl w:val="0"/>
                <w:numId w:val="0"/>
              </w:numPr>
              <w:spacing w:before="1" w:line="360" w:lineRule="auto"/>
              <w:ind w:right="0" w:rightChars="0" w:firstLine="480" w:firstLineChars="200"/>
              <w:rPr>
                <w:rFonts w:hint="eastAsia" w:ascii="Times New Roman" w:hAnsi="Times New Roman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宋体"/>
                <w:sz w:val="24"/>
                <w:szCs w:val="22"/>
                <w:lang w:val="en-US" w:eastAsia="zh-CN" w:bidi="zh-CN"/>
              </w:rPr>
              <w:t>答：优势体现在：</w:t>
            </w:r>
            <w:r>
              <w:rPr>
                <w:rFonts w:hint="default" w:ascii="Times New Roman" w:hAnsi="Times New Roman" w:eastAsia="宋体" w:cs="宋体"/>
                <w:sz w:val="24"/>
                <w:szCs w:val="22"/>
                <w:lang w:val="en-US" w:eastAsia="zh-CN" w:bidi="zh-CN"/>
              </w:rPr>
              <w:t>美国子公司Meitheal的核心管理层团队，大多来自于 Sagent、Fresenius Kabi 等知名美国仿制药注射剂公司，具备国际视野和丰富注射剂销售经验的管理团队,能够直接面对 GPO 、IDN/PN 以及三大批发商</w:t>
            </w:r>
            <w:r>
              <w:rPr>
                <w:rFonts w:hint="eastAsia" w:ascii="Times New Roman" w:hAnsi="Times New Roman" w:cs="宋体"/>
                <w:sz w:val="24"/>
                <w:szCs w:val="22"/>
                <w:lang w:val="en-US" w:eastAsia="zh-CN" w:bidi="zh-CN"/>
              </w:rPr>
              <w:t>，美国团队与FDA交流经验丰富，有助于加快注册速度，同时借助其对美国市场的深刻理解帮助我们更好的设计产品管线。</w:t>
            </w:r>
          </w:p>
          <w:p>
            <w:pPr>
              <w:pStyle w:val="5"/>
              <w:numPr>
                <w:ilvl w:val="0"/>
                <w:numId w:val="0"/>
              </w:numPr>
              <w:spacing w:before="1" w:line="360" w:lineRule="auto"/>
              <w:ind w:right="0" w:rightChars="0" w:firstLine="480" w:firstLineChars="200"/>
              <w:rPr>
                <w:rFonts w:hint="default" w:ascii="Times New Roman" w:hAnsi="Times New Roman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宋体"/>
                <w:sz w:val="24"/>
                <w:szCs w:val="22"/>
                <w:lang w:val="en-US" w:eastAsia="zh-CN" w:bidi="zh-CN"/>
              </w:rPr>
              <w:t>美国市场的成功，不仅仅是市场渠道单方面的成功，还要求综合公司质量、生产、研发、注册等多维度的能力，需要在各个方面都具有充分的实力，才能形成完整的核心竞争力。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美国本土销售团队+中国高质量研发、产能模式的成功，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有赖于文化和管理的高度融合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，非常考验管理层的能力。</w:t>
            </w:r>
          </w:p>
          <w:p>
            <w:pPr>
              <w:pStyle w:val="5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" w:after="0" w:line="360" w:lineRule="auto"/>
              <w:ind w:left="0" w:leftChars="0" w:right="0" w:rightChars="0" w:firstLine="480" w:firstLineChars="200"/>
              <w:jc w:val="left"/>
              <w:rPr>
                <w:rFonts w:hint="default" w:ascii="Times New Roman" w:hAnsi="Times New Roman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宋体"/>
                <w:sz w:val="24"/>
                <w:szCs w:val="22"/>
                <w:lang w:val="en-US" w:eastAsia="zh-CN" w:bidi="zh-CN"/>
              </w:rPr>
              <w:t>未来公司海外有没有值得期待的产品？</w:t>
            </w:r>
            <w:r>
              <w:rPr>
                <w:rFonts w:hint="eastAsia" w:ascii="Times New Roman" w:hAnsi="Times New Roman" w:cs="宋体"/>
                <w:sz w:val="24"/>
                <w:szCs w:val="22"/>
                <w:lang w:val="en-US" w:eastAsia="zh-CN" w:bidi="zh-CN"/>
              </w:rPr>
              <w:br w:type="textWrapping"/>
            </w:r>
            <w:r>
              <w:rPr>
                <w:rFonts w:hint="eastAsia" w:ascii="Times New Roman" w:hAnsi="Times New Roman" w:cs="宋体"/>
                <w:sz w:val="24"/>
                <w:szCs w:val="22"/>
                <w:lang w:val="en-US" w:eastAsia="zh-CN" w:bidi="zh-CN"/>
              </w:rPr>
              <w:t xml:space="preserve">   答：基本上规模偏小的产品在今年都已经报批了，未来会陆续有一些市场规模比较大的产品，我们年报里面披露了相关的产品适应症，各位投资者可以参考。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58" w:type="dxa"/>
            <w:vAlign w:val="top"/>
          </w:tcPr>
          <w:p>
            <w:pPr>
              <w:pStyle w:val="5"/>
              <w:spacing w:before="20" w:line="480" w:lineRule="exact"/>
              <w:ind w:left="587" w:leftChars="0" w:right="55" w:rightChars="0" w:hanging="480" w:firstLineChars="0"/>
              <w:rPr>
                <w:rFonts w:ascii="宋体" w:hAnsi="宋体" w:eastAsia="宋体" w:cs="宋体"/>
                <w:b/>
                <w:sz w:val="24"/>
                <w:szCs w:val="22"/>
                <w:lang w:val="zh-CN" w:eastAsia="zh-CN" w:bidi="zh-CN"/>
              </w:rPr>
            </w:pPr>
            <w:r>
              <w:rPr>
                <w:b/>
                <w:sz w:val="24"/>
              </w:rPr>
              <w:t>附件清单（如有）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364" w:type="dxa"/>
            <w:vAlign w:val="top"/>
          </w:tcPr>
          <w:p>
            <w:pPr>
              <w:pStyle w:val="5"/>
              <w:spacing w:before="164"/>
              <w:ind w:left="108" w:leftChars="0" w:right="0" w:rightChars="0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sz w:val="24"/>
              </w:rPr>
              <w:t xml:space="preserve">无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658" w:type="dxa"/>
            <w:vAlign w:val="top"/>
          </w:tcPr>
          <w:p>
            <w:pPr>
              <w:pStyle w:val="5"/>
              <w:spacing w:before="144" w:line="295" w:lineRule="exact"/>
              <w:ind w:left="587" w:leftChars="0" w:right="0" w:rightChars="0"/>
              <w:rPr>
                <w:rFonts w:ascii="宋体" w:hAnsi="宋体" w:eastAsia="宋体" w:cs="宋体"/>
                <w:b/>
                <w:sz w:val="24"/>
                <w:szCs w:val="22"/>
                <w:lang w:val="zh-CN" w:eastAsia="zh-CN" w:bidi="zh-CN"/>
              </w:rPr>
            </w:pPr>
            <w:r>
              <w:rPr>
                <w:b/>
                <w:sz w:val="24"/>
              </w:rPr>
              <w:t>日期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364" w:type="dxa"/>
            <w:vAlign w:val="top"/>
          </w:tcPr>
          <w:p>
            <w:pPr>
              <w:pStyle w:val="5"/>
              <w:spacing w:before="144" w:line="295" w:lineRule="exact"/>
              <w:ind w:left="108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sz w:val="24"/>
              </w:rPr>
              <w:t xml:space="preserve">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D5D748"/>
    <w:multiLevelType w:val="singleLevel"/>
    <w:tmpl w:val="BDD5D74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F3B38BF"/>
    <w:multiLevelType w:val="singleLevel"/>
    <w:tmpl w:val="2F3B38B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26A22527"/>
    <w:rsid w:val="00C734DA"/>
    <w:rsid w:val="01F52C0F"/>
    <w:rsid w:val="077E1085"/>
    <w:rsid w:val="09946606"/>
    <w:rsid w:val="09F52FA1"/>
    <w:rsid w:val="11D40B66"/>
    <w:rsid w:val="1294466B"/>
    <w:rsid w:val="13B51CE3"/>
    <w:rsid w:val="163A09F3"/>
    <w:rsid w:val="190C363D"/>
    <w:rsid w:val="1F411B38"/>
    <w:rsid w:val="208238E9"/>
    <w:rsid w:val="243B4083"/>
    <w:rsid w:val="26A22527"/>
    <w:rsid w:val="28984AC7"/>
    <w:rsid w:val="294B3675"/>
    <w:rsid w:val="2C82457B"/>
    <w:rsid w:val="2E8C1C3F"/>
    <w:rsid w:val="33520C9B"/>
    <w:rsid w:val="35F7291E"/>
    <w:rsid w:val="363D3C0F"/>
    <w:rsid w:val="39D31C98"/>
    <w:rsid w:val="3AE960B8"/>
    <w:rsid w:val="3B632F2F"/>
    <w:rsid w:val="3BC21D32"/>
    <w:rsid w:val="3BCB6C9B"/>
    <w:rsid w:val="3C0F02F1"/>
    <w:rsid w:val="3E084C49"/>
    <w:rsid w:val="400D2FB4"/>
    <w:rsid w:val="411F4D52"/>
    <w:rsid w:val="425D1F79"/>
    <w:rsid w:val="4872207A"/>
    <w:rsid w:val="4AC61FE0"/>
    <w:rsid w:val="4BB632C1"/>
    <w:rsid w:val="4F0357B5"/>
    <w:rsid w:val="4FD10C22"/>
    <w:rsid w:val="4FFB0AFE"/>
    <w:rsid w:val="518C0A07"/>
    <w:rsid w:val="525C6B86"/>
    <w:rsid w:val="544B6A63"/>
    <w:rsid w:val="54AB6DC1"/>
    <w:rsid w:val="5BEC2C29"/>
    <w:rsid w:val="5F6F566A"/>
    <w:rsid w:val="5FEB3CD4"/>
    <w:rsid w:val="688E4956"/>
    <w:rsid w:val="6BD466E1"/>
    <w:rsid w:val="6C185549"/>
    <w:rsid w:val="72480812"/>
    <w:rsid w:val="75184978"/>
    <w:rsid w:val="76C6190C"/>
    <w:rsid w:val="781206E3"/>
    <w:rsid w:val="7B9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2021-03-03T06:26:00Z</dcterms:created>
  <dc:creator>卞雅星</dc:creator>
  <cp:lastModifiedBy>卞雅星</cp:lastModifiedBy>
  <dcterms:modified xsi:type="dcterms:W3CDTF">2023-11-15T09:17:17Z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69D711D60A9A43F9A960C77F082B872B_13</vt:lpwstr>
  </property>
</Properties>
</file>