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ind w:firstLine="0" w:firstLineChars="0"/>
        <w:rPr>
          <w:rFonts w:ascii="宋体" w:hAnsi="宋体"/>
          <w:bCs/>
          <w:iCs/>
          <w:color w:val="000000"/>
          <w:szCs w:val="22"/>
        </w:rPr>
      </w:pPr>
      <w:r>
        <w:rPr>
          <w:rFonts w:hint="eastAsia" w:ascii="宋体" w:hAnsi="宋体"/>
          <w:bCs/>
          <w:iCs/>
          <w:color w:val="000000"/>
          <w:szCs w:val="22"/>
        </w:rPr>
        <w:t>证券代码：</w:t>
      </w:r>
      <w:r>
        <w:rPr>
          <w:rFonts w:ascii="宋体" w:hAnsi="宋体"/>
          <w:bCs/>
          <w:iCs/>
          <w:color w:val="000000"/>
          <w:szCs w:val="22"/>
        </w:rPr>
        <w:t>688273</w:t>
      </w:r>
      <w:r>
        <w:rPr>
          <w:rFonts w:hint="eastAsia" w:ascii="宋体" w:hAnsi="宋体"/>
          <w:bCs/>
          <w:iCs/>
          <w:color w:val="000000"/>
          <w:szCs w:val="22"/>
        </w:rPr>
        <w:t xml:space="preserve">                           </w:t>
      </w:r>
      <w:r>
        <w:rPr>
          <w:rFonts w:ascii="宋体" w:hAnsi="宋体"/>
          <w:bCs/>
          <w:iCs/>
          <w:color w:val="000000"/>
          <w:szCs w:val="22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2"/>
        </w:rPr>
        <w:t xml:space="preserve">    证券简称：麦澜德</w:t>
      </w:r>
    </w:p>
    <w:p>
      <w:pPr>
        <w:ind w:firstLine="0" w:firstLineChars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南京麦澜德医疗科技股份有限公司投资者关系活动记录表</w:t>
      </w:r>
    </w:p>
    <w:p>
      <w:pPr>
        <w:ind w:firstLine="0" w:firstLineChars="0"/>
        <w:jc w:val="center"/>
        <w:rPr>
          <w:rFonts w:ascii="宋体" w:hAnsi="宋体"/>
          <w:b/>
          <w:bCs/>
          <w:iCs/>
          <w:color w:val="000000"/>
        </w:rPr>
      </w:pPr>
      <w:r>
        <w:rPr>
          <w:rFonts w:hint="eastAsia" w:ascii="宋体" w:hAnsi="宋体"/>
          <w:b/>
          <w:bCs/>
          <w:iCs/>
          <w:color w:val="000000"/>
        </w:rPr>
        <w:t>（2023年11月</w:t>
      </w:r>
      <w:r>
        <w:rPr>
          <w:rFonts w:hint="eastAsia" w:ascii="宋体" w:hAnsi="宋体"/>
          <w:b/>
          <w:bCs/>
          <w:iCs/>
          <w:color w:val="000000"/>
          <w:lang w:val="en-US" w:eastAsia="zh-CN"/>
        </w:rPr>
        <w:t>15</w:t>
      </w:r>
      <w:r>
        <w:rPr>
          <w:rFonts w:hint="eastAsia" w:ascii="宋体" w:hAnsi="宋体"/>
          <w:b/>
          <w:bCs/>
          <w:iCs/>
          <w:color w:val="000000"/>
        </w:rPr>
        <w:t>日）</w:t>
      </w:r>
    </w:p>
    <w:tbl>
      <w:tblPr>
        <w:tblStyle w:val="8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                                      投资者关系活动类别</w:t>
            </w:r>
          </w:p>
          <w:p>
            <w:pPr>
              <w:ind w:firstLine="0" w:firstLineChars="0"/>
              <w:rPr>
                <w:rFonts w:hint="eastAsia"/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52"/>
            </w:r>
            <w:r>
              <w:t xml:space="preserve">特定对象调研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分析师会议</w:t>
            </w:r>
          </w:p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 xml:space="preserve">媒体采访  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业绩说明会</w:t>
            </w:r>
          </w:p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 xml:space="preserve">新闻发布会    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现场参观</w:t>
            </w:r>
            <w:r>
              <w:rPr>
                <w:bCs/>
                <w:iCs/>
                <w:color w:val="000000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 （</w:t>
            </w:r>
            <w:r>
              <w:rPr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共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2</w:t>
            </w:r>
            <w:r>
              <w:rPr>
                <w:bCs/>
                <w:iCs/>
                <w:color w:val="000000"/>
              </w:rPr>
              <w:t>家机构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2</w:t>
            </w:r>
            <w:r>
              <w:rPr>
                <w:rFonts w:hint="eastAsia"/>
                <w:bCs/>
                <w:iCs/>
                <w:color w:val="000000"/>
              </w:rPr>
              <w:t>位参会人员</w:t>
            </w:r>
          </w:p>
          <w:p>
            <w:pPr>
              <w:spacing w:line="480" w:lineRule="atLeast"/>
              <w:ind w:firstLine="0" w:firstLineChars="0"/>
              <w:rPr>
                <w:rFonts w:hint="default" w:eastAsia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华夏基金、中信建投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2023年11月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15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地点（形式）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副总经理、董事会秘书  陈江宁</w:t>
            </w:r>
          </w:p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投资总监  焦靖</w:t>
            </w:r>
          </w:p>
          <w:p>
            <w:pPr>
              <w:spacing w:line="480" w:lineRule="atLeast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证券代表  倪清清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  <w:p>
            <w:pPr>
              <w:ind w:firstLine="0" w:firstLineChars="0"/>
              <w:rPr>
                <w:bCs/>
                <w:iCs/>
                <w:color w:val="000000"/>
              </w:rPr>
            </w:pP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一</w:t>
            </w:r>
            <w:r>
              <w:rPr>
                <w:b/>
                <w:iCs/>
                <w:color w:val="000000"/>
              </w:rPr>
              <w:t>、提问交流</w:t>
            </w:r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1</w:t>
            </w:r>
            <w:r>
              <w:rPr>
                <w:b/>
                <w:iCs/>
                <w:color w:val="000000"/>
              </w:rPr>
              <w:t>：请问公司</w:t>
            </w:r>
            <w:r>
              <w:rPr>
                <w:rFonts w:hint="eastAsia" w:ascii="Times New Roman" w:eastAsia="宋体"/>
                <w:b/>
                <w:iCs/>
                <w:color w:val="000000"/>
                <w:lang w:val="en-US" w:eastAsia="zh-CN"/>
              </w:rPr>
              <w:t>最近一个月的经营业绩恢复如何？</w:t>
            </w:r>
            <w:r>
              <w:rPr>
                <w:b/>
                <w:iCs/>
                <w:color w:val="000000"/>
              </w:rPr>
              <w:t>2023年股权激励计划预计能否如期实现激励目标？</w:t>
            </w:r>
          </w:p>
          <w:p>
            <w:pPr>
              <w:spacing w:line="480" w:lineRule="atLeast"/>
              <w:ind w:firstLine="482"/>
              <w:rPr>
                <w:rFonts w:hint="eastAsia"/>
                <w:bCs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从10月份的订单情况来看，有利于整体推动第四季度恢复原定季度分解指标。全年业绩而言，由于8、9月份销售状况不及预期，2023年股权激励计划业绩目标的实现具有较大挑战性，公司将及时调整分解销售策略，加快拓展渠道销售、有序开展市场推广活动，朝着原定目标全力以赴。</w:t>
            </w:r>
            <w:bookmarkStart w:id="0" w:name="_GoBack"/>
            <w:bookmarkEnd w:id="0"/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2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 w:ascii="Times New Roman" w:eastAsia="宋体"/>
                <w:b/>
                <w:iCs/>
                <w:color w:val="000000"/>
                <w:lang w:val="en-US" w:eastAsia="zh-CN"/>
              </w:rPr>
              <w:t>存货周转率下降的原因</w:t>
            </w:r>
            <w:r>
              <w:rPr>
                <w:rFonts w:hint="eastAsia"/>
                <w:b/>
                <w:iCs/>
                <w:color w:val="000000"/>
              </w:rPr>
              <w:t>？</w:t>
            </w:r>
          </w:p>
          <w:p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 w:val="0"/>
                <w:bCs/>
                <w:iCs/>
                <w:color w:val="000000"/>
              </w:rPr>
              <w:t>三季度存货平均余额较二季度基本持平</w:t>
            </w:r>
            <w:r>
              <w:rPr>
                <w:rFonts w:hint="eastAsia"/>
                <w:b w:val="0"/>
                <w:bCs/>
                <w:iCs/>
                <w:color w:val="000000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iCs/>
                <w:color w:val="000000"/>
              </w:rPr>
              <w:t>由于8、9月份销售状况不及预期，</w:t>
            </w:r>
            <w:r>
              <w:rPr>
                <w:rFonts w:hint="eastAsia" w:ascii="Times New Roman" w:eastAsia="宋体"/>
                <w:b w:val="0"/>
                <w:bCs/>
                <w:iCs/>
                <w:color w:val="000000"/>
                <w:lang w:val="en-US" w:eastAsia="zh-CN"/>
              </w:rPr>
              <w:t>部分</w:t>
            </w:r>
            <w:r>
              <w:rPr>
                <w:rFonts w:hint="eastAsia"/>
                <w:b w:val="0"/>
                <w:bCs/>
                <w:iCs/>
                <w:color w:val="000000"/>
                <w:lang w:val="en-US" w:eastAsia="zh-CN"/>
              </w:rPr>
              <w:t>医院</w:t>
            </w:r>
            <w:r>
              <w:rPr>
                <w:rFonts w:hint="eastAsia" w:ascii="Times New Roman" w:eastAsia="宋体"/>
                <w:b w:val="0"/>
                <w:bCs/>
                <w:iCs/>
                <w:color w:val="000000"/>
                <w:lang w:val="en-US" w:eastAsia="zh-CN"/>
              </w:rPr>
              <w:t>采购延迟和运营安装有滞后的情况</w:t>
            </w:r>
            <w:r>
              <w:rPr>
                <w:rFonts w:hint="eastAsia"/>
                <w:b w:val="0"/>
                <w:bCs/>
                <w:iCs/>
                <w:color w:val="000000"/>
                <w:lang w:val="en-US" w:eastAsia="zh-CN"/>
              </w:rPr>
              <w:t>，三季度收入下降导致存货周转率有所下降</w:t>
            </w:r>
            <w:r>
              <w:rPr>
                <w:rFonts w:hint="eastAsia" w:ascii="Times New Roman" w:eastAsia="宋体"/>
                <w:b w:val="0"/>
                <w:bCs/>
                <w:iCs/>
                <w:color w:val="000000"/>
                <w:lang w:val="en-US" w:eastAsia="zh-CN"/>
              </w:rPr>
              <w:t>。</w:t>
            </w:r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3</w:t>
            </w:r>
            <w:r>
              <w:rPr>
                <w:rFonts w:hint="eastAsia"/>
                <w:b/>
                <w:iCs/>
                <w:color w:val="000000"/>
              </w:rPr>
              <w:t>：公司生殖抗衰产品线三季度业绩表现如何？</w:t>
            </w:r>
          </w:p>
          <w:p>
            <w:pPr>
              <w:spacing w:line="480" w:lineRule="atLeast"/>
              <w:ind w:firstLine="482"/>
              <w:rPr>
                <w:bCs/>
                <w:iCs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</w:rPr>
              <w:t>生殖抗衰产品线保持了不错的增长，第三季度同比增长50%左右，前三季度同比增长100%左右。生殖抗衰是公司继盆底康复之后的第二条重要的产品线，目前已打造完整的产品矩阵，拥有高频、聚焦超声、电、磁等各大技术平台产品，为生殖中心、计划生育门诊、医美机构等提供完整解决方案。</w:t>
            </w:r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4</w:t>
            </w:r>
            <w:r>
              <w:rPr>
                <w:rFonts w:hint="eastAsia"/>
                <w:b/>
                <w:iCs/>
                <w:color w:val="000000"/>
              </w:rPr>
              <w:t>：公司院外市场销售情况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恢复</w:t>
            </w:r>
            <w:r>
              <w:rPr>
                <w:rFonts w:hint="eastAsia"/>
                <w:b/>
                <w:iCs/>
                <w:color w:val="000000"/>
              </w:rPr>
              <w:t>如何？</w:t>
            </w:r>
          </w:p>
          <w:p>
            <w:pPr>
              <w:spacing w:line="480" w:lineRule="atLeast"/>
              <w:ind w:firstLine="482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rFonts w:hint="eastAsia"/>
                <w:bCs/>
                <w:iCs/>
                <w:color w:val="000000"/>
              </w:rPr>
              <w:t>受院外市场需求端影响，盆底院外</w:t>
            </w:r>
            <w:r>
              <w:rPr>
                <w:rFonts w:hint="eastAsia"/>
                <w:bCs/>
                <w:iCs/>
              </w:rPr>
              <w:t>市场处于持续低迷的状态，前三季度院外业务占比约13%，随着公司院外业务占比持续下降，院外市场对公司整体业务影响较小。</w:t>
            </w:r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5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请问公司后续会有外延式的拓展计划吗</w:t>
            </w:r>
            <w:r>
              <w:rPr>
                <w:rFonts w:hint="eastAsia"/>
                <w:b/>
                <w:iCs/>
                <w:color w:val="000000"/>
              </w:rPr>
              <w:t>？</w:t>
            </w:r>
          </w:p>
          <w:p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答：</w:t>
            </w:r>
            <w:r>
              <w:rPr>
                <w:bCs/>
                <w:iCs/>
                <w:color w:val="000000"/>
              </w:rPr>
              <w:t>公司秉承“两条腿走路”的发展理念，一方面，坚持自主研发、持续加大研发投入，另一方面，也在积极寻求与公司战略方向契合的新项目机会。今年，公司通过设立产业基金的外延式投资策略，投资了部分医疗器械公司</w:t>
            </w:r>
            <w:r>
              <w:rPr>
                <w:rFonts w:hint="eastAsia"/>
                <w:bCs/>
                <w:iCs/>
                <w:color w:val="000000"/>
              </w:rPr>
              <w:t>，</w:t>
            </w:r>
            <w:r>
              <w:rPr>
                <w:bCs/>
                <w:iCs/>
                <w:color w:val="000000"/>
              </w:rPr>
              <w:t>进一步布局女性健康</w:t>
            </w:r>
            <w:r>
              <w:rPr>
                <w:rFonts w:hint="eastAsia"/>
                <w:bCs/>
                <w:iCs/>
                <w:color w:val="000000"/>
              </w:rPr>
              <w:t>和</w:t>
            </w:r>
            <w:r>
              <w:rPr>
                <w:bCs/>
                <w:iCs/>
                <w:color w:val="000000"/>
              </w:rPr>
              <w:t>美的相关业务领域</w:t>
            </w:r>
            <w:r>
              <w:rPr>
                <w:rFonts w:hint="eastAsia"/>
                <w:bCs/>
                <w:iCs/>
                <w:color w:val="000000"/>
              </w:rPr>
              <w:t>。</w:t>
            </w:r>
          </w:p>
          <w:p>
            <w:pPr>
              <w:spacing w:line="480" w:lineRule="atLeast"/>
              <w:ind w:firstLine="48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Q</w:t>
            </w:r>
            <w:r>
              <w:rPr>
                <w:rFonts w:hint="eastAsia"/>
                <w:b/>
                <w:iCs/>
                <w:color w:val="000000"/>
                <w:lang w:val="en-US" w:eastAsia="zh-CN"/>
              </w:rPr>
              <w:t>6</w:t>
            </w:r>
            <w:r>
              <w:rPr>
                <w:b/>
                <w:iCs/>
                <w:color w:val="000000"/>
              </w:rPr>
              <w:t>：</w:t>
            </w:r>
            <w:r>
              <w:rPr>
                <w:rFonts w:hint="eastAsia"/>
                <w:b/>
                <w:iCs/>
                <w:color w:val="000000"/>
              </w:rPr>
              <w:t>公司下一步新品有哪些</w:t>
            </w:r>
            <w:r>
              <w:rPr>
                <w:b/>
                <w:iCs/>
                <w:color w:val="000000"/>
              </w:rPr>
              <w:t>？</w:t>
            </w:r>
          </w:p>
          <w:p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答：预计明年上半年，</w:t>
            </w:r>
            <w:r>
              <w:rPr>
                <w:rFonts w:hint="eastAsia"/>
                <w:bCs/>
                <w:iCs/>
                <w:color w:val="000000"/>
              </w:rPr>
              <w:t>公司将推出盆底康复线的3个新产品。</w:t>
            </w:r>
          </w:p>
          <w:p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二代盆底电。我们在二代新品上整合多个生理指标，提升了诊断效率和精准度，有助于提高后续智能化治疗方案的针对性和有效性。</w:t>
            </w:r>
          </w:p>
          <w:p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盆底超声影像系统</w:t>
            </w:r>
            <w:r>
              <w:rPr>
                <w:rFonts w:hint="eastAsia"/>
                <w:bCs/>
                <w:iCs/>
                <w:color w:val="000000"/>
              </w:rPr>
              <w:t>。我们将推出全新的盆底影像类产品，能够实现一站式获取可视化检测数据的临床需求。</w:t>
            </w:r>
          </w:p>
          <w:p>
            <w:pPr>
              <w:spacing w:line="480" w:lineRule="atLeast"/>
              <w:ind w:firstLine="48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盆底分体磁。我们将在原有盆底磁的基础上，推出分体磁产品，丰富盆底磁的产品线，满足临床更多的需求场景。</w:t>
            </w:r>
          </w:p>
          <w:p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rFonts w:hint="eastAsia"/>
                <w:bCs/>
                <w:iCs/>
                <w:color w:val="000000"/>
              </w:rPr>
              <w:t>盆底三</w:t>
            </w:r>
            <w:r>
              <w:rPr>
                <w:bCs/>
                <w:iCs/>
                <w:color w:val="000000"/>
              </w:rPr>
              <w:t>款新品的推出将构建一套基于AI的盆底康复整体解决方案，融合前期已经实现的自动检测、自动报告、自动生成方案等功能，结合更多的数据（包括结构性、功能性等临床指标），将盆底智能化诊疗体系提升至一个新的阶段，优化临床应用的便捷性和有效性，完成从产品解决方案到场景化解决方案的进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风险提示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480"/>
              <w:rPr>
                <w:bCs/>
                <w:iCs/>
              </w:rPr>
            </w:pPr>
            <w:r>
              <w:rPr>
                <w:bCs/>
                <w:iCs/>
              </w:rPr>
              <w:t>以上如涉及对行业的预测、公司发展战略规划等相关内容，不能视作公司或公司管理层对行业、公司发展或业绩的承诺和保证，敬请广大投资者注意投资风险。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是否涉及应当披露重大信息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tLeast"/>
              <w:ind w:firstLine="0" w:firstLineChars="0"/>
              <w:rPr>
                <w:bCs/>
                <w:iCs/>
              </w:rPr>
            </w:pPr>
            <w:r>
              <w:rPr>
                <w:bCs/>
                <w:i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7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2023年11月</w:t>
            </w:r>
            <w:r>
              <w:rPr>
                <w:rFonts w:hint="eastAsia"/>
                <w:bCs/>
                <w:iCs/>
                <w:color w:val="000000"/>
                <w:lang w:val="en-US" w:eastAsia="zh-CN"/>
              </w:rPr>
              <w:t>15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UyNDZmNjMwMjJiZWMyNmQyNjJjMWE5MmRjYjYifQ=="/>
  </w:docVars>
  <w:rsids>
    <w:rsidRoot w:val="421A00E8"/>
    <w:rsid w:val="0000604E"/>
    <w:rsid w:val="0005269E"/>
    <w:rsid w:val="00077E67"/>
    <w:rsid w:val="00081CA4"/>
    <w:rsid w:val="000966EF"/>
    <w:rsid w:val="000A2D4D"/>
    <w:rsid w:val="000C6D5F"/>
    <w:rsid w:val="000F0489"/>
    <w:rsid w:val="00135185"/>
    <w:rsid w:val="001365C1"/>
    <w:rsid w:val="0015704E"/>
    <w:rsid w:val="0017012E"/>
    <w:rsid w:val="001A5D86"/>
    <w:rsid w:val="001D5C86"/>
    <w:rsid w:val="0021391B"/>
    <w:rsid w:val="00236A00"/>
    <w:rsid w:val="0024415A"/>
    <w:rsid w:val="00263CFE"/>
    <w:rsid w:val="0027744C"/>
    <w:rsid w:val="002971E8"/>
    <w:rsid w:val="002A03E5"/>
    <w:rsid w:val="002B2A83"/>
    <w:rsid w:val="002C50F8"/>
    <w:rsid w:val="002D54CE"/>
    <w:rsid w:val="002E7B76"/>
    <w:rsid w:val="003154F4"/>
    <w:rsid w:val="00351C53"/>
    <w:rsid w:val="0037010F"/>
    <w:rsid w:val="00390192"/>
    <w:rsid w:val="003D65A8"/>
    <w:rsid w:val="00414CC0"/>
    <w:rsid w:val="00485569"/>
    <w:rsid w:val="004C6129"/>
    <w:rsid w:val="004E3520"/>
    <w:rsid w:val="004F40B9"/>
    <w:rsid w:val="005122BC"/>
    <w:rsid w:val="00537400"/>
    <w:rsid w:val="005829F4"/>
    <w:rsid w:val="005C379B"/>
    <w:rsid w:val="00604039"/>
    <w:rsid w:val="00634A02"/>
    <w:rsid w:val="00677030"/>
    <w:rsid w:val="006A01B1"/>
    <w:rsid w:val="006B2597"/>
    <w:rsid w:val="007262B1"/>
    <w:rsid w:val="007328DC"/>
    <w:rsid w:val="00735407"/>
    <w:rsid w:val="00763270"/>
    <w:rsid w:val="0088448D"/>
    <w:rsid w:val="008D0FBF"/>
    <w:rsid w:val="008F77BB"/>
    <w:rsid w:val="0092118D"/>
    <w:rsid w:val="00926CA1"/>
    <w:rsid w:val="00954A0C"/>
    <w:rsid w:val="009677F3"/>
    <w:rsid w:val="009A2C82"/>
    <w:rsid w:val="009A7DD2"/>
    <w:rsid w:val="009D7198"/>
    <w:rsid w:val="00A26F73"/>
    <w:rsid w:val="00A33EBB"/>
    <w:rsid w:val="00A50F81"/>
    <w:rsid w:val="00A73B84"/>
    <w:rsid w:val="00A76B98"/>
    <w:rsid w:val="00AA23FA"/>
    <w:rsid w:val="00AD317C"/>
    <w:rsid w:val="00AD67E0"/>
    <w:rsid w:val="00B26E56"/>
    <w:rsid w:val="00B314A3"/>
    <w:rsid w:val="00B367A4"/>
    <w:rsid w:val="00B37457"/>
    <w:rsid w:val="00B87D00"/>
    <w:rsid w:val="00BE217C"/>
    <w:rsid w:val="00C34692"/>
    <w:rsid w:val="00C40F6C"/>
    <w:rsid w:val="00C73805"/>
    <w:rsid w:val="00C760B0"/>
    <w:rsid w:val="00C95628"/>
    <w:rsid w:val="00CF0BDA"/>
    <w:rsid w:val="00D010CB"/>
    <w:rsid w:val="00D023E4"/>
    <w:rsid w:val="00D20B7D"/>
    <w:rsid w:val="00D319F9"/>
    <w:rsid w:val="00D36E0D"/>
    <w:rsid w:val="00D64F2C"/>
    <w:rsid w:val="00D65BCC"/>
    <w:rsid w:val="00D867DF"/>
    <w:rsid w:val="00DB467D"/>
    <w:rsid w:val="00DC6DB7"/>
    <w:rsid w:val="00DE400C"/>
    <w:rsid w:val="00E10695"/>
    <w:rsid w:val="02760E3B"/>
    <w:rsid w:val="0321400D"/>
    <w:rsid w:val="036A7762"/>
    <w:rsid w:val="05DD0407"/>
    <w:rsid w:val="069B135D"/>
    <w:rsid w:val="070842DC"/>
    <w:rsid w:val="0726123E"/>
    <w:rsid w:val="09F328D9"/>
    <w:rsid w:val="0B037A92"/>
    <w:rsid w:val="0B7256FC"/>
    <w:rsid w:val="0D2235D4"/>
    <w:rsid w:val="0DCA3C27"/>
    <w:rsid w:val="0DD81262"/>
    <w:rsid w:val="0ECE7CE8"/>
    <w:rsid w:val="0F925474"/>
    <w:rsid w:val="10B20618"/>
    <w:rsid w:val="119500A0"/>
    <w:rsid w:val="11B6115E"/>
    <w:rsid w:val="11BB562D"/>
    <w:rsid w:val="126C4455"/>
    <w:rsid w:val="12F30075"/>
    <w:rsid w:val="13EE43C3"/>
    <w:rsid w:val="15154AEF"/>
    <w:rsid w:val="1635389E"/>
    <w:rsid w:val="166C5E7A"/>
    <w:rsid w:val="16FC7880"/>
    <w:rsid w:val="18000331"/>
    <w:rsid w:val="18C9566A"/>
    <w:rsid w:val="18DF304D"/>
    <w:rsid w:val="1A3F504D"/>
    <w:rsid w:val="1AB82A70"/>
    <w:rsid w:val="1AD86198"/>
    <w:rsid w:val="1B1536CC"/>
    <w:rsid w:val="1BF537FE"/>
    <w:rsid w:val="1D1F1166"/>
    <w:rsid w:val="1D903E12"/>
    <w:rsid w:val="1DC94027"/>
    <w:rsid w:val="1F2305DA"/>
    <w:rsid w:val="1F8B2AE2"/>
    <w:rsid w:val="1FDE70B6"/>
    <w:rsid w:val="2113029B"/>
    <w:rsid w:val="21785046"/>
    <w:rsid w:val="22A2261D"/>
    <w:rsid w:val="237256DF"/>
    <w:rsid w:val="25B032A3"/>
    <w:rsid w:val="2875754E"/>
    <w:rsid w:val="28A6330A"/>
    <w:rsid w:val="28F26962"/>
    <w:rsid w:val="29464110"/>
    <w:rsid w:val="296B27BD"/>
    <w:rsid w:val="297C1854"/>
    <w:rsid w:val="2B8723B0"/>
    <w:rsid w:val="2BD20FFC"/>
    <w:rsid w:val="2C0461E6"/>
    <w:rsid w:val="2CAE16B2"/>
    <w:rsid w:val="2CD967A8"/>
    <w:rsid w:val="2CF33D99"/>
    <w:rsid w:val="2D502C75"/>
    <w:rsid w:val="2D990AC0"/>
    <w:rsid w:val="2DB96A6D"/>
    <w:rsid w:val="2E615D08"/>
    <w:rsid w:val="2F2D3A13"/>
    <w:rsid w:val="30332B06"/>
    <w:rsid w:val="313034EA"/>
    <w:rsid w:val="3147705B"/>
    <w:rsid w:val="31F97D80"/>
    <w:rsid w:val="321B062D"/>
    <w:rsid w:val="332A12C2"/>
    <w:rsid w:val="33350C99"/>
    <w:rsid w:val="333F7A14"/>
    <w:rsid w:val="33E74334"/>
    <w:rsid w:val="33F21F69"/>
    <w:rsid w:val="344D7F0F"/>
    <w:rsid w:val="34A262E1"/>
    <w:rsid w:val="350902DA"/>
    <w:rsid w:val="35467305"/>
    <w:rsid w:val="35523A2F"/>
    <w:rsid w:val="355359F9"/>
    <w:rsid w:val="360E0311"/>
    <w:rsid w:val="369B31B3"/>
    <w:rsid w:val="36D641EB"/>
    <w:rsid w:val="373C01E0"/>
    <w:rsid w:val="37C02A49"/>
    <w:rsid w:val="393A4F06"/>
    <w:rsid w:val="3A8F302F"/>
    <w:rsid w:val="3AD663DF"/>
    <w:rsid w:val="3B9C7819"/>
    <w:rsid w:val="3D0929B2"/>
    <w:rsid w:val="3DFF04CC"/>
    <w:rsid w:val="3EB94B1E"/>
    <w:rsid w:val="3EBC460F"/>
    <w:rsid w:val="3EDE57C4"/>
    <w:rsid w:val="404B5A35"/>
    <w:rsid w:val="413A5BBD"/>
    <w:rsid w:val="421A00E8"/>
    <w:rsid w:val="428E5D95"/>
    <w:rsid w:val="42F11136"/>
    <w:rsid w:val="4315253F"/>
    <w:rsid w:val="43282273"/>
    <w:rsid w:val="44074D8C"/>
    <w:rsid w:val="44E74A1A"/>
    <w:rsid w:val="452A17CA"/>
    <w:rsid w:val="46B1257F"/>
    <w:rsid w:val="480B792A"/>
    <w:rsid w:val="49365ADC"/>
    <w:rsid w:val="498B6D54"/>
    <w:rsid w:val="49FF5D06"/>
    <w:rsid w:val="4A275032"/>
    <w:rsid w:val="4A5C671F"/>
    <w:rsid w:val="4A7144FF"/>
    <w:rsid w:val="4B0435C5"/>
    <w:rsid w:val="4B5D2CD5"/>
    <w:rsid w:val="4C973DD0"/>
    <w:rsid w:val="4CCE063F"/>
    <w:rsid w:val="4DE34C75"/>
    <w:rsid w:val="4F2A278D"/>
    <w:rsid w:val="50937738"/>
    <w:rsid w:val="5124051D"/>
    <w:rsid w:val="53DD0E57"/>
    <w:rsid w:val="546608B4"/>
    <w:rsid w:val="546828EF"/>
    <w:rsid w:val="56A33C92"/>
    <w:rsid w:val="577C4B7A"/>
    <w:rsid w:val="595F0AA1"/>
    <w:rsid w:val="59A82DA4"/>
    <w:rsid w:val="5A1B369A"/>
    <w:rsid w:val="5A1F4951"/>
    <w:rsid w:val="5A984EB0"/>
    <w:rsid w:val="5AD11B61"/>
    <w:rsid w:val="5ADC3C17"/>
    <w:rsid w:val="5B4812AC"/>
    <w:rsid w:val="5B50206A"/>
    <w:rsid w:val="5BB35DCB"/>
    <w:rsid w:val="5BBB382C"/>
    <w:rsid w:val="5BC64C07"/>
    <w:rsid w:val="5CED69AD"/>
    <w:rsid w:val="5D610403"/>
    <w:rsid w:val="5DEF1EB3"/>
    <w:rsid w:val="5FAB3D7E"/>
    <w:rsid w:val="5FC73AE4"/>
    <w:rsid w:val="602A42E4"/>
    <w:rsid w:val="60395C5E"/>
    <w:rsid w:val="60597AB8"/>
    <w:rsid w:val="608C5797"/>
    <w:rsid w:val="61534507"/>
    <w:rsid w:val="62166177"/>
    <w:rsid w:val="6230178D"/>
    <w:rsid w:val="62954A01"/>
    <w:rsid w:val="643C54C2"/>
    <w:rsid w:val="64A7791B"/>
    <w:rsid w:val="651359D4"/>
    <w:rsid w:val="656A7A0B"/>
    <w:rsid w:val="65B23EF2"/>
    <w:rsid w:val="65D85B03"/>
    <w:rsid w:val="670071F1"/>
    <w:rsid w:val="674E7C4A"/>
    <w:rsid w:val="67965CD2"/>
    <w:rsid w:val="67EA28E8"/>
    <w:rsid w:val="683706DE"/>
    <w:rsid w:val="692923AE"/>
    <w:rsid w:val="69F06698"/>
    <w:rsid w:val="6A7A254F"/>
    <w:rsid w:val="6B095ECC"/>
    <w:rsid w:val="6B8660E8"/>
    <w:rsid w:val="6BD24A49"/>
    <w:rsid w:val="6CA67BE1"/>
    <w:rsid w:val="6CD54F42"/>
    <w:rsid w:val="6E056B89"/>
    <w:rsid w:val="6ECC4355"/>
    <w:rsid w:val="6F280D81"/>
    <w:rsid w:val="6F381049"/>
    <w:rsid w:val="6FC8230E"/>
    <w:rsid w:val="6FE8093F"/>
    <w:rsid w:val="700823C4"/>
    <w:rsid w:val="702305E1"/>
    <w:rsid w:val="702932C7"/>
    <w:rsid w:val="7104581E"/>
    <w:rsid w:val="71D01737"/>
    <w:rsid w:val="72694884"/>
    <w:rsid w:val="735D2FC3"/>
    <w:rsid w:val="7626077B"/>
    <w:rsid w:val="76402E45"/>
    <w:rsid w:val="768E1E11"/>
    <w:rsid w:val="773D3837"/>
    <w:rsid w:val="78F12E51"/>
    <w:rsid w:val="79F20909"/>
    <w:rsid w:val="79FC52E4"/>
    <w:rsid w:val="7A444ABF"/>
    <w:rsid w:val="7A931D3D"/>
    <w:rsid w:val="7AE85672"/>
    <w:rsid w:val="7B986CF0"/>
    <w:rsid w:val="7C4411C4"/>
    <w:rsid w:val="7DAF5C99"/>
    <w:rsid w:val="7EAA1892"/>
    <w:rsid w:val="7ECC2A49"/>
    <w:rsid w:val="7F405C73"/>
    <w:rsid w:val="7FE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9"/>
    <w:link w:val="2"/>
    <w:qFormat/>
    <w:uiPriority w:val="0"/>
    <w:rPr>
      <w:kern w:val="2"/>
      <w:sz w:val="24"/>
      <w:szCs w:val="24"/>
    </w:rPr>
  </w:style>
  <w:style w:type="character" w:customStyle="1" w:styleId="13">
    <w:name w:val="批注主题 Char"/>
    <w:basedOn w:val="12"/>
    <w:link w:val="7"/>
    <w:qFormat/>
    <w:uiPriority w:val="0"/>
    <w:rPr>
      <w:b/>
      <w:bCs/>
      <w:kern w:val="2"/>
      <w:sz w:val="24"/>
      <w:szCs w:val="24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7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437</Words>
  <Characters>2492</Characters>
  <Lines>20</Lines>
  <Paragraphs>5</Paragraphs>
  <TotalTime>2</TotalTime>
  <ScaleCrop>false</ScaleCrop>
  <LinksUpToDate>false</LinksUpToDate>
  <CharactersWithSpaces>2924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2022-11-08T08:33:00Z</dcterms:created>
  <dc:creator>倪清清</dc:creator>
  <cp:lastModifiedBy>倪清清</cp:lastModifiedBy>
  <cp:lastPrinted>2022-11-07T09:30:00Z</cp:lastPrinted>
  <dcterms:modified xsi:type="dcterms:W3CDTF">2023-11-16T03:28:03Z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BF09189919934CB78F587FA002FA2CE6_13</vt:lpwstr>
  </property>
</Properties>
</file>