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03" w:rsidRDefault="00863197">
      <w:pPr>
        <w:spacing w:beforeLines="50" w:before="156" w:afterLines="50" w:after="156" w:line="400" w:lineRule="exact"/>
        <w:rPr>
          <w:rFonts w:ascii="宋体" w:eastAsia="宋体" w:hAnsi="宋体" w:cs="Times New Roman"/>
          <w:bCs/>
          <w:iCs/>
          <w:color w:val="000000"/>
          <w:sz w:val="28"/>
        </w:rPr>
      </w:pPr>
      <w:bookmarkStart w:id="0" w:name="_GoBack"/>
      <w:bookmarkEnd w:id="0"/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证券代码：</w:t>
      </w:r>
      <w:r>
        <w:rPr>
          <w:rFonts w:ascii="宋体" w:eastAsia="宋体" w:hAnsi="宋体" w:cs="Times New Roman"/>
          <w:bCs/>
          <w:iCs/>
          <w:color w:val="000000"/>
          <w:sz w:val="28"/>
        </w:rPr>
        <w:t>688</w:t>
      </w: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5</w:t>
      </w:r>
      <w:r>
        <w:rPr>
          <w:rFonts w:ascii="宋体" w:eastAsia="宋体" w:hAnsi="宋体" w:cs="Times New Roman"/>
          <w:bCs/>
          <w:iCs/>
          <w:color w:val="000000"/>
          <w:sz w:val="28"/>
        </w:rPr>
        <w:t>95</w:t>
      </w: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 xml:space="preserve">                        证券简称：</w:t>
      </w:r>
      <w:proofErr w:type="gramStart"/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芯海科技</w:t>
      </w:r>
      <w:proofErr w:type="gramEnd"/>
    </w:p>
    <w:p w:rsidR="00310403" w:rsidRDefault="00310403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</w:p>
    <w:p w:rsidR="00310403" w:rsidRDefault="00863197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  <w:proofErr w:type="gramStart"/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芯海科技</w:t>
      </w:r>
      <w:proofErr w:type="gramEnd"/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（深圳）股份有限公司</w:t>
      </w:r>
    </w:p>
    <w:p w:rsidR="00310403" w:rsidRDefault="00863197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310403" w:rsidRDefault="00863197">
      <w:pPr>
        <w:spacing w:line="400" w:lineRule="exact"/>
        <w:rPr>
          <w:rFonts w:ascii="宋体" w:eastAsia="宋体" w:hAnsi="宋体" w:cs="Times New Roman"/>
          <w:bCs/>
          <w:iCs/>
          <w:color w:val="000000"/>
          <w:sz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 xml:space="preserve">                                                   编号：2</w:t>
      </w:r>
      <w:r>
        <w:rPr>
          <w:rFonts w:ascii="宋体" w:eastAsia="宋体" w:hAnsi="宋体" w:cs="Times New Roman"/>
          <w:bCs/>
          <w:iCs/>
          <w:color w:val="000000"/>
          <w:sz w:val="24"/>
        </w:rPr>
        <w:t>023</w:t>
      </w: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>-</w:t>
      </w:r>
      <w:r>
        <w:rPr>
          <w:rFonts w:ascii="宋体" w:eastAsia="宋体" w:hAnsi="宋体" w:cs="Times New Roman"/>
          <w:bCs/>
          <w:iCs/>
          <w:color w:val="000000"/>
          <w:sz w:val="24"/>
        </w:rPr>
        <w:t>012</w:t>
      </w: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4045"/>
        <w:gridCol w:w="2346"/>
        <w:gridCol w:w="2902"/>
      </w:tblGrid>
      <w:tr w:rsidR="00310403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03" w:rsidRDefault="00863197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03" w:rsidRDefault="00863197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:rsidR="00310403" w:rsidRDefault="00863197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业绩说明会（</w:t>
            </w:r>
            <w:r w:rsidRPr="00863197">
              <w:rPr>
                <w:rFonts w:ascii="宋体" w:eastAsia="宋体" w:hAnsi="宋体" w:cs="Times New Roman" w:hint="eastAsia"/>
                <w:sz w:val="24"/>
                <w:szCs w:val="24"/>
              </w:rPr>
              <w:t>2023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深圳辖区上市公司投资者网上集体接待日活动暨</w:t>
            </w:r>
            <w:r w:rsidRPr="00863197">
              <w:rPr>
                <w:rFonts w:ascii="宋体" w:eastAsia="宋体" w:hAnsi="宋体" w:cs="Times New Roman" w:hint="eastAsia"/>
                <w:sz w:val="24"/>
                <w:szCs w:val="24"/>
              </w:rPr>
              <w:t>2023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年第三季度业绩说明会）</w:t>
            </w:r>
          </w:p>
          <w:p w:rsidR="00310403" w:rsidRDefault="00863197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□新闻发布会          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□路演活动</w:t>
            </w:r>
          </w:p>
          <w:p w:rsidR="00310403" w:rsidRDefault="00863197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□现场参观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□电话会议</w:t>
            </w:r>
          </w:p>
          <w:p w:rsidR="00310403" w:rsidRDefault="00863197">
            <w:pPr>
              <w:tabs>
                <w:tab w:val="left" w:pos="2808"/>
                <w:tab w:val="center" w:pos="3199"/>
              </w:tabs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□其他 </w:t>
            </w:r>
          </w:p>
        </w:tc>
      </w:tr>
      <w:tr w:rsidR="00310403">
        <w:trPr>
          <w:trHeight w:val="9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03" w:rsidRDefault="00863197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日期/时间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03" w:rsidRDefault="00863197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2023年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15日-17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03" w:rsidRDefault="00863197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03" w:rsidRDefault="00863197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会议室</w:t>
            </w:r>
          </w:p>
        </w:tc>
      </w:tr>
      <w:tr w:rsidR="00310403">
        <w:trPr>
          <w:trHeight w:val="576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03" w:rsidRDefault="00863197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03" w:rsidRDefault="00863197">
            <w:pPr>
              <w:pStyle w:val="Style6"/>
              <w:numPr>
                <w:ilvl w:val="0"/>
                <w:numId w:val="1"/>
              </w:numPr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请问咱们的E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C</w:t>
            </w:r>
            <w:r>
              <w:rPr>
                <w:rFonts w:ascii="宋体" w:hAnsi="宋体"/>
                <w:b/>
                <w:sz w:val="24"/>
                <w:szCs w:val="24"/>
              </w:rPr>
              <w:t>芯片，估计有多大市场空间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  <w:r>
              <w:rPr>
                <w:rFonts w:ascii="宋体" w:hAnsi="宋体"/>
                <w:b/>
                <w:sz w:val="24"/>
                <w:szCs w:val="24"/>
              </w:rPr>
              <w:t>目前有多少家客户了呢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:rsidR="00310403" w:rsidRDefault="00863197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公司回答：</w:t>
            </w:r>
            <w:r>
              <w:rPr>
                <w:rFonts w:ascii="宋体" w:hAnsi="宋体"/>
                <w:sz w:val="24"/>
                <w:szCs w:val="24"/>
              </w:rPr>
              <w:t>EC芯片主要负责笔记本电脑里开关机时序、热管理、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键鼠管理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、充放电管理、状态检测、通信接口管理等功能，每台笔记本电脑都需要EC芯片。公司已与国内主流笔记本厂家都建立了联系。</w:t>
            </w:r>
          </w:p>
          <w:p w:rsidR="00310403" w:rsidRDefault="00863197">
            <w:pPr>
              <w:pStyle w:val="Style6"/>
              <w:numPr>
                <w:ilvl w:val="0"/>
                <w:numId w:val="1"/>
              </w:numPr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请问，咱们的鸿蒙能使是买的什么产品，一般来说多大市场空间呢？</w:t>
            </w:r>
          </w:p>
          <w:p w:rsidR="00310403" w:rsidRDefault="00863197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公司回答：</w:t>
            </w:r>
            <w:r>
              <w:rPr>
                <w:rFonts w:ascii="宋体" w:hAnsi="宋体"/>
                <w:sz w:val="24"/>
                <w:szCs w:val="24"/>
              </w:rPr>
              <w:t xml:space="preserve">鸿蒙系统通俗来说是一个开放的物联网生态，各物联网厂商的设备如家电、智能硬件等可以接入鸿蒙系统实现万物互联。 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芯海是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芯片设计公司，借助高精度ADC、高可靠性MCU、无线连接的核心产品，为物联网设备提供精准测量、智慧传感、无线连接为基础的物联网整体解决方案，让这些设备可以接入鸿蒙操作系统。</w:t>
            </w:r>
          </w:p>
          <w:p w:rsidR="00310403" w:rsidRDefault="00863197">
            <w:pPr>
              <w:pStyle w:val="Style6"/>
              <w:numPr>
                <w:ilvl w:val="0"/>
                <w:numId w:val="1"/>
              </w:numPr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请问咱们的传感器调理芯片的下游市场大概多大市场规模，我们每个客户会采购多少？是每个传感器一个芯片吗？</w:t>
            </w:r>
          </w:p>
          <w:p w:rsidR="00310403" w:rsidRDefault="00863197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公司回答：</w:t>
            </w:r>
            <w:r>
              <w:rPr>
                <w:rFonts w:ascii="宋体" w:hAnsi="宋体"/>
                <w:sz w:val="24"/>
                <w:szCs w:val="24"/>
              </w:rPr>
              <w:t>公司传感器调理芯片可以应用的范围非常广泛，如电池检测、压力测量、气体浓度和流量测量、温度测量、电压测量、电流测量等，其下游可应用于包括工业控制、医疗设备、汽车等领域，具体采购规模根据不同客户的需求而不同。一般传感器都需要配合一个传感器调理芯片。</w:t>
            </w:r>
          </w:p>
          <w:p w:rsidR="00310403" w:rsidRDefault="00863197">
            <w:pPr>
              <w:pStyle w:val="Style6"/>
              <w:numPr>
                <w:ilvl w:val="0"/>
                <w:numId w:val="1"/>
              </w:numPr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请问咱们的2~5节BMS，芯片目前在客户的导入进程到什么阶了，实现了一些</w:t>
            </w:r>
            <w:r>
              <w:rPr>
                <w:rFonts w:ascii="宋体" w:hAnsi="宋体"/>
                <w:b/>
                <w:sz w:val="24"/>
                <w:szCs w:val="24"/>
              </w:rPr>
              <w:lastRenderedPageBreak/>
              <w:t>批量销售了吗？</w:t>
            </w:r>
          </w:p>
          <w:p w:rsidR="00310403" w:rsidRDefault="00863197">
            <w:pPr>
              <w:pStyle w:val="a3"/>
              <w:spacing w:line="480" w:lineRule="atLeast"/>
              <w:ind w:leftChars="200" w:left="42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公司回答：</w:t>
            </w:r>
            <w:r>
              <w:rPr>
                <w:rFonts w:ascii="宋体" w:hAnsi="宋体"/>
                <w:sz w:val="24"/>
                <w:szCs w:val="24"/>
              </w:rPr>
              <w:t>公司2-5节BMS产品已经开始小批量出货。</w:t>
            </w:r>
          </w:p>
          <w:p w:rsidR="00310403" w:rsidRDefault="00863197">
            <w:pPr>
              <w:pStyle w:val="Style6"/>
              <w:numPr>
                <w:ilvl w:val="0"/>
                <w:numId w:val="1"/>
              </w:numPr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公司看到的消费电子行业的景气度复苏的情况如何？</w:t>
            </w:r>
          </w:p>
          <w:p w:rsidR="00310403" w:rsidRDefault="00863197">
            <w:pPr>
              <w:pStyle w:val="Style6"/>
              <w:spacing w:line="460" w:lineRule="exact"/>
              <w:ind w:firstLine="48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从公司视角来看，消费电子行业上半年维持去库存态势，但</w:t>
            </w:r>
            <w:r>
              <w:rPr>
                <w:rFonts w:ascii="宋体" w:eastAsia="宋体" w:hAnsi="宋体" w:cs="宋体"/>
                <w:sz w:val="24"/>
                <w:szCs w:val="24"/>
              </w:rPr>
              <w:t>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三季度</w:t>
            </w:r>
            <w:r>
              <w:rPr>
                <w:rFonts w:ascii="宋体" w:eastAsia="宋体" w:hAnsi="宋体" w:cs="宋体"/>
                <w:sz w:val="24"/>
                <w:szCs w:val="24"/>
              </w:rPr>
              <w:t>的出货情况来看，下游客户的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需求</w:t>
            </w:r>
            <w:r>
              <w:rPr>
                <w:rFonts w:ascii="宋体" w:eastAsia="宋体" w:hAnsi="宋体" w:cs="宋体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开始恢复</w:t>
            </w:r>
            <w:r>
              <w:rPr>
                <w:rFonts w:ascii="宋体" w:eastAsia="宋体" w:hAnsi="宋体" w:cs="宋体"/>
                <w:sz w:val="24"/>
                <w:szCs w:val="24"/>
              </w:rPr>
              <w:t>，预计未来将进一步好转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，届时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公司与客户联合定义新产品的创新优势将得到发挥。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随着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公司的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传统业务在逐步修复，</w:t>
            </w:r>
            <w:r>
              <w:rPr>
                <w:rFonts w:ascii="宋体" w:eastAsia="宋体" w:hAnsi="宋体" w:cs="宋体"/>
                <w:sz w:val="24"/>
                <w:szCs w:val="24"/>
              </w:rPr>
              <w:t>新产品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也开始</w:t>
            </w:r>
            <w:r>
              <w:rPr>
                <w:rFonts w:ascii="宋体" w:eastAsia="宋体" w:hAnsi="宋体" w:cs="宋体"/>
                <w:sz w:val="24"/>
                <w:szCs w:val="24"/>
              </w:rPr>
              <w:t>上量，我们预计公司的业务将逐季向好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，在BMS、传感器调理、PC、汽车电子等重点战略方向上，不断提升自身行业地位。</w:t>
            </w:r>
          </w:p>
          <w:p w:rsidR="00310403" w:rsidRDefault="00863197" w:rsidP="007B67DC">
            <w:pPr>
              <w:pStyle w:val="a3"/>
              <w:numPr>
                <w:ilvl w:val="0"/>
                <w:numId w:val="1"/>
              </w:numPr>
              <w:spacing w:line="480" w:lineRule="atLeast"/>
              <w:ind w:firstLine="482"/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公司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在智能座舱方面是否有相应的产品布局？ 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公司目前已量产的产品中，PD快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充协议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芯片、传感器调理芯片都可以应用于新能源车的智能座舱等相关领域。此外，公司正在顺利推进汽车相关业务发展。目前已通过了ISO 26262功能安全管理体系认证，同时满足ISO26262 ASIL-D功能安全等级的车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规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MCU产品和模拟产品的设计开发工作进展顺利。公司汽车电子战略正在稳步推进，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未来</w:t>
            </w:r>
            <w:r>
              <w:rPr>
                <w:rFonts w:ascii="宋体" w:eastAsia="宋体" w:hAnsi="宋体" w:cs="宋体"/>
                <w:sz w:val="24"/>
                <w:szCs w:val="24"/>
              </w:rPr>
              <w:t>将持续在汽车电子方面保持高强度的投入，进一步拓展用户群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，同时</w:t>
            </w:r>
            <w:r>
              <w:rPr>
                <w:rFonts w:ascii="宋体" w:eastAsia="宋体" w:hAnsi="宋体" w:cs="宋体"/>
                <w:sz w:val="24"/>
                <w:szCs w:val="24"/>
              </w:rPr>
              <w:t>稳固在汽车半导体市场地位。</w:t>
            </w:r>
          </w:p>
        </w:tc>
      </w:tr>
      <w:tr w:rsidR="00310403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03" w:rsidRDefault="00863197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附件清单</w:t>
            </w:r>
          </w:p>
          <w:p w:rsidR="00310403" w:rsidRDefault="00863197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（如有）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03" w:rsidRDefault="00863197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/</w:t>
            </w:r>
          </w:p>
        </w:tc>
      </w:tr>
      <w:tr w:rsidR="00310403">
        <w:trPr>
          <w:jc w:val="center"/>
        </w:trPr>
        <w:tc>
          <w:tcPr>
            <w:tcW w:w="10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03" w:rsidRDefault="00863197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以下为本次活动参与人员签字页</w:t>
            </w:r>
          </w:p>
        </w:tc>
      </w:tr>
      <w:tr w:rsidR="00310403" w:rsidTr="007B67DC">
        <w:trPr>
          <w:trHeight w:hRule="exact" w:val="252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03" w:rsidRDefault="00863197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03" w:rsidRDefault="00863197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博时基金、宝盈基金、光大保德信基金、国海富兰克林基金、招商基金、生命资产、长城基金、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工银瑞信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基金、财通基金、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百嘉基金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、万方资产、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名禹资产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、乾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惕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投资、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玖稳资产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、霄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沣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投资、东方证券、中泰证券、申万宏源证券、开源证券、天风证券</w:t>
            </w:r>
            <w:r w:rsidR="007C0BCC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、其它参与</w:t>
            </w:r>
            <w:r w:rsidR="007C0BCC" w:rsidRPr="00863197">
              <w:rPr>
                <w:rFonts w:ascii="宋体" w:eastAsia="宋体" w:hAnsi="宋体" w:cs="Times New Roman" w:hint="eastAsia"/>
                <w:sz w:val="24"/>
                <w:szCs w:val="24"/>
              </w:rPr>
              <w:t>2023</w:t>
            </w:r>
            <w:r w:rsidR="007C0BCC">
              <w:rPr>
                <w:rFonts w:ascii="宋体" w:eastAsia="宋体" w:hAnsi="宋体" w:cs="Times New Roman" w:hint="eastAsia"/>
                <w:sz w:val="24"/>
                <w:szCs w:val="24"/>
              </w:rPr>
              <w:t>深圳辖区上市公司投资者网上集体接待日活动暨</w:t>
            </w:r>
            <w:r w:rsidR="007C0BCC" w:rsidRPr="00863197">
              <w:rPr>
                <w:rFonts w:ascii="宋体" w:eastAsia="宋体" w:hAnsi="宋体" w:cs="Times New Roman" w:hint="eastAsia"/>
                <w:sz w:val="24"/>
                <w:szCs w:val="24"/>
              </w:rPr>
              <w:t>2023</w:t>
            </w:r>
            <w:r w:rsidR="007C0BCC">
              <w:rPr>
                <w:rFonts w:ascii="宋体" w:eastAsia="宋体" w:hAnsi="宋体" w:cs="Times New Roman" w:hint="eastAsia"/>
                <w:sz w:val="24"/>
                <w:szCs w:val="24"/>
              </w:rPr>
              <w:t>年第三季度业绩说明会的投资者</w:t>
            </w:r>
          </w:p>
        </w:tc>
      </w:tr>
      <w:tr w:rsidR="00310403">
        <w:trPr>
          <w:trHeight w:hRule="exact" w:val="140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03" w:rsidRDefault="00863197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03" w:rsidRDefault="00863197">
            <w:pP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董事&amp;副总经理 万巍</w:t>
            </w:r>
          </w:p>
          <w:p w:rsidR="00863197" w:rsidRDefault="00863197">
            <w:pP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董事&amp;财务总监 谭兰兰</w:t>
            </w:r>
          </w:p>
        </w:tc>
      </w:tr>
    </w:tbl>
    <w:p w:rsidR="00310403" w:rsidRDefault="00310403"/>
    <w:p w:rsidR="00310403" w:rsidRDefault="00310403"/>
    <w:p w:rsidR="00310403" w:rsidRDefault="00310403"/>
    <w:p w:rsidR="00310403" w:rsidRDefault="00310403"/>
    <w:p w:rsidR="00310403" w:rsidRDefault="00310403"/>
    <w:sectPr w:rsidR="0031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6B463"/>
    <w:multiLevelType w:val="singleLevel"/>
    <w:tmpl w:val="5556B463"/>
    <w:lvl w:ilvl="0">
      <w:start w:val="1"/>
      <w:numFmt w:val="decimal"/>
      <w:suff w:val="space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CD1700"/>
    <w:rsid w:val="00310403"/>
    <w:rsid w:val="007B67DC"/>
    <w:rsid w:val="007C0BCC"/>
    <w:rsid w:val="00863197"/>
    <w:rsid w:val="1BE85BD4"/>
    <w:rsid w:val="32723DD6"/>
    <w:rsid w:val="35790FC8"/>
    <w:rsid w:val="35CD1700"/>
    <w:rsid w:val="36B555DF"/>
    <w:rsid w:val="38C36C15"/>
    <w:rsid w:val="44C343C1"/>
    <w:rsid w:val="47F230EB"/>
    <w:rsid w:val="48166410"/>
    <w:rsid w:val="538C3DA3"/>
    <w:rsid w:val="5AF10427"/>
    <w:rsid w:val="6D50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5C2766-5547-48FD-86B1-FAFFEA50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4">
    <w:name w:val="Balloon Text"/>
    <w:basedOn w:val="a"/>
    <w:link w:val="a5"/>
    <w:rsid w:val="00863197"/>
    <w:rPr>
      <w:sz w:val="18"/>
      <w:szCs w:val="18"/>
    </w:rPr>
  </w:style>
  <w:style w:type="character" w:customStyle="1" w:styleId="a5">
    <w:name w:val="批注框文本 字符"/>
    <w:basedOn w:val="a0"/>
    <w:link w:val="a4"/>
    <w:rsid w:val="008631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1313</Words>
  <Characters>238</Characters>
  <Application>Microsoft Office Word</Application>
  <DocSecurity>0</DocSecurity>
  <Lines>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zhoujy</dc:creator>
  <cp:lastModifiedBy>吴元</cp:lastModifiedBy>
  <cp:revision>4</cp:revision>
  <dcterms:created xsi:type="dcterms:W3CDTF">2023-11-17T08:34:00Z</dcterms:created>
  <dcterms:modified xsi:type="dcterms:W3CDTF">2023-11-17T09:19:00Z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