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56" w:beforeLines="50" w:after="156" w:afterLines="50" w:line="360" w:lineRule="auto"/>
        <w:jc w:val="center"/>
        <w:outlineLvl w:val="1"/>
        <w:rPr>
          <w:rFonts w:hint="eastAsia" w:ascii="宋体" w:hAnsi="宋体" w:eastAsia="宋体" w:cs="宋体"/>
          <w:b/>
          <w:bCs/>
          <w:sz w:val="36"/>
          <w:szCs w:val="36"/>
        </w:rPr>
      </w:pPr>
      <w:r>
        <w:rPr>
          <w:rFonts w:hint="eastAsia" w:ascii="宋体" w:hAnsi="宋体" w:eastAsia="宋体" w:cs="宋体"/>
          <w:b/>
          <w:bCs/>
          <w:sz w:val="36"/>
          <w:szCs w:val="36"/>
        </w:rPr>
        <w:t>昆山东威科技股份有限公司</w:t>
      </w:r>
    </w:p>
    <w:p>
      <w:pPr>
        <w:keepNext/>
        <w:keepLines/>
        <w:spacing w:before="156" w:beforeLines="50" w:after="156" w:afterLines="50" w:line="360" w:lineRule="auto"/>
        <w:jc w:val="center"/>
        <w:outlineLvl w:val="1"/>
        <w:rPr>
          <w:rFonts w:hint="eastAsia" w:ascii="宋体" w:hAnsi="宋体" w:eastAsia="宋体" w:cs="宋体"/>
          <w:b/>
          <w:bCs/>
          <w:sz w:val="36"/>
          <w:szCs w:val="36"/>
          <w:lang w:val="en-US" w:eastAsia="zh-CN"/>
        </w:rPr>
      </w:pPr>
      <w:r>
        <w:rPr>
          <w:rFonts w:hint="eastAsia" w:ascii="宋体" w:hAnsi="宋体" w:eastAsia="宋体" w:cs="宋体"/>
          <w:b/>
          <w:bCs/>
          <w:sz w:val="36"/>
          <w:szCs w:val="36"/>
        </w:rPr>
        <w:t>投资者关系活动记录表</w:t>
      </w:r>
    </w:p>
    <w:tbl>
      <w:tblPr>
        <w:tblStyle w:val="6"/>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6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投资者关系活动类别</w:t>
            </w:r>
          </w:p>
          <w:p>
            <w:pPr>
              <w:spacing w:line="360" w:lineRule="auto"/>
              <w:rPr>
                <w:rFonts w:hint="eastAsia" w:ascii="宋体" w:hAnsi="宋体" w:eastAsia="宋体" w:cs="宋体"/>
                <w:b/>
                <w:bCs/>
                <w:iCs/>
                <w:sz w:val="24"/>
                <w:szCs w:val="24"/>
              </w:rPr>
            </w:pPr>
          </w:p>
        </w:tc>
        <w:tc>
          <w:tcPr>
            <w:tcW w:w="6078" w:type="dxa"/>
            <w:shd w:val="clear" w:color="auto" w:fill="auto"/>
          </w:tcPr>
          <w:p>
            <w:pPr>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A3"/>
            </w:r>
            <w:r>
              <w:rPr>
                <w:rFonts w:hint="eastAsia" w:ascii="宋体" w:hAnsi="宋体" w:eastAsia="宋体" w:cs="宋体"/>
                <w:sz w:val="24"/>
                <w:szCs w:val="24"/>
              </w:rPr>
              <w:t xml:space="preserve">特定对象调研        </w:t>
            </w:r>
            <w:r>
              <w:rPr>
                <w:rFonts w:hint="eastAsia" w:ascii="宋体" w:hAnsi="宋体" w:eastAsia="宋体" w:cs="宋体"/>
                <w:bCs/>
                <w:iCs/>
                <w:sz w:val="24"/>
                <w:szCs w:val="24"/>
              </w:rPr>
              <w:t>□</w:t>
            </w:r>
            <w:r>
              <w:rPr>
                <w:rFonts w:hint="eastAsia" w:ascii="宋体" w:hAnsi="宋体" w:eastAsia="宋体" w:cs="宋体"/>
                <w:sz w:val="24"/>
                <w:szCs w:val="24"/>
              </w:rPr>
              <w:t>分析师会议</w:t>
            </w:r>
          </w:p>
          <w:p>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 xml:space="preserve">媒体采访            </w:t>
            </w:r>
            <w:r>
              <w:rPr>
                <w:rFonts w:hint="eastAsia" w:ascii="宋体" w:hAnsi="宋体" w:eastAsia="宋体" w:cs="宋体"/>
                <w:bCs/>
                <w:iCs/>
                <w:sz w:val="24"/>
                <w:szCs w:val="24"/>
              </w:rPr>
              <w:sym w:font="Wingdings 2" w:char="00A3"/>
            </w:r>
            <w:r>
              <w:rPr>
                <w:rFonts w:hint="eastAsia" w:ascii="宋体" w:hAnsi="宋体" w:eastAsia="宋体" w:cs="宋体"/>
                <w:sz w:val="24"/>
                <w:szCs w:val="24"/>
              </w:rPr>
              <w:t>业绩说明会</w:t>
            </w:r>
          </w:p>
          <w:p>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w:t>
            </w:r>
            <w:r>
              <w:rPr>
                <w:rFonts w:hint="eastAsia" w:ascii="宋体" w:hAnsi="宋体" w:eastAsia="宋体" w:cs="宋体"/>
                <w:sz w:val="24"/>
                <w:szCs w:val="24"/>
              </w:rPr>
              <w:t xml:space="preserve">新闻发布会          </w:t>
            </w:r>
            <w:r>
              <w:rPr>
                <w:rFonts w:hint="eastAsia" w:ascii="宋体" w:hAnsi="宋体" w:eastAsia="宋体" w:cs="宋体"/>
                <w:bCs/>
                <w:iCs/>
                <w:sz w:val="24"/>
                <w:szCs w:val="24"/>
              </w:rPr>
              <w:sym w:font="Wingdings 2" w:char="0052"/>
            </w:r>
            <w:r>
              <w:rPr>
                <w:rFonts w:hint="eastAsia" w:ascii="宋体" w:hAnsi="宋体" w:eastAsia="宋体" w:cs="宋体"/>
                <w:sz w:val="24"/>
                <w:szCs w:val="24"/>
              </w:rPr>
              <w:t>路演活动</w:t>
            </w:r>
          </w:p>
          <w:p>
            <w:pPr>
              <w:tabs>
                <w:tab w:val="left" w:pos="2690"/>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color w:val="000000"/>
                <w:sz w:val="24"/>
                <w:szCs w:val="24"/>
              </w:rPr>
              <w:sym w:font="Wingdings 2" w:char="0052"/>
            </w:r>
            <w:r>
              <w:rPr>
                <w:rFonts w:hint="eastAsia" w:ascii="宋体" w:hAnsi="宋体" w:eastAsia="宋体" w:cs="宋体"/>
                <w:sz w:val="24"/>
                <w:szCs w:val="24"/>
              </w:rPr>
              <w:t xml:space="preserve">现场调研            </w:t>
            </w:r>
            <w:r>
              <w:rPr>
                <w:rFonts w:hint="eastAsia" w:ascii="宋体" w:hAnsi="宋体" w:eastAsia="宋体" w:cs="宋体"/>
                <w:bCs/>
                <w:iCs/>
                <w:sz w:val="24"/>
                <w:szCs w:val="24"/>
              </w:rPr>
              <w:sym w:font="Wingdings 2" w:char="00A3"/>
            </w:r>
            <w:r>
              <w:rPr>
                <w:rFonts w:hint="eastAsia" w:ascii="宋体" w:hAnsi="宋体" w:eastAsia="宋体" w:cs="宋体"/>
                <w:sz w:val="24"/>
                <w:szCs w:val="24"/>
              </w:rPr>
              <w:t>电话会议</w:t>
            </w:r>
          </w:p>
          <w:p>
            <w:pPr>
              <w:tabs>
                <w:tab w:val="center" w:pos="3199"/>
              </w:tabs>
              <w:spacing w:line="360" w:lineRule="auto"/>
              <w:rPr>
                <w:rFonts w:hint="eastAsia" w:ascii="宋体" w:hAnsi="宋体" w:eastAsia="宋体" w:cs="宋体"/>
                <w:bCs/>
                <w:iCs/>
                <w:sz w:val="24"/>
                <w:szCs w:val="24"/>
              </w:rPr>
            </w:pPr>
            <w:r>
              <w:rPr>
                <w:rFonts w:hint="eastAsia" w:ascii="宋体" w:hAnsi="宋体" w:eastAsia="宋体" w:cs="宋体"/>
                <w:bCs/>
                <w:iCs/>
                <w:sz w:val="24"/>
                <w:szCs w:val="24"/>
              </w:rPr>
              <w:sym w:font="Wingdings 2" w:char="00A3"/>
            </w:r>
            <w:r>
              <w:rPr>
                <w:rFonts w:hint="eastAsia" w:ascii="宋体" w:hAnsi="宋体" w:eastAsia="宋体" w:cs="宋体"/>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pPr>
              <w:widowControl/>
              <w:spacing w:line="360" w:lineRule="auto"/>
              <w:rPr>
                <w:rFonts w:hint="eastAsia" w:ascii="宋体" w:hAnsi="宋体" w:eastAsia="宋体" w:cs="宋体"/>
                <w:sz w:val="24"/>
                <w:szCs w:val="24"/>
              </w:rPr>
            </w:pPr>
            <w:r>
              <w:rPr>
                <w:rFonts w:hint="eastAsia" w:ascii="宋体" w:hAnsi="宋体" w:eastAsia="宋体" w:cs="宋体"/>
                <w:b/>
                <w:bCs/>
                <w:iCs/>
                <w:sz w:val="24"/>
                <w:szCs w:val="24"/>
              </w:rPr>
              <w:t>参与单位及人员名称</w:t>
            </w:r>
          </w:p>
        </w:tc>
        <w:tc>
          <w:tcPr>
            <w:tcW w:w="6078" w:type="dxa"/>
            <w:shd w:val="clear" w:color="auto" w:fill="auto"/>
          </w:tcPr>
          <w:p>
            <w:pPr>
              <w:widowControl/>
              <w:numPr>
                <w:ilvl w:val="0"/>
                <w:numId w:val="1"/>
              </w:numPr>
              <w:tabs>
                <w:tab w:val="left" w:pos="0"/>
              </w:tabs>
              <w:spacing w:line="360" w:lineRule="auto"/>
              <w:ind w:lef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中金公司 丁健；GIC 谢楚轩；Allianz Global 朱劲吉； 东方证券 蔡志鹏、化工；中信证券 孔维实；中国国际金融 曹晏；中邮人寿陈思羽；星石投资 孔嘉祥；北京源乐晟 晏梓航；诚旸投资 谢凯；华夏久盈 李孟海；安信证券 彭玮骏；里思私募证券 黄橙；由榕管理咨询 欧可升；招商信诺资产 刘延波；拾贝投资管理 唐小垒、高梦晨；泰达宏利 张勋；盈峰资本 张国平；长盛基金管理 钱文礼；Fosun Wealth  Yang YANG；Hillhouse Capital May Zhang、张燕珍；Power Corporation of Canada 刘昊明；Stoneylake Asset Shengbao ZHANG；秋晟资产 钮舒越；中信证券 梁勤之；清和泉 齐翔；华夏未来 王钟琪；大家资产 刘振宇、周斌；新华基金 刘海彬、赵强；泓德基金 于浩成；前海圣耀 唐羽锋；溪牛投资 陈舜奇；路演活动</w:t>
            </w:r>
          </w:p>
          <w:p>
            <w:pPr>
              <w:widowControl/>
              <w:numPr>
                <w:ilvl w:val="0"/>
                <w:numId w:val="0"/>
              </w:numPr>
              <w:tabs>
                <w:tab w:val="left" w:pos="0"/>
              </w:tabs>
              <w:spacing w:line="360" w:lineRule="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2、安信证券 郭倩倩、陈之馨；南方基金 万朝辉；招商证券 杨献宇；现场调研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调研时间</w:t>
            </w:r>
          </w:p>
        </w:tc>
        <w:tc>
          <w:tcPr>
            <w:tcW w:w="6078" w:type="dxa"/>
            <w:shd w:val="clear" w:color="auto" w:fill="auto"/>
          </w:tcPr>
          <w:p>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val="en-US" w:eastAsia="zh-CN"/>
              </w:rPr>
              <w:t>11月15日、2023年11月17</w:t>
            </w:r>
            <w:r>
              <w:rPr>
                <w:rFonts w:hint="eastAsia" w:ascii="宋体" w:hAnsi="宋体" w:cs="宋体"/>
                <w:sz w:val="24"/>
                <w:szCs w:val="24"/>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会议地点</w:t>
            </w:r>
          </w:p>
        </w:tc>
        <w:tc>
          <w:tcPr>
            <w:tcW w:w="6078" w:type="dxa"/>
            <w:shd w:val="clear" w:color="auto" w:fill="auto"/>
          </w:tcPr>
          <w:p>
            <w:pPr>
              <w:spacing w:line="360" w:lineRule="auto"/>
              <w:rPr>
                <w:rFonts w:hint="default" w:ascii="宋体" w:hAnsi="宋体" w:eastAsia="宋体" w:cs="宋体"/>
                <w:bCs/>
                <w:iCs/>
                <w:sz w:val="24"/>
                <w:szCs w:val="24"/>
                <w:lang w:val="en-US" w:eastAsia="zh-CN"/>
              </w:rPr>
            </w:pPr>
            <w:r>
              <w:rPr>
                <w:rFonts w:hint="eastAsia" w:ascii="宋体" w:hAnsi="宋体" w:cs="宋体"/>
                <w:bCs/>
                <w:iCs/>
                <w:sz w:val="24"/>
                <w:szCs w:val="24"/>
                <w:lang w:val="en-US" w:eastAsia="zh-CN"/>
              </w:rPr>
              <w:t>北京嘉里大酒店、昆山公司三楼会议室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62" w:type="dxa"/>
            <w:shd w:val="clear" w:color="auto" w:fill="auto"/>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上市公司接待人员姓名</w:t>
            </w:r>
          </w:p>
        </w:tc>
        <w:tc>
          <w:tcPr>
            <w:tcW w:w="6078" w:type="dxa"/>
            <w:shd w:val="clear" w:color="auto" w:fill="auto"/>
          </w:tcPr>
          <w:p>
            <w:pPr>
              <w:spacing w:line="360" w:lineRule="auto"/>
              <w:rPr>
                <w:rFonts w:hint="default" w:ascii="宋体" w:hAnsi="宋体" w:cs="宋体"/>
                <w:bCs/>
                <w:iCs/>
                <w:sz w:val="24"/>
                <w:szCs w:val="24"/>
                <w:highlight w:val="none"/>
                <w:lang w:val="en-US" w:eastAsia="zh-CN"/>
              </w:rPr>
            </w:pPr>
            <w:r>
              <w:rPr>
                <w:rFonts w:hint="eastAsia" w:ascii="宋体" w:hAnsi="宋体" w:cs="宋体"/>
                <w:bCs/>
                <w:iCs/>
                <w:sz w:val="24"/>
                <w:szCs w:val="24"/>
                <w:highlight w:val="none"/>
                <w:lang w:val="en-US" w:eastAsia="zh-CN"/>
              </w:rPr>
              <w:t>董事会秘书：徐佩佩（出席第1场）</w:t>
            </w:r>
          </w:p>
          <w:p>
            <w:pPr>
              <w:spacing w:line="360" w:lineRule="auto"/>
              <w:rPr>
                <w:rFonts w:hint="eastAsia" w:ascii="宋体" w:hAnsi="宋体" w:eastAsia="宋体" w:cs="宋体"/>
                <w:bCs/>
                <w:iCs/>
                <w:sz w:val="24"/>
                <w:szCs w:val="24"/>
                <w:highlight w:val="none"/>
                <w:lang w:eastAsia="zh-CN"/>
              </w:rPr>
            </w:pPr>
            <w:r>
              <w:rPr>
                <w:rFonts w:hint="eastAsia" w:ascii="宋体" w:hAnsi="宋体" w:cs="宋体"/>
                <w:bCs/>
                <w:iCs/>
                <w:sz w:val="24"/>
                <w:szCs w:val="24"/>
                <w:highlight w:val="none"/>
                <w:lang w:val="en-US" w:eastAsia="zh-CN"/>
              </w:rPr>
              <w:t>新能源事业部总经理</w:t>
            </w:r>
            <w:r>
              <w:rPr>
                <w:rFonts w:hint="eastAsia" w:ascii="宋体" w:hAnsi="宋体" w:eastAsia="宋体" w:cs="宋体"/>
                <w:bCs/>
                <w:iCs/>
                <w:sz w:val="24"/>
                <w:szCs w:val="24"/>
                <w:highlight w:val="none"/>
              </w:rPr>
              <w:t>：</w:t>
            </w:r>
            <w:r>
              <w:rPr>
                <w:rFonts w:hint="eastAsia" w:ascii="宋体" w:hAnsi="宋体" w:cs="宋体"/>
                <w:bCs/>
                <w:iCs/>
                <w:sz w:val="24"/>
                <w:szCs w:val="24"/>
                <w:highlight w:val="none"/>
                <w:lang w:val="en-US" w:eastAsia="zh-CN"/>
              </w:rPr>
              <w:t>张振（出席第2场）</w:t>
            </w:r>
          </w:p>
          <w:p>
            <w:pPr>
              <w:spacing w:line="360" w:lineRule="auto"/>
              <w:rPr>
                <w:rFonts w:hint="default" w:ascii="宋体" w:hAnsi="宋体" w:eastAsia="宋体" w:cs="宋体"/>
                <w:bCs/>
                <w:iCs/>
                <w:sz w:val="24"/>
                <w:szCs w:val="24"/>
                <w:highlight w:val="none"/>
                <w:lang w:val="en-US" w:eastAsia="zh-CN"/>
              </w:rPr>
            </w:pPr>
            <w:r>
              <w:rPr>
                <w:rFonts w:hint="eastAsia" w:ascii="宋体" w:hAnsi="宋体" w:cs="宋体"/>
                <w:bCs/>
                <w:iCs/>
                <w:sz w:val="24"/>
                <w:szCs w:val="24"/>
                <w:highlight w:val="none"/>
                <w:lang w:val="en-US" w:eastAsia="zh-CN"/>
              </w:rPr>
              <w:t>证券事务代表</w:t>
            </w:r>
            <w:r>
              <w:rPr>
                <w:rFonts w:hint="eastAsia" w:ascii="宋体" w:hAnsi="宋体" w:eastAsia="宋体" w:cs="宋体"/>
                <w:bCs/>
                <w:iCs/>
                <w:sz w:val="24"/>
                <w:szCs w:val="24"/>
                <w:highlight w:val="none"/>
                <w:lang w:val="en-US" w:eastAsia="zh-CN"/>
              </w:rPr>
              <w:t>：</w:t>
            </w:r>
            <w:r>
              <w:rPr>
                <w:rFonts w:hint="eastAsia" w:ascii="宋体" w:hAnsi="宋体" w:cs="宋体"/>
                <w:bCs/>
                <w:iCs/>
                <w:sz w:val="24"/>
                <w:szCs w:val="24"/>
                <w:highlight w:val="none"/>
                <w:lang w:val="en-US" w:eastAsia="zh-CN"/>
              </w:rPr>
              <w:t>罗翠（出席第2场）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762" w:type="dxa"/>
            <w:shd w:val="clear" w:color="auto" w:fill="auto"/>
            <w:vAlign w:val="center"/>
          </w:tcPr>
          <w:p>
            <w:pPr>
              <w:spacing w:line="360" w:lineRule="auto"/>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sz w:val="24"/>
                <w:szCs w:val="24"/>
              </w:rPr>
              <w:t>投资者关系活动内容记录</w:t>
            </w:r>
          </w:p>
        </w:tc>
        <w:tc>
          <w:tcPr>
            <w:tcW w:w="6078" w:type="dxa"/>
            <w:shd w:val="clear" w:color="auto" w:fill="auto"/>
          </w:tcPr>
          <w:p>
            <w:pPr>
              <w:widowControl/>
              <w:numPr>
                <w:ilvl w:val="0"/>
                <w:numId w:val="2"/>
              </w:numPr>
              <w:autoSpaceDE w:val="0"/>
              <w:autoSpaceDN w:val="0"/>
              <w:adjustRightInd w:val="0"/>
              <w:snapToGrid w:val="0"/>
              <w:spacing w:before="50" w:after="156" w:afterLines="50" w:line="360" w:lineRule="auto"/>
              <w:jc w:val="both"/>
              <w:rPr>
                <w:rFonts w:hint="eastAsia" w:asciiTheme="minorEastAsia" w:hAnsiTheme="minorEastAsia" w:eastAsiaTheme="minorEastAsia" w:cstheme="minorEastAsia"/>
                <w:color w:val="262626"/>
                <w:sz w:val="24"/>
                <w:szCs w:val="24"/>
                <w:shd w:val="clear" w:color="auto" w:fill="FFFFFF"/>
                <w:lang w:eastAsia="zh-CN"/>
              </w:rPr>
            </w:pPr>
            <w:r>
              <w:rPr>
                <w:rFonts w:hint="eastAsia" w:asciiTheme="minorEastAsia" w:hAnsiTheme="minorEastAsia" w:eastAsiaTheme="minorEastAsia" w:cstheme="minorEastAsia"/>
                <w:b/>
                <w:bCs/>
                <w:sz w:val="24"/>
                <w:szCs w:val="24"/>
                <w:lang w:val="en-US" w:eastAsia="zh-CN"/>
              </w:rPr>
              <w:t>主要问题：</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PET与PP技术路径之分，公司怎么看待？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Chars="0"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答：应用场景的不同导致技术路径存在分歧，</w:t>
            </w:r>
            <w:r>
              <w:rPr>
                <w:rFonts w:hint="eastAsia" w:asciiTheme="minorEastAsia" w:hAnsiTheme="minorEastAsia" w:eastAsiaTheme="minorEastAsia" w:cstheme="minorEastAsia"/>
                <w:b w:val="0"/>
                <w:bCs w:val="0"/>
                <w:sz w:val="24"/>
                <w:szCs w:val="24"/>
                <w:lang w:val="en-US" w:eastAsia="zh-CN"/>
              </w:rPr>
              <w:t>PP可广泛用于动力电池、储能电池、3C消费电子，三元锂、半固态、磷酸铁锂、磷酸锰铁锂等动力电池均不受限制。而PET在动力电池、储能电池脂类电解液下循环次数有限，难以达到使用寿命的要求，但在3C电子电池上不受影响。</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据说市场上有很多公司也在做同类型设备，公司如何保持竞争优势？</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firstLine="480" w:firstLineChars="200"/>
              <w:jc w:val="both"/>
              <w:textAlignment w:val="auto"/>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pPr>
            <w:r>
              <w:rPr>
                <w:rFonts w:hint="eastAsia" w:asciiTheme="minorEastAsia" w:hAnsiTheme="minorEastAsia" w:eastAsiaTheme="minorEastAsia" w:cstheme="minorEastAsia"/>
                <w:b w:val="0"/>
                <w:bCs w:val="0"/>
                <w:color w:val="262626"/>
                <w:sz w:val="24"/>
                <w:szCs w:val="24"/>
                <w:highlight w:val="none"/>
                <w:shd w:val="clear" w:color="auto" w:fill="FFFFFF"/>
                <w:lang w:val="en-US" w:eastAsia="zh-CN"/>
              </w:rPr>
              <w:t>答：从原理上说，是集物理学和化学等原理为一体的设备，主要在是技术创新、经验和诀窍上。公司在电镀设备行业拥有近20年的技术沉淀，处于领先地位，水电镀设备许多技术和原理都是对VCP技术的延伸。如果没有这些技术的沉淀，对任何一个企业来说，短时间内要制造出大型设备都是不太可能的。对于同行做同类设备，说明大家对复合集流体行业的看好，也印证了行业未来发展前景。公司拥有多年技术经验和专利壁垒，设备机型迭代快，具备先发优势；竞争更能推动公司向更高层次的设备去提升。</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公司为何选择双边夹模式，而没有考虑传统的导电辊模式？</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对于设备，大家最容易想到的就是传统导电辊模式，公司一开始也是采用传统导电辊模式，但在生产过程中发现一些情况进而改变了夹具，形成了当下的双边夹模式，实现非接触式镀铜。公司发现在电镀过程中，导电辊与膜全面积接触虽然可以平整传动，但导电辊上形成的铜结晶影响镀层均匀性，甚至是存在划破膜材的可能性。这些情况对复合铜箔品质的影响具有不确定性，进而影响产业化生产。</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为何复合铝箔的成本高？</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20" w:firstLineChars="175"/>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答：目前复合铝箔的生产工艺只有蒸镀，不能电镀，而进口的蒸镀设备价格高且供应量有限。其次，下游对复合铝箔的规模化量产热度不及复合铜箔。</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对于复合铜箔产业化，如何看待公司水电镀设备所起的作用？</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20" w:firstLineChars="175"/>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答：新产品的产业化往往需要整个产业链的通力合作，水电镀设备是其中一个比较重要的</w:t>
            </w:r>
            <w:bookmarkStart w:id="0" w:name="_GoBack"/>
            <w:bookmarkEnd w:id="0"/>
            <w:r>
              <w:rPr>
                <w:rFonts w:hint="eastAsia" w:asciiTheme="minorEastAsia" w:hAnsiTheme="minorEastAsia" w:eastAsiaTheme="minorEastAsia" w:cstheme="minorEastAsia"/>
                <w:b w:val="0"/>
                <w:bCs w:val="0"/>
                <w:sz w:val="24"/>
                <w:szCs w:val="24"/>
                <w:lang w:val="en-US" w:eastAsia="zh-CN"/>
              </w:rPr>
              <w:t>环节，公司依旧会坚持技术创新，用心做好设备，服务于产业化。</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bCs/>
                <w:color w:val="262626"/>
                <w:sz w:val="24"/>
                <w:szCs w:val="24"/>
                <w:highlight w:val="none"/>
                <w:shd w:val="clear" w:color="auto" w:fill="FFFFFF"/>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公司磁控溅射24靶设备目前进展如何？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答：磁控溅射24靶设备已制造完成，目前正在为下游客户进行产品生产测试。测试通过后，将会前后道设备一体化批量采购。 </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color w:val="262626"/>
                <w:sz w:val="24"/>
                <w:szCs w:val="24"/>
                <w:highlight w:val="none"/>
                <w:shd w:val="clear" w:color="auto" w:fill="FFFFFF"/>
                <w:lang w:val="en-US" w:eastAsia="zh-CN"/>
              </w:rPr>
              <w:t>公司的第三代光伏设备目前进展如何？</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20" w:firstLineChars="175"/>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答：第三代光伏镀铜设备在效率、成本、性能、碎片率等方面均有明显提升，并已于10月初发货，目前还处于安装阶段，很快将进入调试阶段。</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before="50" w:after="156" w:afterLines="50" w:line="360" w:lineRule="auto"/>
              <w:ind w:left="0" w:leftChars="0" w:firstLine="482"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对于水电镀设备的幅宽，请问公司如何考虑？</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50" w:after="156" w:afterLines="50" w:line="360" w:lineRule="auto"/>
              <w:ind w:left="0" w:leftChars="0" w:firstLine="420" w:firstLineChars="175"/>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答：目前水电镀设备幅宽基本都是1.2m，但在谈客户中有明确意向延伸至1.5m宽幅。从水电镀角度来看，宽幅1.2m与1.5m区别不大，没有难度。但从下游客户生产角度看，得先保证前道工序磁控设备端可以实现。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762" w:type="dxa"/>
            <w:shd w:val="clear" w:color="auto" w:fill="auto"/>
            <w:vAlign w:val="center"/>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附件清单</w:t>
            </w:r>
          </w:p>
        </w:tc>
        <w:tc>
          <w:tcPr>
            <w:tcW w:w="6078" w:type="dxa"/>
            <w:shd w:val="clear" w:color="auto" w:fill="auto"/>
          </w:tcPr>
          <w:p>
            <w:pPr>
              <w:spacing w:line="360" w:lineRule="auto"/>
              <w:rPr>
                <w:rFonts w:hint="eastAsia" w:ascii="宋体" w:hAnsi="宋体" w:eastAsia="宋体" w:cs="宋体"/>
                <w:bCs/>
                <w:iCs/>
                <w:sz w:val="24"/>
                <w:szCs w:val="24"/>
              </w:rPr>
            </w:pPr>
            <w:r>
              <w:rPr>
                <w:rFonts w:hint="eastAsia" w:ascii="宋体" w:hAnsi="宋体" w:eastAsia="宋体" w:cs="宋体"/>
                <w:bCs/>
                <w:iCs/>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2762" w:type="dxa"/>
            <w:shd w:val="clear" w:color="auto" w:fill="auto"/>
            <w:vAlign w:val="center"/>
          </w:tcPr>
          <w:p>
            <w:pPr>
              <w:spacing w:line="360" w:lineRule="auto"/>
              <w:rPr>
                <w:rFonts w:hint="eastAsia" w:ascii="宋体" w:hAnsi="宋体" w:eastAsia="宋体" w:cs="宋体"/>
                <w:b/>
                <w:bCs/>
                <w:iCs/>
                <w:sz w:val="24"/>
                <w:szCs w:val="24"/>
              </w:rPr>
            </w:pPr>
            <w:r>
              <w:rPr>
                <w:rFonts w:hint="eastAsia" w:ascii="宋体" w:hAnsi="宋体" w:eastAsia="宋体" w:cs="宋体"/>
                <w:b/>
                <w:bCs/>
                <w:iCs/>
                <w:sz w:val="24"/>
                <w:szCs w:val="24"/>
              </w:rPr>
              <w:t>日期</w:t>
            </w:r>
          </w:p>
        </w:tc>
        <w:tc>
          <w:tcPr>
            <w:tcW w:w="6078" w:type="dxa"/>
            <w:shd w:val="clear" w:color="auto" w:fill="auto"/>
            <w:vAlign w:val="center"/>
          </w:tcPr>
          <w:p>
            <w:pPr>
              <w:spacing w:line="360" w:lineRule="auto"/>
              <w:rPr>
                <w:rFonts w:hint="default" w:ascii="宋体" w:hAnsi="宋体" w:eastAsia="宋体" w:cs="宋体"/>
                <w:iCs/>
                <w:sz w:val="24"/>
                <w:szCs w:val="24"/>
                <w:lang w:val="en-US"/>
              </w:rPr>
            </w:pPr>
            <w:r>
              <w:rPr>
                <w:rFonts w:hint="eastAsia" w:ascii="宋体" w:hAnsi="宋体" w:eastAsia="宋体" w:cs="宋体"/>
                <w:sz w:val="24"/>
                <w:highlight w:val="none"/>
              </w:rPr>
              <w:t>202</w:t>
            </w:r>
            <w:r>
              <w:rPr>
                <w:rFonts w:hint="eastAsia" w:ascii="宋体" w:hAnsi="宋体" w:cs="宋体"/>
                <w:sz w:val="24"/>
                <w:highlight w:val="none"/>
                <w:lang w:val="en-US" w:eastAsia="zh-CN"/>
              </w:rPr>
              <w:t>3</w:t>
            </w:r>
            <w:r>
              <w:rPr>
                <w:rFonts w:hint="eastAsia" w:ascii="宋体" w:hAnsi="宋体" w:eastAsia="宋体" w:cs="宋体"/>
                <w:sz w:val="24"/>
                <w:highlight w:val="none"/>
              </w:rPr>
              <w:t>年</w:t>
            </w:r>
            <w:r>
              <w:rPr>
                <w:rFonts w:hint="eastAsia" w:ascii="宋体" w:hAnsi="宋体" w:cs="宋体"/>
                <w:sz w:val="24"/>
                <w:highlight w:val="none"/>
                <w:lang w:val="en-US" w:eastAsia="zh-CN"/>
              </w:rPr>
              <w:t>11月15日、</w:t>
            </w:r>
            <w:r>
              <w:rPr>
                <w:rFonts w:hint="eastAsia" w:ascii="宋体" w:hAnsi="宋体" w:eastAsia="宋体" w:cs="宋体"/>
                <w:sz w:val="24"/>
                <w:highlight w:val="none"/>
              </w:rPr>
              <w:t>2023年</w:t>
            </w:r>
            <w:r>
              <w:rPr>
                <w:rFonts w:hint="eastAsia" w:ascii="宋体" w:hAnsi="宋体" w:cs="宋体"/>
                <w:sz w:val="24"/>
                <w:highlight w:val="none"/>
                <w:lang w:val="en-US" w:eastAsia="zh-CN"/>
              </w:rPr>
              <w:t>11月17日</w:t>
            </w:r>
          </w:p>
        </w:tc>
      </w:tr>
    </w:tbl>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B7808"/>
    <w:multiLevelType w:val="singleLevel"/>
    <w:tmpl w:val="8C8B7808"/>
    <w:lvl w:ilvl="0" w:tentative="0">
      <w:start w:val="1"/>
      <w:numFmt w:val="decimal"/>
      <w:lvlText w:val="%1."/>
      <w:lvlJc w:val="left"/>
      <w:pPr>
        <w:tabs>
          <w:tab w:val="left" w:pos="312"/>
        </w:tabs>
      </w:pPr>
      <w:rPr>
        <w:rFonts w:hint="default" w:ascii="宋体" w:hAnsi="宋体" w:eastAsia="宋体" w:cs="宋体"/>
        <w:b/>
        <w:bCs/>
      </w:rPr>
    </w:lvl>
  </w:abstractNum>
  <w:abstractNum w:abstractNumId="1">
    <w:nsid w:val="F0DDD646"/>
    <w:multiLevelType w:val="singleLevel"/>
    <w:tmpl w:val="F0DDD646"/>
    <w:lvl w:ilvl="0" w:tentative="0">
      <w:start w:val="1"/>
      <w:numFmt w:val="decimal"/>
      <w:suff w:val="nothing"/>
      <w:lvlText w:val="%1、"/>
      <w:lvlJc w:val="left"/>
    </w:lvl>
  </w:abstractNum>
  <w:abstractNum w:abstractNumId="2">
    <w:nsid w:val="5346E7D7"/>
    <w:multiLevelType w:val="singleLevel"/>
    <w:tmpl w:val="5346E7D7"/>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NjEzNGE5ZmU2Mjk5ZDUyZTkxMWQxN2ZlNDE4YjQifQ=="/>
  </w:docVars>
  <w:rsids>
    <w:rsidRoot w:val="00B836D3"/>
    <w:rsid w:val="00070F07"/>
    <w:rsid w:val="006B1C87"/>
    <w:rsid w:val="00910209"/>
    <w:rsid w:val="00AD2796"/>
    <w:rsid w:val="00B836D3"/>
    <w:rsid w:val="00ED1A6D"/>
    <w:rsid w:val="015123B9"/>
    <w:rsid w:val="0184653E"/>
    <w:rsid w:val="024702E2"/>
    <w:rsid w:val="02C32E43"/>
    <w:rsid w:val="036D0FA9"/>
    <w:rsid w:val="03A34722"/>
    <w:rsid w:val="03A6036B"/>
    <w:rsid w:val="03C455EC"/>
    <w:rsid w:val="03F81C56"/>
    <w:rsid w:val="040B08B6"/>
    <w:rsid w:val="040F3E66"/>
    <w:rsid w:val="04207E21"/>
    <w:rsid w:val="04702B56"/>
    <w:rsid w:val="048009A6"/>
    <w:rsid w:val="05191440"/>
    <w:rsid w:val="05327557"/>
    <w:rsid w:val="05467D5B"/>
    <w:rsid w:val="05C30B00"/>
    <w:rsid w:val="06073EB5"/>
    <w:rsid w:val="06B37672"/>
    <w:rsid w:val="06B42E63"/>
    <w:rsid w:val="06C74ECC"/>
    <w:rsid w:val="07116897"/>
    <w:rsid w:val="07F12200"/>
    <w:rsid w:val="08013722"/>
    <w:rsid w:val="080C7924"/>
    <w:rsid w:val="0846477D"/>
    <w:rsid w:val="08BB280E"/>
    <w:rsid w:val="093162DB"/>
    <w:rsid w:val="09BA36EE"/>
    <w:rsid w:val="0A9207E7"/>
    <w:rsid w:val="0AA96DC2"/>
    <w:rsid w:val="0B6E6B4B"/>
    <w:rsid w:val="0BFD04E0"/>
    <w:rsid w:val="0CB8387B"/>
    <w:rsid w:val="0CCA74C4"/>
    <w:rsid w:val="0CD734C8"/>
    <w:rsid w:val="0CD74F7B"/>
    <w:rsid w:val="0D3951F5"/>
    <w:rsid w:val="0D5758FA"/>
    <w:rsid w:val="0D6B3607"/>
    <w:rsid w:val="0DEB2A04"/>
    <w:rsid w:val="0DEF61C6"/>
    <w:rsid w:val="0E3C7F4D"/>
    <w:rsid w:val="0E6A6868"/>
    <w:rsid w:val="0ED11F58"/>
    <w:rsid w:val="0F0F425F"/>
    <w:rsid w:val="0F256C33"/>
    <w:rsid w:val="0F563291"/>
    <w:rsid w:val="0FCF44A8"/>
    <w:rsid w:val="0FEB1DAA"/>
    <w:rsid w:val="0FF56606"/>
    <w:rsid w:val="106A2B50"/>
    <w:rsid w:val="11276C93"/>
    <w:rsid w:val="119A6215"/>
    <w:rsid w:val="123241A8"/>
    <w:rsid w:val="125900DB"/>
    <w:rsid w:val="12BE1B5F"/>
    <w:rsid w:val="131B2BEA"/>
    <w:rsid w:val="13266402"/>
    <w:rsid w:val="138216F7"/>
    <w:rsid w:val="13CB4AFB"/>
    <w:rsid w:val="13E949C2"/>
    <w:rsid w:val="141379A2"/>
    <w:rsid w:val="14B30D64"/>
    <w:rsid w:val="154E6CD0"/>
    <w:rsid w:val="15F64E85"/>
    <w:rsid w:val="162A567A"/>
    <w:rsid w:val="16B0768E"/>
    <w:rsid w:val="170A1316"/>
    <w:rsid w:val="177C0785"/>
    <w:rsid w:val="182171CB"/>
    <w:rsid w:val="19E952E0"/>
    <w:rsid w:val="1A626914"/>
    <w:rsid w:val="1B7218B7"/>
    <w:rsid w:val="1BF97D4B"/>
    <w:rsid w:val="1CB739C6"/>
    <w:rsid w:val="1CEF2569"/>
    <w:rsid w:val="1D0945BC"/>
    <w:rsid w:val="1D4318A3"/>
    <w:rsid w:val="1E8943E5"/>
    <w:rsid w:val="1F3C5360"/>
    <w:rsid w:val="1FE7136A"/>
    <w:rsid w:val="203C4E63"/>
    <w:rsid w:val="20B6088B"/>
    <w:rsid w:val="20DB53A4"/>
    <w:rsid w:val="20FC3C98"/>
    <w:rsid w:val="211A3C0A"/>
    <w:rsid w:val="212E1150"/>
    <w:rsid w:val="215E35E6"/>
    <w:rsid w:val="218121CC"/>
    <w:rsid w:val="23BA73A5"/>
    <w:rsid w:val="24E63917"/>
    <w:rsid w:val="24EF729B"/>
    <w:rsid w:val="252B661C"/>
    <w:rsid w:val="25305C3C"/>
    <w:rsid w:val="25EB37CF"/>
    <w:rsid w:val="2607591B"/>
    <w:rsid w:val="26251EF4"/>
    <w:rsid w:val="263317DE"/>
    <w:rsid w:val="26FB22FC"/>
    <w:rsid w:val="28DF6797"/>
    <w:rsid w:val="293A3114"/>
    <w:rsid w:val="299D5218"/>
    <w:rsid w:val="29B334E6"/>
    <w:rsid w:val="2A25420A"/>
    <w:rsid w:val="2AB27175"/>
    <w:rsid w:val="2ACE1AD5"/>
    <w:rsid w:val="2AE0355B"/>
    <w:rsid w:val="2AE957C0"/>
    <w:rsid w:val="2AEA6EEB"/>
    <w:rsid w:val="2B084FE7"/>
    <w:rsid w:val="2B6C537E"/>
    <w:rsid w:val="2BA2543C"/>
    <w:rsid w:val="2BEA1055"/>
    <w:rsid w:val="2DAE06CE"/>
    <w:rsid w:val="2DC773DC"/>
    <w:rsid w:val="2DF950BB"/>
    <w:rsid w:val="2E11614A"/>
    <w:rsid w:val="2F8656F4"/>
    <w:rsid w:val="2FDB1EBD"/>
    <w:rsid w:val="30654C8A"/>
    <w:rsid w:val="3091174B"/>
    <w:rsid w:val="31230DCD"/>
    <w:rsid w:val="31994192"/>
    <w:rsid w:val="31C97E3A"/>
    <w:rsid w:val="32044F36"/>
    <w:rsid w:val="320F3450"/>
    <w:rsid w:val="32AC1FAE"/>
    <w:rsid w:val="33811DDB"/>
    <w:rsid w:val="338E0AA4"/>
    <w:rsid w:val="33DD45D8"/>
    <w:rsid w:val="342A2472"/>
    <w:rsid w:val="34885869"/>
    <w:rsid w:val="35A61AD3"/>
    <w:rsid w:val="367D669C"/>
    <w:rsid w:val="368F6DB0"/>
    <w:rsid w:val="36EE3C2B"/>
    <w:rsid w:val="3701121D"/>
    <w:rsid w:val="371C61D5"/>
    <w:rsid w:val="37B92F56"/>
    <w:rsid w:val="39F33306"/>
    <w:rsid w:val="3A4912AC"/>
    <w:rsid w:val="3CAF79B9"/>
    <w:rsid w:val="3CBA4870"/>
    <w:rsid w:val="3EE01D9D"/>
    <w:rsid w:val="3F0F295E"/>
    <w:rsid w:val="3FF266C5"/>
    <w:rsid w:val="40745FBA"/>
    <w:rsid w:val="41B771B3"/>
    <w:rsid w:val="41DF023D"/>
    <w:rsid w:val="4222708E"/>
    <w:rsid w:val="430B16C1"/>
    <w:rsid w:val="43272646"/>
    <w:rsid w:val="43543B33"/>
    <w:rsid w:val="43A63197"/>
    <w:rsid w:val="445C5F76"/>
    <w:rsid w:val="44692963"/>
    <w:rsid w:val="449649FB"/>
    <w:rsid w:val="44972925"/>
    <w:rsid w:val="44B250A6"/>
    <w:rsid w:val="4518343C"/>
    <w:rsid w:val="45236B86"/>
    <w:rsid w:val="45552E8A"/>
    <w:rsid w:val="4574179F"/>
    <w:rsid w:val="46F30DEA"/>
    <w:rsid w:val="482A5F77"/>
    <w:rsid w:val="4873716D"/>
    <w:rsid w:val="498126DD"/>
    <w:rsid w:val="4B906C07"/>
    <w:rsid w:val="4BE34F89"/>
    <w:rsid w:val="4C777B36"/>
    <w:rsid w:val="4D1C7F7C"/>
    <w:rsid w:val="4D713A70"/>
    <w:rsid w:val="4DFD57E6"/>
    <w:rsid w:val="4F4F6674"/>
    <w:rsid w:val="4F6E5BBB"/>
    <w:rsid w:val="4FAC7D88"/>
    <w:rsid w:val="50700DB5"/>
    <w:rsid w:val="51322CE6"/>
    <w:rsid w:val="513D4311"/>
    <w:rsid w:val="5151508A"/>
    <w:rsid w:val="51FB5FF4"/>
    <w:rsid w:val="52070FB5"/>
    <w:rsid w:val="52526750"/>
    <w:rsid w:val="5272519E"/>
    <w:rsid w:val="52E8669F"/>
    <w:rsid w:val="53863F9F"/>
    <w:rsid w:val="539D1939"/>
    <w:rsid w:val="53D85C9D"/>
    <w:rsid w:val="542B137C"/>
    <w:rsid w:val="55FD30EB"/>
    <w:rsid w:val="56336B0D"/>
    <w:rsid w:val="57623B4D"/>
    <w:rsid w:val="57FF1BD8"/>
    <w:rsid w:val="58317531"/>
    <w:rsid w:val="583354EA"/>
    <w:rsid w:val="588875E4"/>
    <w:rsid w:val="58DC110D"/>
    <w:rsid w:val="592F3F03"/>
    <w:rsid w:val="597F4342"/>
    <w:rsid w:val="5A7F25D4"/>
    <w:rsid w:val="5AE8639F"/>
    <w:rsid w:val="5AF853BD"/>
    <w:rsid w:val="5B0F614B"/>
    <w:rsid w:val="5B1207B2"/>
    <w:rsid w:val="5B9242D5"/>
    <w:rsid w:val="5BAF6C35"/>
    <w:rsid w:val="5C4F5A65"/>
    <w:rsid w:val="5C8E4547"/>
    <w:rsid w:val="5CA40A47"/>
    <w:rsid w:val="5D8B47EF"/>
    <w:rsid w:val="5DFD65A1"/>
    <w:rsid w:val="5ED05841"/>
    <w:rsid w:val="5EF164E6"/>
    <w:rsid w:val="5FAC3B0D"/>
    <w:rsid w:val="5FBA7881"/>
    <w:rsid w:val="6046120A"/>
    <w:rsid w:val="60483AFC"/>
    <w:rsid w:val="61021EFD"/>
    <w:rsid w:val="61306A6A"/>
    <w:rsid w:val="61537797"/>
    <w:rsid w:val="619D444E"/>
    <w:rsid w:val="61A82AA5"/>
    <w:rsid w:val="631F6D97"/>
    <w:rsid w:val="63BA086D"/>
    <w:rsid w:val="63BF6533"/>
    <w:rsid w:val="63CB3C77"/>
    <w:rsid w:val="647B4B09"/>
    <w:rsid w:val="64A357A5"/>
    <w:rsid w:val="64AE7F2C"/>
    <w:rsid w:val="65695F30"/>
    <w:rsid w:val="65B157BC"/>
    <w:rsid w:val="66212E26"/>
    <w:rsid w:val="67000C8D"/>
    <w:rsid w:val="671F44BA"/>
    <w:rsid w:val="67FD0505"/>
    <w:rsid w:val="680846A1"/>
    <w:rsid w:val="680E142B"/>
    <w:rsid w:val="68303896"/>
    <w:rsid w:val="68791C70"/>
    <w:rsid w:val="69055E3F"/>
    <w:rsid w:val="69360996"/>
    <w:rsid w:val="69860950"/>
    <w:rsid w:val="6A097538"/>
    <w:rsid w:val="6A5B7C61"/>
    <w:rsid w:val="6A6432E1"/>
    <w:rsid w:val="6A7D43A3"/>
    <w:rsid w:val="6AC124E1"/>
    <w:rsid w:val="6ACE4BFE"/>
    <w:rsid w:val="6AD0136A"/>
    <w:rsid w:val="6B166157"/>
    <w:rsid w:val="6B4C0E55"/>
    <w:rsid w:val="6BF40694"/>
    <w:rsid w:val="6CB3722D"/>
    <w:rsid w:val="6D0D4104"/>
    <w:rsid w:val="6D9168C9"/>
    <w:rsid w:val="6DA8735F"/>
    <w:rsid w:val="6E7E74C8"/>
    <w:rsid w:val="6E8932F7"/>
    <w:rsid w:val="6FCA1E38"/>
    <w:rsid w:val="6FFC2CD4"/>
    <w:rsid w:val="70033666"/>
    <w:rsid w:val="71640FD8"/>
    <w:rsid w:val="718524BB"/>
    <w:rsid w:val="71A04F87"/>
    <w:rsid w:val="7238752D"/>
    <w:rsid w:val="72CB42BB"/>
    <w:rsid w:val="73A702A0"/>
    <w:rsid w:val="742F670E"/>
    <w:rsid w:val="745169AA"/>
    <w:rsid w:val="749B1FF5"/>
    <w:rsid w:val="74BD2453"/>
    <w:rsid w:val="758E3908"/>
    <w:rsid w:val="75FA06CE"/>
    <w:rsid w:val="76072C5C"/>
    <w:rsid w:val="76392B57"/>
    <w:rsid w:val="76E1462B"/>
    <w:rsid w:val="76FF4ABD"/>
    <w:rsid w:val="77A15B74"/>
    <w:rsid w:val="77A25449"/>
    <w:rsid w:val="77D51D79"/>
    <w:rsid w:val="77DC095A"/>
    <w:rsid w:val="780A42DC"/>
    <w:rsid w:val="78FD502C"/>
    <w:rsid w:val="79CF2B10"/>
    <w:rsid w:val="7A44304E"/>
    <w:rsid w:val="7A8E2818"/>
    <w:rsid w:val="7C4E00A9"/>
    <w:rsid w:val="7D12484B"/>
    <w:rsid w:val="7DBA173E"/>
    <w:rsid w:val="7ED04D2E"/>
    <w:rsid w:val="7F0D50B3"/>
    <w:rsid w:val="7F1F3D78"/>
    <w:rsid w:val="7F665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703"/>
    </w:pPr>
    <w:rPr>
      <w:sz w:val="24"/>
      <w:szCs w:val="24"/>
    </w:rPr>
  </w:style>
  <w:style w:type="paragraph" w:styleId="3">
    <w:name w:val="Plain Text"/>
    <w:basedOn w:val="1"/>
    <w:qFormat/>
    <w:uiPriority w:val="0"/>
    <w:rPr>
      <w:rFonts w:hint="eastAsia" w:ascii="宋体" w:hAnsi="Courier New" w:eastAsia="宋体" w:cs="Times New Roman"/>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99"/>
    <w:rPr>
      <w:color w:val="333333"/>
      <w:u w:val="none"/>
    </w:rPr>
  </w:style>
  <w:style w:type="character" w:styleId="9">
    <w:name w:val="Hyperlink"/>
    <w:basedOn w:val="7"/>
    <w:semiHidden/>
    <w:unhideWhenUsed/>
    <w:qFormat/>
    <w:uiPriority w:val="99"/>
    <w:rPr>
      <w:color w:val="333333"/>
      <w:u w:val="none"/>
    </w:rPr>
  </w:style>
  <w:style w:type="character" w:customStyle="1" w:styleId="10">
    <w:name w:val="页眉 字符"/>
    <w:basedOn w:val="7"/>
    <w:link w:val="5"/>
    <w:qFormat/>
    <w:uiPriority w:val="99"/>
    <w:rPr>
      <w:rFonts w:ascii="Calibri" w:hAnsi="Calibri" w:eastAsia="宋体" w:cs="宋体"/>
      <w:kern w:val="2"/>
      <w:sz w:val="18"/>
      <w:szCs w:val="18"/>
    </w:rPr>
  </w:style>
  <w:style w:type="character" w:customStyle="1" w:styleId="11">
    <w:name w:val="页脚 字符"/>
    <w:basedOn w:val="7"/>
    <w:link w:val="4"/>
    <w:qFormat/>
    <w:uiPriority w:val="99"/>
    <w:rPr>
      <w:rFonts w:ascii="Calibri" w:hAnsi="Calibri" w:eastAsia="宋体" w:cs="宋体"/>
      <w:kern w:val="2"/>
      <w:sz w:val="18"/>
      <w:szCs w:val="18"/>
    </w:rPr>
  </w:style>
  <w:style w:type="character" w:customStyle="1" w:styleId="12">
    <w:name w:val="layui-laydate-preview"/>
    <w:basedOn w:val="7"/>
    <w:qFormat/>
    <w:uiPriority w:val="0"/>
  </w:style>
  <w:style w:type="character" w:customStyle="1" w:styleId="13">
    <w:name w:val="hover11"/>
    <w:basedOn w:val="7"/>
    <w:qFormat/>
    <w:uiPriority w:val="0"/>
    <w:rPr>
      <w:color w:val="5FB878"/>
    </w:rPr>
  </w:style>
  <w:style w:type="character" w:customStyle="1" w:styleId="14">
    <w:name w:val="hover12"/>
    <w:basedOn w:val="7"/>
    <w:qFormat/>
    <w:uiPriority w:val="0"/>
    <w:rPr>
      <w:color w:val="5FB878"/>
    </w:rPr>
  </w:style>
  <w:style w:type="character" w:customStyle="1" w:styleId="15">
    <w:name w:val="hover13"/>
    <w:basedOn w:val="7"/>
    <w:qFormat/>
    <w:uiPriority w:val="0"/>
    <w:rPr>
      <w:color w:val="FFFFFF"/>
    </w:rPr>
  </w:style>
  <w:style w:type="character" w:customStyle="1" w:styleId="16">
    <w:name w:val="layui-laypage-curr"/>
    <w:basedOn w:val="7"/>
    <w:qFormat/>
    <w:uiPriority w:val="0"/>
  </w:style>
  <w:style w:type="character" w:customStyle="1" w:styleId="17">
    <w:name w:val="layui-this4"/>
    <w:basedOn w:val="7"/>
    <w:qFormat/>
    <w:uiPriority w:val="0"/>
    <w:rPr>
      <w:bdr w:val="single" w:color="EEEEEE" w:sz="6" w:space="0"/>
      <w:shd w:val="clear" w:fill="FFFFFF"/>
    </w:rPr>
  </w:style>
  <w:style w:type="character" w:customStyle="1" w:styleId="18">
    <w:name w:val="first-child"/>
    <w:basedOn w:val="7"/>
    <w:qFormat/>
    <w:uiPriority w:val="0"/>
  </w:style>
  <w:style w:type="character" w:customStyle="1" w:styleId="19">
    <w:name w:val="font-gray1"/>
    <w:basedOn w:val="7"/>
    <w:qFormat/>
    <w:uiPriority w:val="0"/>
    <w:rPr>
      <w:color w:val="A7A7A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1731</Words>
  <Characters>1824</Characters>
  <Lines>35</Lines>
  <Paragraphs>9</Paragraphs>
  <TotalTime>1</TotalTime>
  <ScaleCrop>false</ScaleCrop>
  <LinksUpToDate>false</LinksUpToDate>
  <CharactersWithSpaces>1883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2022-09-15T03:35:00Z</dcterms:created>
  <dc:creator>周湘荣</dc:creator>
  <cp:lastModifiedBy>xupp</cp:lastModifiedBy>
  <cp:lastPrinted>2023-11-02T06:12:00Z</cp:lastPrinted>
  <dcterms:modified xsi:type="dcterms:W3CDTF">2023-11-17T09:50:10Z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735DD3D0FD004E2A89F89F0FC8D3D63D_13</vt:lpwstr>
  </property>
</Properties>
</file>